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Methodological boundaries (not part of the main article)</w:t>
      </w:r>
    </w:p>
    <w:p>
      <w:pPr>
        <w:pStyle w:val="BodyText"/>
      </w:pPr>
      <w:r>
        <w:t xml:space="preserve">This note is stored separately from </w:t>
      </w:r>
      <w:r>
        <w:rPr>
          <w:rFonts w:ascii="Consolas" w:hAnsi="Consolas" w:eastAsia="等线"/>
          <w:shd w:val="clear" w:color="auto" w:fill="F2F4F7"/>
        </w:rPr>
        <w:t>English.docx</w:t>
      </w:r>
      <w:r>
        <w:t>. The main text presents a possible PAS-centred mechanism linking pathogenic peptides to AD. The points below are for internal checking and do not change that mechanism.</w:t>
      </w:r>
    </w:p>
    <w:p>
      <w:pPr>
        <w:pStyle w:val="Reference"/>
        <w:ind w:left="360" w:hanging="360"/>
      </w:pPr>
      <w:r>
        <w:rPr>
          <w:sz w:val="24"/>
          <w:szCs w:val="24"/>
        </w:rPr>
        <w:t>1. Each system is a single 100-ns trajectory, shorter than the 1-μs AChE–Aβ window of Atanasova et al. Persistent hydrogen bonds and surface residence support the possible mechanism; they are not by themselves irreversible nanomolar binding constants.</w:t>
      </w:r>
    </w:p>
    <w:p>
      <w:pPr>
        <w:pStyle w:val="Reference"/>
        <w:ind w:left="360" w:hanging="360"/>
      </w:pPr>
      <w:r>
        <w:rPr>
          <w:sz w:val="24"/>
          <w:szCs w:val="24"/>
        </w:rPr>
        <w:t>2. AutoDock Vina scores are empirical ranks, not experimental Kd or Ki. FLLHTTR has a best pose of -9.60 kcal/mol and a three-run mean of -8.77 ± 1.41 kcal/mol, so the best pose is stronger than the run average.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The screening funnel is aggregate. Composition of the twelve explicit sequences can be checked, but without nucleotide rows, genomic coordinates, sample maps, and taxonomy, each sequence cannot be written as a verified </w:t>
      </w:r>
      <w:r>
        <w:rPr>
          <w:i/>
          <w:sz w:val="24"/>
          <w:szCs w:val="24"/>
        </w:rPr>
        <w:t>P. gingivalis</w:t>
      </w:r>
      <w:r>
        <w:rPr>
          <w:sz w:val="24"/>
          <w:szCs w:val="24"/>
        </w:rPr>
        <w:t xml:space="preserve"> expression product.</w:t>
      </w:r>
    </w:p>
    <w:p>
      <w:pPr>
        <w:pStyle w:val="Reference"/>
        <w:ind w:left="360" w:hanging="360"/>
      </w:pPr>
      <w:r>
        <w:rPr>
          <w:sz w:val="24"/>
          <w:szCs w:val="24"/>
        </w:rPr>
        <w:t>4. “BBB-high”, NTxPred2-positive, and CHEL/FRS are operational model labels at stated thresholds, not measured transport, neuronal injury, or metal coordination. BBB (BBP) hit rates are similar in the healthy-labelled (9.72%) and periodontitis-labelled (9.60%) libraries, so the label is not disease-specific.</w:t>
      </w:r>
    </w:p>
    <w:p>
      <w:pPr>
        <w:pStyle w:val="Reference"/>
        <w:ind w:left="360" w:hanging="360"/>
      </w:pPr>
      <w:r>
        <w:rPr>
          <w:sz w:val="24"/>
          <w:szCs w:val="24"/>
        </w:rPr>
        <w:t>5. The mechanism in the main text is a possible path: PAS occupancy → blocked cholinergic gorge → AChE pathological chaperone activity and Aβ co-nucleation. Its literature anchors are Inestrosa (PAS-dependent fibril acceleration), Lushchekina (nucleation centre), and Atanasova (PAS/344–361 residence), together with the amyloid cascade (Selkoe) and the cholinergic hypothesis (Hampel). Wet-lab binding, enzyme inhibition, and fibrillization assays are outside this computational article.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Limitations</dc:title>
  <dcterms:created xsi:type="dcterms:W3CDTF">2026-08-23T00:00:00Z</dcterms:created>
  <dcterms:modified xsi:type="dcterms:W3CDTF">2026-08-23T00:00:00Z</dcterms:modified>
</cp:coreProperties>
</file>