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Inestrosa et al. showed that AChE accelerates Aβ fibril growth through the PAS and that AChE–Aβ particles are more toxic than free peptide </w:t>
      </w:r>
      <w:r>
        <w:t>[4]</w:t>
      </w:r>
      <w:r>
        <w:t xml:space="preserve">. Alvarez et al. isolated stable enzyme–peptide complexes that change AChE biochemistry and raise fibril neurotoxicity, and showed that the enzyme binds growing fibrils rather than free monomer alone </w:t>
      </w:r>
      <w:r>
        <w:t>[38–39]</w:t>
      </w:r>
      <w:r>
        <w:t xml:space="preserve">. A short hydrophobic PAS motif is sufficient for that chaperone effect </w:t>
      </w:r>
      <w:r>
        <w:t>[5]</w:t>
      </w:r>
      <w:r>
        <w:t xml:space="preserve">. Reyes et al. blocked the effect with a monoclonal antibody to AChE </w:t>
      </w:r>
      <w:r>
        <w:t>[40]</w:t>
      </w:r>
      <w:r>
        <w:t xml:space="preserve">. Bartolini et al. reached the same endpoint with PAS-directed small molecules </w:t>
      </w:r>
      <w:r>
        <w:t>[6]</w:t>
      </w:r>
      <w:r>
        <w:t xml:space="preserve">. In mice, excess AChE promotes cortical Aβ plaques </w:t>
      </w:r>
      <w:r>
        <w:t>[41]</w:t>
      </w:r>
      <w:r>
        <w:t xml:space="preserve">. Reviews of AChE in AD place plaque-associated enzyme in cross-talk with Aβ and phospho-tau, still sensitive to PAS blockade </w:t>
      </w:r>
      <w:r>
        <w:t>[42–44]</w:t>
      </w:r>
      <w:r>
        <w:t xml:space="preserve">. Dinamarca et al. used hippocampal injections to show that AChE–Aβ complexes out-damage free fibrils </w:t>
      </w:r>
      <w:r>
        <w:t>[45]</w:t>
      </w:r>
      <w:r>
        <w:t xml:space="preserve">. Johnson and Moore mapped the PAS as Tyr72, Asp74, Tyr124, Trp286 and Tyr341, about 20 Å from the catalytic triad at the gorge mouth </w:t>
      </w:r>
      <w:r>
        <w:t>[46]</w:t>
      </w:r>
      <w:r>
        <w:t xml:space="preserve">. Those experiments identify the PAS as a structural hinge between cholinergic failure and amyloid deposition </w:t>
      </w:r>
      <w:r>
        <w:t>[2–3]</w:t>
      </w:r>
      <w:r>
        <w:t>. The present docking and 100-ns trajectories examine occupancy of that hinge by periodontitis-derived micropeptides.</w:t>
      </w:r>
    </w:p>
    <w:p>
      <w:pPr>
        <w:pStyle w:val="BodyText"/>
      </w:pPr>
      <w:r>
        <w:t xml:space="preserve">An oral exposure path is already documented at the organism and protease level. Poole et al. detected periodontopathic virulence factors in short-term postmortem AD brain </w:t>
      </w:r>
      <w:r>
        <w:t>[47]</w:t>
      </w:r>
      <w:r>
        <w:t xml:space="preserve">. Dominy et al. reported </w:t>
      </w:r>
      <w:r>
        <w:rPr>
          <w:i/>
        </w:rPr>
        <w:t>P. gingivalis</w:t>
      </w:r>
      <w:r>
        <w:t xml:space="preserve"> and gingipains in AD brains and showed that oral infection in mice raises brain Aβ1–42 </w:t>
      </w:r>
      <w:r>
        <w:t>[14]</w:t>
      </w:r>
      <w:r>
        <w:t xml:space="preserve">. Haditsch et al. found AD-like neurodegeneration in </w:t>
      </w:r>
      <w:r>
        <w:rPr>
          <w:i/>
        </w:rPr>
        <w:t>P. gingivalis</w:t>
      </w:r>
      <w:r>
        <w:t xml:space="preserve">-infected neurons that keep active gingipains </w:t>
      </w:r>
      <w:r>
        <w:t>[48]</w:t>
      </w:r>
      <w:r>
        <w:t xml:space="preserve">. Ilievski et al. produced neuroinflammation and Aβ-related changes after repeated oral application of a periodontal pathogen in wild-type mice </w:t>
      </w:r>
      <w:r>
        <w:t>[15]</w:t>
      </w:r>
      <w:r>
        <w:t xml:space="preserve">. Lei et al. showed that </w:t>
      </w:r>
      <w:r>
        <w:rPr>
          <w:i/>
        </w:rPr>
        <w:t>P. gingivalis</w:t>
      </w:r>
      <w:r>
        <w:t xml:space="preserve">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justify looking at oral products at the PAS. Assignment of the twelve peptides to </w:t>
      </w:r>
      <w:r>
        <w:rPr>
          <w:i/>
        </w:rPr>
        <w:t>P. gingivalis</w:t>
      </w:r>
      <w:r>
        <w:t xml:space="preserve">, or proof that any one string crosses endothelium, lies outside those reports </w:t>
      </w:r>
      <w:r>
        <w:t>[7–8,25]</w:t>
      </w:r>
      <w:r>
        <w:t>. Gingipains, LPS and vesicles already travel, and a 7–9-aa cationic peptide is smaller than those cargos. Survival of such a peptide in saliva, serum and endothelium is outside the present calculation. The docking and MD below address occupancy of the PAS that Inestrosa and Alvarez implicated in fibril growth, given an oral heptapeptide placed at AChE.</w:t>
      </w:r>
    </w:p>
    <w:p>
      <w:pPr>
        <w:pStyle w:val="BodyText"/>
      </w:pPr>
      <w:r>
        <w:t xml:space="preserve">Deep-learning peptide mining supplies the filter stack used here. Torres et al. scored millions of translated microbiome open reading frames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so the serial scores function as a triage stack. The twelve docking ligands are 7–9 residues, alkaline, and net-positive at pH 7.4, with leucine-rich cores. That composition matches the electrostatic character of the PAS. Barak et al. found that Asp74 and Trp286 form a common core for peripheral ligands </w:t>
      </w:r>
      <w:r>
        <w:t>[50]</w:t>
      </w:r>
      <w:r>
        <w:t xml:space="preserve">. Mallender et al. showed that cationic substrate first docks on Asp74 </w:t>
      </w:r>
      <w:r>
        <w:t>[51]</w:t>
      </w:r>
      <w:r>
        <w:t>. A short cationic peptide is a plausible PAS occupant on chemical grounds, pending a structure.</w:t>
      </w:r>
    </w:p>
    <w:p>
      <w:pPr>
        <w:pStyle w:val="BodyText"/>
      </w:pPr>
      <w:r>
        <w:t xml:space="preserve">Human AChE (PDB 4EY6) gives an experimental frame for the gorge and PAS </w:t>
      </w:r>
      <w:r>
        <w:t>[22]</w:t>
      </w:r>
      <w:r>
        <w:t xml:space="preserve">, following Sussman’s aromatic-gorge map on </w:t>
      </w:r>
      <w:r>
        <w:rPr>
          <w:i/>
        </w:rPr>
        <w:t>Torpedo</w:t>
      </w:r>
      <w:r>
        <w:t xml:space="preserve"> AChE </w:t>
      </w:r>
      <w:r>
        <w:t>[23,52]</w:t>
      </w:r>
      <w:r>
        <w:t xml:space="preserve">. Dvir et al. restated that the 20-Å gorge couples a catalytic triad at the base to a peripheral cluster at the rim </w:t>
      </w:r>
      <w:r>
        <w:t>[53]</w:t>
      </w:r>
      <w:r>
        <w:t xml:space="preserve">. AutoDock Vina is a first-pass ranking engine </w:t>
      </w:r>
      <w:r>
        <w:t>[34–35]</w:t>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HLLTLKKHV reaches Phe346 in the 344–361 zone where Atanasova et al. kept Aβ for 1 μs </w:t>
      </w:r>
      <w:r>
        <w:t>[21]</w:t>
      </w:r>
      <w:r>
        <w:t xml:space="preserve">. Bourne et al. crystallised PAS ligands stacked between Trp286 and Tyr341; the same pair appears for LLHPLRL </w:t>
      </w:r>
      <w:r>
        <w:t>[54]</w:t>
      </w:r>
      <w:r>
        <w:t>.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Vina scores of −8.25 to −9.60 kcal/mol are first-pass ranks, not binding constants. They put all twelve strings in a favourable window and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Vina score with PAS geometry as the requirement for a lasting complex.</w:t>
      </w:r>
    </w:p>
    <w:p>
      <w:pPr>
        <w:pStyle w:val="BodyText"/>
      </w:pPr>
      <w:r>
        <w:t xml:space="preserve">MD studies of AChE–Aβ already treat the enzyme as a nucleation centre. Accelerated sampling pulled Aβ onto the AChE surface </w:t>
      </w:r>
      <w:r>
        <w:t>[20]</w:t>
      </w:r>
      <w:r>
        <w:t xml:space="preserve">. A 1-μs PAS-centred trajectory remained bound without unfolding the fold </w:t>
      </w:r>
      <w:r>
        <w:t>[21]</w:t>
      </w:r>
      <w:r>
        <w:t xml:space="preserve">. The same occupancy pattern appears here on a 100-ns window. Apo Cα RMSD levels near 0.19 nm. ALLLHRC tracks that control (0.1916 nm). FLLHTTR and YLSLLQR fall below apo after 50–70 ns (0.1640 and 0.1625 nm). A complex RMSD that sits below the apo trace is read as local rigidity after binding, not as unfolding. That reading matches Lushchekina’s surface-bound, non-dissociating complex. Peptide self-fit RMSD ranks the ligands: ALLLHRC 0.2518 nm, FLLHTTR 0.1752 nm, YLSLLQR 0.0911 nm. YLSLLQR is the most compact ligand on the enzyme. ALLLHRC, which missed the PAS, is the most mobile. Apo AChE is already a stiff α/β hydrolase; Sussman et al. described a deep aromatic gorge that does not require large domain motion for catalysis </w:t>
      </w:r>
      <w:r>
        <w:t>[52]</w:t>
      </w:r>
      <w:r>
        <w:t>. A 0.03 nm drop in complex RMSD relative to that apo baseline is a tightening of an already compact fold, short of rebuilding the enzyme.</w:t>
      </w:r>
    </w:p>
    <w:p>
      <w:pPr>
        <w:pStyle w:val="BodyText"/>
      </w:pPr>
      <w:r>
        <w:t xml:space="preserve">Mean RMSF is 0.0778 nm for FLLHTTR and 0.0771 nm for YLSLLQR, both below apo (0.0835 nm), and 0.0876 nm for ALLLHRC, slightly above apo. Catalytic-core fluctuations stay low in all four systems. Loop residues at the gorge rim fluctuate more than the triad, as expected from the PAS being a surface cluster rather than a buried pocket </w:t>
      </w:r>
      <w:r>
        <w:t>[46,54]</w:t>
      </w:r>
      <w:r>
        <w:t>. Bourne and Johnson described PAS binding as a surface event that need not open the fold; the RMSF traces match that description. Radius of gyration stays 2.30–2.31 nm across apo and the three complexes. A shift of that size is spatial accommodation of a heptapeptide, not unravelling of the α/β hydrolase core. DSSP helix (~33%) and sheet (~17%) overlay the apo bars, so secondary structure is not rewritten on this window. Lushchekina and Atanasova read a lower complex RMSD plus preserved secondary structure as ligand-induced rigidity at this enzyme; the present traces follow that reading.</w:t>
      </w:r>
    </w:p>
    <w:p>
      <w:pPr>
        <w:pStyle w:val="BodyText"/>
      </w:pPr>
      <w:r>
        <w:t xml:space="preserve">Hydrogen-bond histories separate the ligands more sharply than RMSD. ALLLHRC decays from early occupancy to 2.19 ± 0.80 in the last 20 ns. FLLHTTR holds 7.03 ± 1.28 for the full 100 ns. YLSLLQR averages 2.93 ± 1.14. Persistent intermolecular contacts number seven in each complex. Centre-of-mass RDF peaks lie at 1.22–1.80 nm, i.e. surface residence rather than bulk solvent. SASA rises for ALLLHRC (217.47 nm² versus apo 212.25 nm²), sits near apo for FLLHTTR, and falls only for YLSLLQR (209.71 nm²).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Vina score on Ser203, does not leave a lasting PAS-type network. FLLHTTR remains the hydrogen-bond-rich PAS ligand, YLSLLQR the compact PAS ligand, and ALLLHRC a catalytic-site scorer that later loses occupancy. Bartolini’s assays already separated PAS-directed ligands, which suppress AChE-induced aggregation, from catalytic-site ligands, which need not </w:t>
      </w:r>
      <w:r>
        <w:t>[6]</w:t>
      </w:r>
      <w:r>
        <w:t>. Atanasova’s 1-μs Aβ trajectory and the present 100-ns peptide trajectories differ in ligand length and sampling window. Both still show a ligand remaining at the PAS with the fold closed.</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Mallender assigned to cationic substrate </w:t>
      </w:r>
      <w:r>
        <w:t>[3,22,51]</w:t>
      </w:r>
      <w:r>
        <w:t xml:space="preserve">. Second, a lasting enzyme–peptide complex: intermolecular hydrogen bonds persist, as in the AChE–Aβ trajectories of Lushchekina and Atanasova and in the stable complexes Alvarez isolated </w:t>
      </w:r>
      <w:r>
        <w:t>[38]</w:t>
      </w:r>
      <w:r>
        <w:t xml:space="preserve">. Third, restricted acetylcholine access: physical blockage at the 20-Å gorge entrance can hinder substrate even while the catalytic core remains folded, the steric-blockade mode described for PAS ligands </w:t>
      </w:r>
      <w:r>
        <w:t>[46,53]</w:t>
      </w:r>
      <w:r>
        <w:t xml:space="preserve">. Fourth, pathological chaperone activity: because the PAS is a documented pro-fibrillar site </w:t>
      </w:r>
      <w:r>
        <w:t>[4–5,43]</w:t>
      </w:r>
      <w:r>
        <w:t xml:space="preserve">, a peptide that remains there can lower the nucleation barrier for endogenous Aβ. Folded AChE would then present a peptide-coated PAS on which Aβ oligomers can co-assemble, the geometry Dinamarca et al. used to explain why AChE–Aβ particles out-damage free fibrils </w:t>
      </w:r>
      <w:r>
        <w:t>[45]</w:t>
      </w:r>
      <w:r>
        <w:t>.</w:t>
      </w:r>
    </w:p>
    <w:p>
      <w:pPr>
        <w:pStyle w:val="BodyText"/>
      </w:pPr>
      <w:r>
        <w:t xml:space="preserve">PAS pharmacology in AChE has mostly been small molecules. Bartolini’s PAS ligands reduced AChE-induced aggregation without requiring catalytic-site occupancy </w:t>
      </w:r>
      <w:r>
        <w:t>[6]</w:t>
      </w:r>
      <w:r>
        <w:t xml:space="preserve">. Donepezil in 4EY6 spans PAS Trp286 to the catalytic anionic site, a dual-binding template Kryger mapped on </w:t>
      </w:r>
      <w:r>
        <w:rPr>
          <w:i/>
        </w:rPr>
        <w:t>Torpedo</w:t>
      </w:r>
      <w:r>
        <w:t xml:space="preserve"> AChE </w:t>
      </w:r>
      <w:r>
        <w:t>[22–23]</w:t>
      </w:r>
      <w:r>
        <w:t xml:space="preserve">. Johnson and Moore treated that surface as a design handle for ligands that modulate heterologous protein associations, including Aβ </w:t>
      </w:r>
      <w:r>
        <w:t>[46]</w:t>
      </w:r>
      <w:r>
        <w:t xml:space="preserve">.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w:t>
      </w:r>
      <w:r>
        <w:t>[44,46]</w:t>
      </w:r>
      <w:r>
        <w:t>. An oral heptapeptide that covers only the rim cannot be scored against that dual-binding template. FLLHTTR and YLSLLQR remain at the rim, which is the occupancy Inestrosa treated as the chaperone trigger. Cheung crystallised a longer dual-binding pose for donepezil.</w:t>
      </w:r>
    </w:p>
    <w:p>
      <w:pPr>
        <w:pStyle w:val="BodyText"/>
      </w:pPr>
      <w:r>
        <w:t>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