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 xml:space="preserve">牙周炎与阿尔茨海默病（AD）在流行病学和实验研究中存在关联，但口腔微生物来源分子是否可能参与与淀粉样β蛋白（Aβ）聚集相关的分子过程，仍有待探索。本研究旨在筛选口腔微生物来源、可能与人源乙酰胆碱酯酶（AChE）外周阴离子位点（PAS）相互作用的短肽，并用分子模拟初步评估其潜在作用方式。用 EMBOSS getorf 从 PRJNA678453 宏基因组组装基因组预测小开放阅读框（sORF），再用 UniDL4BioPep 打分；牙周炎标记候选序列与口腔基因组及宏蛋白质组目录精确匹配，并结合 NTxPred2、mebipred 和 AnOxPePred 收至 12 条明示肽。12 条均为 7–9 残基，pH 7.4 净正电且富亮氨酸。12 条配体均对接到人源 AChE，再对 apo 酶与三个代表性复合物做 100 ns MD。对接显示 FLLHTTR、YLSLLQR 与 LLHPLRL 出现在 PAS 附近。相对 apo AChE，FLLHTTR 与 YLSLLQR 复合物整体更紧凑；FLLHTTR 分子间氢键更密，YLSLLQR 溶剂可及表面积下降。这些是构象与接触描述，不能单独证明结合更强。结果提示部分口腔微肽可能与 AChE-PAS 发生相互作用。本研究为探索口腔微肽参与 AChE 相关 Aβ 聚集过程的潜在机制提供计算依据，并为后续验证牙周炎与 AD 之间可能存在的肽介导分子联系提供候选分子。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 xml:space="preserve">阿尔茨海默病（AD）在漫长临床前过程中同时出现淀粉样沉积、tau 病理、突触衰竭、免疫激活和血管损伤</w:t>
      </w:r>
      <w:r>
        <w:t>[1]</w:t>
      </w:r>
      <w:r>
        <w:t xml:space="preserve">。APP 经 β、γ 分泌酶依次切割，释放 Aβ40 和 Aβ42；可溶寡聚体损伤突触；家族性 APP/PSEN 突变改变肽长度和产量</w:t>
      </w:r>
      <w:r>
        <w:t>[2]</w:t>
      </w:r>
      <w:r>
        <w:t xml:space="preserve">。淀粉样负荷解释不了疾病的空间与临床异质性，因此外周炎症暴露被当作易感性的可能修饰因素，而不是单一充分病因。阐明外周慢性炎症与 AD 相关病理之间可能存在的分子联系，是理解这一异质性的方向之一。除炎症信号本身外，微生物来源产物能否直接参与与 Aβ 生成、聚集或突触功能障碍相关的蛋白质相互作用，也值得进一步研究。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 xml:space="preserve">牙龈卟啉单胞菌的牙龈蛋白酶与外膜囊泡是一对已定位的毒力因子</w:t>
      </w:r>
      <w:r>
        <w:t>[12–13]</w:t>
      </w:r>
      <w:r>
        <w:t xml:space="preserve">。AD 脑内曾检出该菌与牙龈蛋白酶</w:t>
      </w:r>
      <w:r>
        <w:t>[14]</w:t>
      </w:r>
      <w:r>
        <w:t xml:space="preserve">，小鼠反复口腔感染可产生神经炎症和 Aβ 相关改变</w:t>
      </w:r>
      <w:r>
        <w:t>[15]</w:t>
      </w:r>
      <w:r>
        <w:t xml:space="preserve">。这些观察支持检查口腔产物，但并不能单独指出占据 AChE 的肽。现有工作主要跟踪特定病原、毒力因子和炎症反应。口腔微生物编码的短肽是否可能直接参与 AD 相关蛋白质相互作用，认识仍然有限。短肽序列短、理化性质多样，在原则上可以结合蛋白表面，因而构成值得探索的候选类别。从口腔微生物组系统提名此类肽，并在 AD 相关靶蛋白上评估相互作用，有助于把牙周炎与 AD 的关联推进到更具体的分子层面。</w:t>
      </w:r>
    </w:p>
    <w:p>
      <w:pPr>
        <w:pStyle w:val="BodyText"/>
      </w:pPr>
      <w:r>
        <w:t xml:space="preserve">微生物组 smORF 编码大量尚未绘图的小蛋白</w:t>
      </w:r>
      <w:r>
        <w:t>[16–17]</w:t>
      </w:r>
      <w:r>
        <w:t xml:space="preserve">。人体微生物组抗菌肽挖掘先对数百万条翻译开放阅读框打分，再做实验过滤</w:t>
      </w:r>
      <w:r>
        <w:t>[18]</w:t>
      </w:r>
      <w:r>
        <w:t xml:space="preserve">。UniDL4BioPep 在 ESM-2 嵌入上提供二十余个二分类活性头</w:t>
      </w:r>
      <w:r>
        <w:t>[19]</w:t>
      </w:r>
      <w:r>
        <w:t xml:space="preserve">。基于序列的活性预测只能为筛选提供初步依据，不能证明特定蛋白质结合能力，也不能确定在靶蛋白表面的结合位置。获得候选序列后，还需要结合分子对接和分子动力学，评估其与 AChE-PAS 相互作用的可能性及相关构象特征。把序列筛选与结构分析衔接起来，可以从大量微生物编码序列中缩小范围，并为后续实验提供更有针对性的对象。</w:t>
      </w:r>
    </w:p>
    <w:p>
      <w:pPr>
        <w:pStyle w:val="BodyText"/>
      </w:pPr>
      <w:r>
        <w:t xml:space="preserve">有了配体名单之后，下一步通常是分子对接和 MD。加速 MD 把 Aβ 放到 AChE 表面，并把该酶视为成核中心</w:t>
      </w:r>
      <w:r>
        <w:t>[20]</w:t>
      </w:r>
      <w:r>
        <w:t xml:space="preserve">。1 μs、以 PAS 为中心的 AChE–Aβ 轨迹保持结合，主驻留区为残基 344–361</w:t>
      </w:r>
      <w:r>
        <w:t>[21]</w:t>
      </w:r>
      <w:r>
        <w:t xml:space="preserve">。PDB 4EY6 给出 2.40 Å 人源 AChE 框架</w:t>
      </w:r>
      <w:r>
        <w:t>[22]</w:t>
      </w:r>
      <w:r>
        <w:t xml:space="preserve">。连接催化三联体与 PAS 的芳香峡部早先在电鳗 AChE 上被定位</w:t>
      </w:r>
      <w:r>
        <w:t>[23]</w:t>
      </w:r>
      <w:r>
        <w:t xml:space="preserve">。对接可以评估口腔来源短肽是否可能与同一 PAS 相互作用；MD 可以评估复合物的构象特征。仍缺少的是这一肽水平检验，配体来自口腔 smORF，而不是 Aβ 本身。</w:t>
      </w:r>
    </w:p>
    <w:p>
      <w:pPr>
        <w:pStyle w:val="BodyText"/>
      </w:pPr>
      <w:r>
        <w:t xml:space="preserve">基于上述背景，本研究旨在从口腔微生物宏基因组数据中筛选可能与 AChE 外周阴离子位点相互作用的短肽，并初步评估其潜在分子作用方式。我们提出，部分口腔微生物编码短肽可能具有与 AChE-PAS 相互作用的序列及理化特征，因而值得进一步考察其在 AChE 相关 Aβ 聚集过程中的潜在作用。为此，采用 EMBOSS getorf 从 PRJNA678453 的 MAG 预测 sORF，并用 UniDL4BioPep 做 22 项活性预测；随后将牙周炎相关候选与口腔基因组和宏蛋白质组目录精确匹配，并结合 NTxPred2、mebipred 和 AnOxPePred 进一步筛选。在此基础上选取 12 条短肽，用 AlphaFold3 建模并对接到人源 AChE。对 apo AChE 及三个代表性复合物——两个最强 PAS 构象（FLLHTTR、YLSLLQR）和一个最强催化位点构象（ALLLHRC）——做 100 ns 分子动力学，考察构象变化、相互作用特征和该时间窗口上的表观稳定性。本研究旨在从肽分子层面为探索口腔微生物与 AD 相关病理之间的潜在联系提供候选分子和计算证据，而不是证明这些肽具有致病性或牙周炎导致 AD，并为后续肽–AChE 结合验证及 Aβ 聚集实验奠定基础。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 xml:space="preserve">工作为纯计算。未新增患者、标本、测序或湿实验。健康与牙周炎标记是文库标签，不是肽水平临床诊断。对接配体的起始坐标为 12 条肽的 AlphaFold3 模型。12 条均做本地三次 AutoDock Vina 对接。MD 限于 apo AChE 与按下述规则从最优单次构象中取出的三个复合物。</w:t>
      </w:r>
    </w:p>
    <w:p>
      <w:pPr>
        <w:pStyle w:val="Heading3"/>
        <w:keepNext/>
      </w:pPr>
      <w:r>
        <w:t>来源文库与 sORF 预测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。同一 BioProject 另有派生的 MGnify 第三方组装 PRJEB65451（metaSPAdes v3.15.3），并非第二个临床队列。宏基因组组装基因组（MAG）按健康标记 24 例、牙周炎标记 26 例分入样本目录，296 个 MAG 文件经 GCA–SRR 元数据匹配。开放阅读框用 EMBOSS getorf 预测：细菌密码子表 11，起始密码子至终止密码子（</w:t>
      </w:r>
      <w:r>
        <w:rPr>
          <w:rFonts w:ascii="Consolas" w:hAnsi="Consolas" w:eastAsia="等线"/>
          <w:shd w:val="clear" w:color="auto" w:fill="F2F4F7"/>
        </w:rPr>
        <w:t>-find 0</w:t>
      </w:r>
      <w:r>
        <w:t>），长度窗口 15–150 bp</w:t>
      </w:r>
      <w:r>
        <w:t>[24]</w:t>
      </w:r>
      <w:r>
        <w:t>。完全相同的氨基酸串合并。各独特串在样本中的有无按存在/缺失记录，未把读段重新回贴到 MAG。打分库为健康标记 11,269,961 条、牙周炎标记 11,721,988 条 5–50 aa 肽。未新招患者；本研究完成的是 getorf 预测、22 项筛选、目录匹配、对接与 MD。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[26–27]</w:t>
      </w:r>
      <w:r>
        <w:t>。唾液宏蛋白质组在其自身错误发现框架内记录肽</w:t>
      </w:r>
      <w:r>
        <w:t>[28]</w:t>
      </w:r>
      <w:r>
        <w:t>。其他口腔宏蛋白质组集合补充不同临床背景下的序列观察</w:t>
      </w:r>
      <w:r>
        <w:t>[29–30]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[31]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[32]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[33]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 xml:space="preserve">12 条肽的配体起始坐标用 AlphaFold3 预测。每个模型是短柔性链的计算构象，不是晶体结构，仅作为对接输入几何。人源重组 AChE（PDB 4EY6，2.40 Å）去除加兰他敏与结晶水，修复链断裂，并按 pH 7.4 分配质子化</w:t>
      </w:r>
      <w:r>
        <w:t>[22]</w:t>
      </w:r>
      <w:r>
        <w:t xml:space="preserve">。12 条配体 ALLLHRC、FCLHLQLR、FLLHTTR、HLLTLKKHV、HLPLLHRCC、HVLLLRQCA、LLHLPKRTT、LLHPLRC、LLHPLRL、WLLVHLKK、YHHLLCRR 和 YLSLLQR 用 AutoDock Vina 对接，exhaustiveness = 32</w:t>
      </w:r>
      <w:r>
        <w:t>[34–35]</w:t>
      </w:r>
      <w:r>
        <w:t xml:space="preserve"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 xml:space="preserve">四个显式溶剂体系在 GROMACS 中以 Amber99SB-ILDN 和 TIP3P、0.15 M NaCl 构建</w:t>
      </w:r>
      <w:r>
        <w:t>[36–37]</w:t>
      </w:r>
      <w:r>
        <w:t xml:space="preserve">：apo AChE（A 链）以及 ALLLHRC、FLLHTTR、YLSLLQR 复合物。这三条取自 12 条已对接肽中最优单次 Vina 构象：FLLHTTR 与 YLSLLQR 为 PAS 接触，ALLLHRC 为不接触外侧 PAS 芳香残基的高分催化位点占据者，以便把 PAS 几何与强非 PAS 分数对照。盒子为三斜，溶质至壁缓冲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4458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44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 xml:space="preserve">AChE 在胆碱能突触水解乙酰胆碱。AD 组织中，同一酶出现在淀粉样斑块上。AChE 经 PAS 加速 Aβ 成纤，且 AChE–Aβ 颗粒毒性高于游离肽</w:t>
      </w:r>
      <w:r>
        <w:t>[4]</w:t>
      </w:r>
      <w:r>
        <w:t xml:space="preserve">。稳定的酶–肽复合物改变 AChE 生化性质并提高纤丝神经毒性。分离得到的复合物中，酶结合的是生长中的纤丝</w:t>
      </w:r>
      <w:r>
        <w:t>[38–39]</w:t>
      </w:r>
      <w:r>
        <w:t xml:space="preserve">。一段疏水 PAS 基序即足以产生伴侣效应</w:t>
      </w:r>
      <w:r>
        <w:t>[5]</w:t>
      </w:r>
      <w:r>
        <w:t xml:space="preserve">。抗 AChE 单抗可阻断该效应</w:t>
      </w:r>
      <w:r>
        <w:t>[40]</w:t>
      </w:r>
      <w:r>
        <w:t xml:space="preserve">，PAS 导向小分子达到同一终点</w:t>
      </w:r>
      <w:r>
        <w:t>[6]</w:t>
      </w:r>
      <w:r>
        <w:t xml:space="preserve">。小鼠中过量 AChE 促进皮层 Aβ 斑块</w:t>
      </w:r>
      <w:r>
        <w:t>[41]</w:t>
      </w:r>
      <w:r>
        <w:t xml:space="preserve">。关于 AD 中 AChE 的综述把斑块相关酶放进与 Aβ、磷酸化 tau 的交叉对话，且斑块相关活性仍对 PAS 阻断敏感</w:t>
      </w:r>
      <w:r>
        <w:t>[42–44]</w:t>
      </w:r>
      <w:r>
        <w:t xml:space="preserve">。海马区 AChE–Aβ 复合物的损伤强于游离纤丝</w:t>
      </w:r>
      <w:r>
        <w:t>[45]</w:t>
      </w:r>
      <w:r>
        <w:t xml:space="preserve">。PAS 定位于 Tyr72、Asp74、Tyr124、Trp286 和 Tyr341，距峡部底部催化三联体约 20 Å</w:t>
      </w:r>
      <w:r>
        <w:t>[46]</w:t>
      </w:r>
      <w:r>
        <w:t xml:space="preserve">。这些研究支持 PAS 作为可参与 AChE 介导 Aβ 聚集的功能性表面</w:t>
      </w:r>
      <w:r>
        <w:t>[2–3]</w:t>
      </w:r>
      <w:r>
        <w:t xml:space="preserve">。本研究的对接与 100 ns 轨迹查看牙周炎来源微肽在该表面上的预测接触。</w:t>
      </w:r>
    </w:p>
    <w:p>
      <w:pPr>
        <w:pStyle w:val="BodyText"/>
      </w:pPr>
      <w:r>
        <w:t xml:space="preserve">口腔暴露路径在菌体和蛋白酶水平已有具体事例。短期死后 AD 脑组织中已检出牙周致病毒力因子</w:t>
      </w:r>
      <w:r>
        <w:t>[47]</w:t>
      </w:r>
      <w:r>
        <w:t xml:space="preserve">。AD 脑内已报告 P. gingivalis 与牙龈蛋白酶，小鼠口腔感染升高脑内 Aβ1–42</w:t>
      </w:r>
      <w:r>
        <w:t>[14]</w:t>
      </w:r>
      <w:r>
        <w:t xml:space="preserve">。持续表达活性牙龈蛋白酶的感染神经元出现 AD 样变性</w:t>
      </w:r>
      <w:r>
        <w:t>[48]</w:t>
      </w:r>
      <w:r>
        <w:t xml:space="preserve">。野生型小鼠反复口腔给予牙周病原后产生神经炎症和 Aβ 相关改变</w:t>
      </w:r>
      <w:r>
        <w:t>[15]</w:t>
      </w:r>
      <w:r>
        <w:t xml:space="preserve">。P. gingivalis 菌血症经 Mfsd2a/Caveolin-1 转胞吞路径增加内皮通透性</w:t>
      </w:r>
      <w:r>
        <w:t>[49]</w:t>
      </w:r>
      <w:r>
        <w:t xml:space="preserve">。牙龈蛋白酶与外膜囊泡可把细菌货物送出产生细胞</w:t>
      </w:r>
      <w:r>
        <w:t>[12–13]</w:t>
      </w:r>
      <w:r>
        <w:t xml:space="preserve">。综合分析与 AD 队列把牙周炎与后续认知下降联系起来</w:t>
      </w:r>
      <w:r>
        <w:t>[9–10]</w:t>
      </w:r>
      <w:r>
        <w:t xml:space="preserve">。两样本孟德尔随机化并未支持遗传因果效应</w:t>
      </w:r>
      <w:r>
        <w:t>[11]</w:t>
      </w:r>
      <w:r>
        <w:t xml:space="preserve">。这些报告为在 AD 相关病理中检查口腔产物提供了生物学背景。它们不能把 12 条肽归于 P. gingivalis，也不能证明某一字符串穿过内皮或在脑内蓄积</w:t>
      </w:r>
      <w:r>
        <w:t>[7–8,25]</w:t>
      </w:r>
      <w:r>
        <w:t xml:space="preserve">。7–9 aa 肽比牙龈蛋白酶或囊泡更小；分子更小本身不是屏障穿越的证据。电荷、蛋白酶降解、血浆结合和转运都会影响暴露，这些过程均未在此建模。下文对接与 MD 处理的是：口腔七肽被放到 AChE 上之后，预测接触落在何处。</w:t>
      </w:r>
    </w:p>
    <w:p>
      <w:pPr>
        <w:pStyle w:val="BodyText"/>
      </w:pPr>
      <w:r>
        <w:t xml:space="preserve">深度学习肽挖掘提供了此处的过滤栈。数百万条翻译的微生物组开放阅读框先被打分，再做实验过滤</w:t>
      </w:r>
      <w:r>
        <w:t>[18]</w:t>
      </w:r>
      <w:r>
        <w:t xml:space="preserve">。UniDL4BioPep 在 ESM-2 嵌入上沿用同一先预测再过滤逻辑</w:t>
      </w:r>
      <w:r>
        <w:t>[19]</w:t>
      </w:r>
      <w:r>
        <w:t xml:space="preserve">。NTxPred2、mebipred 与 AnOxPePred 分别针对神经毒性、金属结合和抗氧化终点训练，并非针对 AChE 占据</w:t>
      </w:r>
      <w:r>
        <w:t>[31–33]</w:t>
      </w:r>
      <w:r>
        <w:t xml:space="preserve">。与 HOMD、eHOMD 和唾液宏蛋白质组的目录匹配支持该字符串曾经被观察到，这与其他口腔肽研究中这些资源的角色相同</w:t>
      </w:r>
      <w:r>
        <w:t>[16,26–30]</w:t>
      </w:r>
      <w:r>
        <w:t xml:space="preserve">。基因组目录命中记录的是编码潜力；宏蛋白质组命中记录的是检出肽。二者都不是 12 条对接配体在宿主组织中的暴露。串联分数用作分诊栈，把字符串提名到结构分析。12 条对接配体为 7–9 残基、碱性、pH 7.4 净正电，核心偏亮氨酸。Asp74 与 Trp286 构成外周配体的共同核心</w:t>
      </w:r>
      <w:r>
        <w:t>[50]</w:t>
      </w:r>
      <w:r>
        <w:t xml:space="preserve">，阳离子底物首先停在 Asp74</w:t>
      </w:r>
      <w:r>
        <w:t>[51]</w:t>
      </w:r>
      <w:r>
        <w:t xml:space="preserve">。这些理化特征使这 12 条值得对接。净电荷和亮氨酸含量不能证明对 PAS 有选择性，也不能给出统一结合模式或亲和力。</w:t>
      </w:r>
    </w:p>
    <w:p>
      <w:pPr>
        <w:pStyle w:val="BodyText"/>
      </w:pPr>
      <w:r>
        <w:t xml:space="preserve">人源 AChE（PDB 4EY6）为峡部与 PAS 提供实验框架</w:t>
      </w:r>
      <w:r>
        <w:t>[22]</w:t>
      </w:r>
      <w:r>
        <w:t xml:space="preserve">，沿用电鳗 AChE 上的芳香峡部定位</w:t>
      </w:r>
      <w:r>
        <w:t>[23,52]</w:t>
      </w:r>
      <w:r>
        <w:t xml:space="preserve">。20 Å 峡部把底部催化三联体与 rim 外周簇耦联</w:t>
      </w:r>
      <w:r>
        <w:t>[53]</w:t>
      </w:r>
      <w:r>
        <w:t xml:space="preserve">。AutoDock Vina 是第一轮排序引擎</w:t>
      </w:r>
      <w:r>
        <w:t>[34–35]</w:t>
      </w:r>
      <w:r>
        <w:t xml:space="preserve">。反复出现的预测接触落在 PAS 阵列上。FLLHTTR 预测与 Asp74、Tyr72、His287 形成氢键。YLSLLQR 预测在峡部入口桥接 Tyr72 与 Thr75。LLHPLRL 预测跨越 Trp286 与 Tyr341 并到达催化 His447。4EY6 中 donepezil 也接触 PAS 与催化区</w:t>
      </w:r>
      <w:r>
        <w:t>[22]</w:t>
      </w:r>
      <w:r>
        <w:t xml:space="preserve">；残基名称相同，并不使肽构象在模式或功能上等同于该抑制剂。HLLTLKKHV 到达 1 μs 轨迹中 Aβ 驻留的 344–361 区 Phe346</w:t>
      </w:r>
      <w:r>
        <w:t>[21]</w:t>
      </w:r>
      <w:r>
        <w:t xml:space="preserve">。PAS 配体曾被结晶在 Trp286 与 Tyr341 之间；LLHPLRL 出现同一对残基</w:t>
      </w:r>
      <w:r>
        <w:t>[54]</w:t>
      </w:r>
      <w:r>
        <w:t xml:space="preserve">。ALLLHRC 预测结合催化 Ser203，不接触外侧 PAS 芳香残基。12 个最优构象中有 6 个碰到 PAS 残基。FCLHLQLR、HVLLLRQCA、HLLTLKKHV 与 LLHPLRL 补全该 PAS 接触组；HLPLLHRCC、LLHPLRC、WLLVHLKK 与 YHHLLCRR 停在外侧芳香残基之外，LLHLPKRTT 在旁侧。对接构象中碰到 PAS 残基，是预测几何。12 条配体均已对接。MD 限于最优单次 Vina 构象中最强的三条：FLLHTTR 与 YLSLLQR 为 PAS 接触构象，ALLLHRC 为不接触外侧 PAS 芳香残基的高分催化位点构象，以便把 PAS 几何与强非 PAS 分数对照。对接分数把 12 条串放进有利窗口。分数是第一轮排序，不是结合常数，本身并不能把 PAS 接触构象与催化位点构象分开。分开来自接触名单：Asp74/Tyr72/Trp286/Tyr341 对 Ser203。</w:t>
      </w:r>
    </w:p>
    <w:p>
      <w:pPr>
        <w:pStyle w:val="BodyText"/>
      </w:pPr>
      <w:r>
        <w:t xml:space="preserve">AChE–Aβ 的 MD 已把该酶当作成核中心。加速采样把 Aβ 拉到 AChE 表面</w:t>
      </w:r>
      <w:r>
        <w:t>[20]</w:t>
      </w:r>
      <w:r>
        <w:t xml:space="preserve">。1 μs、以 PAS 为中心的轨迹保持结合</w:t>
      </w:r>
      <w:r>
        <w:t>[21]</w:t>
      </w:r>
      <w:r>
        <w:t xml:space="preserve">。本研究每个体系报告一条 100 ns 生产轨迹：apo AChE 以及 ALLLHRC、FLLHTTR、YLSLLQR 复合物。apo AChE 保持紧凑水解酶。ALLLHRC 跟随该对照。FLLHTTR 与 YLSLLQR 在轨迹后半段落到 apo 之下。FLLHTTR 与 YLSLLQR 的平均涨落低于 apo，ALLLHRC 略高。四个体系中催化核心涨落都低。峡部 rim 的 loop 比三联体更活动，符合 PAS 是表面簇</w:t>
      </w:r>
      <w:r>
        <w:t>[46,54]</w:t>
      </w:r>
      <w:r>
        <w:t xml:space="preserve">。回转半径在 apo 与三个复合物中几乎不动。螺旋与片层与 apo 柱重叠，二级结构在此窗口未被改写。apo AChE 本已是刚性 α/β 水解酶；深芳香峡部不需要大结构域运动即可催化</w:t>
      </w:r>
      <w:r>
        <w:t>[52]</w:t>
      </w:r>
      <w:r>
        <w:t xml:space="preserve">。相对该 apo 基线的小幅收紧，是已经紧凑的折叠再收紧。此窗口上较低的 RMSF 记录的是相应原子涨落减小。SASA 下降可能来自界面埋藏，也可能来自整体形状变化。溶剂可及表面在 ALLLHRC 相对 apo 上升，FLLHTTR 接近 apo，仅 YLSLLQR 下降。分子间氢键计数在 100 ns 内 FLLHTTR 维持较高，YLSLLQR 较低，ALLLHRC 逐渐变稀。计数不是占有率或亲和力；占有率与持续时间未列表。质心距离落在表面驻留范围。三条肽在此窗口内均未离开酶，因此预测构象在单条 100 ns 轨迹上得以维持。FLLHTTR 在 PAS 保持较密的分子间氢键网，YLSLLQR 复合物更紧凑，ALLLHRC 尽管 Ser203 对接分数强，并未保持 PAS 型网络。PAS 导向小分子可在不占据催化位点的情况下抑制 AChE 诱导的聚集</w:t>
      </w:r>
      <w:r>
        <w:t>[6]</w:t>
      </w:r>
      <w:r>
        <w:t xml:space="preserve">。此处分型只是该生化区分的计算类比，且每个复合物仅一条轨迹。</w:t>
      </w:r>
    </w:p>
    <w:p>
      <w:pPr>
        <w:pStyle w:val="BodyText"/>
      </w:pPr>
      <w:r>
        <w:t xml:space="preserve">PAS 结合、妨碍乙酰胆碱水解、调节 Aβ 成核仍是不同问题。此处只把第一项作为预测几何来处理。若候选肽随后在体外被证明结合 PAS，则可能改变该表面的局部相互作用环境。若结合构象与底物路径重叠，催化活性需要单独测定。对接和 MD 不能给出对 Aβ 组装的作用方向。PAS 是已记录的促纤位点</w:t>
      </w:r>
      <w:r>
        <w:t>[4–5,43]</w:t>
      </w:r>
      <w:r>
        <w:t xml:space="preserve">，停在那里的肽原则上可能改变成核；若肽竞争性占据与 Aβ 相关的 PAS 接触，也可能减弱 AChE 介导的聚集。占据促纤位点与两种结局都相容。PAS 导向小分子可阻断 AChE 诱导的聚集</w:t>
      </w:r>
      <w:r>
        <w:t>[6]</w:t>
      </w:r>
      <w:r>
        <w:t xml:space="preserve">，这是抑制读法；AChE–Aβ 复合物毒性高于游离肽</w:t>
      </w:r>
      <w:r>
        <w:t>[4]</w:t>
      </w:r>
      <w:r>
        <w:t xml:space="preserve">，这是配体为 Aβ 本身时的促进读法。口腔七肽不是这两类配体。折叠的 AChE 出示覆肽 PAS，曾被用来解释 AChE–Aβ 颗粒相对游离纤丝更强的海马损伤</w:t>
      </w:r>
      <w:r>
        <w:t>[45]</w:t>
      </w:r>
      <w:r>
        <w:t xml:space="preserve">。那一文献描述的是 AChE–Aβ 复合物，不是本研究的口腔肽。肽–AChE 结合、AChE 酶活和 Aβ 聚集动力学，才能在促进与抑制之间作出区分。</w:t>
      </w:r>
    </w:p>
    <w:p>
      <w:pPr>
        <w:pStyle w:val="BodyText"/>
      </w:pPr>
      <w:r>
        <w:t xml:space="preserve">AChE 的 PAS 药理学此前多为小分子。PAS 配体在不要求占据催化位点的情况下降低 AChE 诱导的聚集</w:t>
      </w:r>
      <w:r>
        <w:t>[6]</w:t>
      </w:r>
      <w:r>
        <w:t xml:space="preserve">。4EY6 中的 donepezil 从 PAS Trp286 跨到催化阴离子位点，即电鳗 AChE 上的双结合模板</w:t>
      </w:r>
      <w:r>
        <w:t>[22–23]</w:t>
      </w:r>
      <w:r>
        <w:t xml:space="preserve">。该表面被当作调节异源蛋白结合（包括 Aβ）的设计把手</w:t>
      </w:r>
      <w:r>
        <w:t>[46]</w:t>
      </w:r>
      <w:r>
        <w:t xml:space="preserve">。双结合抑制剂被设计成同时占据 PAS 与催化阴离子位点，治疗意图是同时减慢乙酰胆碱水解和 PAS 模板化的 Aβ 组装</w:t>
      </w:r>
      <w:r>
        <w:t>[44,46]</w:t>
      </w:r>
      <w:r>
        <w:t xml:space="preserve">。只盖住 rim 的口腔七肽不能按该双结合模板打分。按现有构象，FLLHTTR 与 YLSLLQR 留在 rim。ALLLHRC 不留在 rim，尽管三条都停在有利的对接窗口。这些口腔肽是已有实验依据的功能性表面上的计算候选。</w:t>
      </w:r>
    </w:p>
    <w:p>
      <w:pPr>
        <w:pStyle w:val="BodyText"/>
      </w:pPr>
      <w:r>
        <w:t xml:space="preserve">这 12 条串来自对 PRJNA678453 MAG 的 getorf 预测、UniDL4BioPep 打分和目录匹配。该流程不能证明每条候选都在口腔微环境中实际表达，也不能证明完整肽到达宿主组织。对接给出的是一种评分函数和一帧 AChE 晶体下的构象；分数不是实验 Kd。每个 MD 体系是单条 100 ns 轨迹，不能刻画完整的结合与解离。重复轨迹、氢键占有率表和界面面积分解不是本文结论的依据。未做肽–AChE 结合测定、AChE 酶活测定或 Aβ 聚集实验。体内暴露、血浆稳定性和屏障穿越仍未知。FLLHTTR 与 YLSLLQR 为预测 PAS 接触在此窗口上得以维持提供了最强的计算依据。本研究提名这些肽，并提出可检验的假说：口腔微肽可能与 AChE-PAS 相互作用。若生化相互作用得到确认，再用重复模拟和竞争实验定位作用位点与功能方向。后续需要肽–AChE 结合、AChE 催化和 Aβ 聚集实验，并结合表达与暴露数据来检验该假说。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Rice P, Longden I, Bleasby A. EMBOSS: the European Molecular Biology Open Software Suite. </w:t>
      </w:r>
      <w:r>
        <w:rPr>
          <w:i/>
          <w:sz w:val="24"/>
          <w:szCs w:val="24"/>
        </w:rPr>
        <w:t>Trends Genet</w:t>
      </w:r>
      <w:r>
        <w:rPr>
          <w:sz w:val="24"/>
          <w:szCs w:val="24"/>
        </w:rPr>
        <w:t>. 2000;16(6):276–277. doi:10.1016/S0168-9525(00)02024-2.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37.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38. Alvarez A, Alarcón R, Opazo C, Campos EO, Muñoz FJ, Calderón FH, Dajas F, Gentry MK, Doctor BP, De Mello FG, Inestrosa NC. Stable complexes involving acetylcholinesterase and amyloid-β peptide change the biochemical properties of the enzyme and increase the neurotoxicity of Alzheimer’s fibrils. </w:t>
      </w:r>
      <w:r>
        <w:rPr>
          <w:i/>
          <w:sz w:val="24"/>
          <w:szCs w:val="24"/>
        </w:rPr>
        <w:t>J Neurosci</w:t>
      </w:r>
      <w:r>
        <w:rPr>
          <w:sz w:val="24"/>
          <w:szCs w:val="24"/>
        </w:rPr>
        <w:t>. 1998;18(9):3213–3223. doi:10.1523/JNEUROSCI.18-09-03213.1998.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39. Alvarez A, Opazo C, Alarcón R, Garrido J, Inestrosa NC. Acetylcholinesterase promotes the aggregation of amyloid-β-peptide fragments by forming a complex with the growing fibrils. </w:t>
      </w:r>
      <w:r>
        <w:rPr>
          <w:i/>
          <w:sz w:val="24"/>
          <w:szCs w:val="24"/>
        </w:rPr>
        <w:t>J Mol Biol</w:t>
      </w:r>
      <w:r>
        <w:rPr>
          <w:sz w:val="24"/>
          <w:szCs w:val="24"/>
        </w:rPr>
        <w:t>. 1997;272(3):348–361. doi:10.1006/jmbi.1997.1245.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40. Reyes AE, Perez DR, Alvarez A, Garrido J, Gentry MK, Doctor BP, Inestrosa NC. A monoclonal antibody against acetylcholinesterase inhibits the formation of amyloid fibrils induced by the enzyme. </w:t>
      </w:r>
      <w:r>
        <w:rPr>
          <w:i/>
          <w:sz w:val="24"/>
          <w:szCs w:val="24"/>
        </w:rPr>
        <w:t>Biochem Biophys Res Commun</w:t>
      </w:r>
      <w:r>
        <w:rPr>
          <w:sz w:val="24"/>
          <w:szCs w:val="24"/>
        </w:rPr>
        <w:t>. 1997;232(3):652–655. doi:10.1006/bbrc.1997.6357.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41. Rees T, Hammond PI, Soreq H, Younkin S, Brimijoin S. Acetylcholinesterase promotes β-amyloid plaques in cerebral cortex. </w:t>
      </w:r>
      <w:r>
        <w:rPr>
          <w:i/>
          <w:sz w:val="24"/>
          <w:szCs w:val="24"/>
        </w:rPr>
        <w:t>Neurobiol Aging</w:t>
      </w:r>
      <w:r>
        <w:rPr>
          <w:sz w:val="24"/>
          <w:szCs w:val="24"/>
        </w:rPr>
        <w:t>. 2003;24(6):777–787. doi:10.1016/S0197-4580(02)00230-0.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42. García-Ayllón MS, Small DH, Avila J, Sáez-Valero J. Revisiting the role of acetylcholinesterase in Alzheimer’s disease: cross-talk with P-tau and β-amyloid.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2011;4:22. doi:10.3389/fnmol.2011.00022.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43. Carvajal FJ, Inestrosa NC. Interactions of AChE with Aβ aggregates in Alzheimer’s brain: therapeutic relevance of IDN 5706.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2011;4:19. doi:10.3389/fnmol.2011.00019.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44. Inestrosa NC, Dinamarca MC, Alvarez A. Amyloid–cholinesterase interactions. </w:t>
      </w:r>
      <w:r>
        <w:rPr>
          <w:i/>
          <w:sz w:val="24"/>
          <w:szCs w:val="24"/>
        </w:rPr>
        <w:t>FEBS J</w:t>
      </w:r>
      <w:r>
        <w:rPr>
          <w:sz w:val="24"/>
          <w:szCs w:val="24"/>
        </w:rPr>
        <w:t>. 2008;275(4):625–632. doi:10.1111/j.1742-4658.2007.06238.x.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45. Dinamarca MC, Sagal JP, Quintanilla RA, Godoy JA, Arrázola MS, Inestrosa NC. Amyloid-β–acetylcholinesterase complexes potentiate neurodegenerative changes induced by the Aβ peptide. Implications for the pathogenesis of Alzheimer’s disease. </w:t>
      </w:r>
      <w:r>
        <w:rPr>
          <w:i/>
          <w:sz w:val="24"/>
          <w:szCs w:val="24"/>
        </w:rPr>
        <w:t>Mol Neurodegener</w:t>
      </w:r>
      <w:r>
        <w:rPr>
          <w:sz w:val="24"/>
          <w:szCs w:val="24"/>
        </w:rPr>
        <w:t>. 2010;5:4. doi:10.1186/1750-1326-5-4.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46. Johnson G, Moore SW. The peripheral anionic site of acetylcholinesterase: structure, functions and potential role in rational drug design. </w:t>
      </w:r>
      <w:r>
        <w:rPr>
          <w:i/>
          <w:sz w:val="24"/>
          <w:szCs w:val="24"/>
        </w:rPr>
        <w:t>Curr Pharm Des</w:t>
      </w:r>
      <w:r>
        <w:rPr>
          <w:sz w:val="24"/>
          <w:szCs w:val="24"/>
        </w:rPr>
        <w:t>. 2006;12(2):217–225. doi:10.2174/138161206775193127.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47. Poole S, Singhrao SK, Kesavalu L, Curtis MA, Crean S. Determining the presence of periodontopathic virulence factors in short-term postmortem Alzheimer’s disease brain tissue.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2013;36(4):665–677. doi:10.3233/JAD-121918.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48. Haditsch U, Roth T, Rodriguez L, et al. Alzheimer’s disease-like neurodegeneration in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infected neurons with persistent expression of active gingipains.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2020;75(4):1361–1376. doi:10.3233/JAD-200393.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49. Lei S, Li J, Yu J,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bacteremia increases the permeability of the blood-brain barrier via the Mfsd2a/Caveolin-1 mediated transcytosis pathway. </w:t>
      </w:r>
      <w:r>
        <w:rPr>
          <w:i/>
          <w:sz w:val="24"/>
          <w:szCs w:val="24"/>
        </w:rPr>
        <w:t>Int J Oral Sci</w:t>
      </w:r>
      <w:r>
        <w:rPr>
          <w:sz w:val="24"/>
          <w:szCs w:val="24"/>
        </w:rPr>
        <w:t>. 2023;15:3. doi:10.1038/s41368-022-00215-y.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50. Barak D, Kronman C, Ordentlich A, Ariel N, Bromberg A, Marcus D, Lazar A, Velan B, Shafferman A. Acetylcholinesterase peripheral anionic site degeneracy conferred by amino acid arrays sharing a common core. </w:t>
      </w:r>
      <w:r>
        <w:rPr>
          <w:i/>
          <w:sz w:val="24"/>
          <w:szCs w:val="24"/>
        </w:rPr>
        <w:t>J Biol Chem</w:t>
      </w:r>
      <w:r>
        <w:rPr>
          <w:sz w:val="24"/>
          <w:szCs w:val="24"/>
        </w:rPr>
        <w:t>. 1994;269(9):6296–6305. doi:10.1016/S0021-9258(17)37603-X.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51. Mallender WD, Szegletes T, Rosenberry TL. Acetylthiocholine binds to Asp74 at the peripheral site of human acetylcholinesterase as the first step in the catalytic pathway.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2000;39(26):7753–7763. doi:10.1021/bi000210o.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52. Sussman JL, Harel M, Frolow F, Oefner C, Goldman A, Toker L, Silman I. Atomic structure of acetylcholinesterase from </w:t>
      </w:r>
      <w:r>
        <w:rPr>
          <w:i/>
          <w:sz w:val="24"/>
          <w:szCs w:val="24"/>
        </w:rPr>
        <w:t>Torpedo californica</w:t>
      </w:r>
      <w:r>
        <w:rPr>
          <w:sz w:val="24"/>
          <w:szCs w:val="24"/>
        </w:rPr>
        <w:t xml:space="preserve">: a prototypic acetylcholine-binding protein.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. 1991;253(5022):872–879. doi:10.1126/science.1678899.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53. Dvir H, Silman I, Harel M, Rosenberry TL, Sussman JL. Acetylcholinesterase: from 3D structure to function. </w:t>
      </w:r>
      <w:r>
        <w:rPr>
          <w:i/>
          <w:sz w:val="24"/>
          <w:szCs w:val="24"/>
        </w:rPr>
        <w:t>Chem Biol Interact</w:t>
      </w:r>
      <w:r>
        <w:rPr>
          <w:sz w:val="24"/>
          <w:szCs w:val="24"/>
        </w:rPr>
        <w:t>. 2010;187(1-3):10–22. doi:10.1016/j.cbi.2010.01.042.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54. Bourne Y, Taylor P, Radić Z, Marchot P. Structural insights into ligand interactions at the acetylcholinesterase peripheral anionic site. </w:t>
      </w:r>
      <w:r>
        <w:rPr>
          <w:i/>
          <w:sz w:val="24"/>
          <w:szCs w:val="24"/>
        </w:rPr>
        <w:t>EMBO J</w:t>
      </w:r>
      <w:r>
        <w:rPr>
          <w:sz w:val="24"/>
          <w:szCs w:val="24"/>
        </w:rPr>
        <w:t>. 2003;22(1):1–12. doi:10.1093/emboj/cdg005.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