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 xml:space="preserve">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xml:space="preserve">.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[6]</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[7]</w:t>
      </w:r>
      <w:r>
        <w:t xml:space="preserve">. Oral activity is species- and site-specific, so 16S abundance cannot stand in for a molecular ligand </w:t>
      </w:r>
      <w:r>
        <w:t>[8]</w:t>
      </w:r>
      <w:r>
        <w:t xml:space="preserve">. Meta-analyses report associations between periodontal disease and cognitive disorders, although effect sizes move with case definitions </w:t>
      </w:r>
      <w:r>
        <w:t>[9]</w:t>
      </w:r>
      <w:r>
        <w:t xml:space="preserve">. In an AD cohort, periodontitis tracked later decline </w:t>
      </w:r>
      <w:r>
        <w:t>[10]</w:t>
      </w:r>
      <w:r>
        <w:t xml:space="preserve">. A two-sample Mendelian randomization analysis did not support a genetic causal effect of periodontal disease on AD </w:t>
      </w:r>
      <w:r>
        <w:t>[11]</w:t>
      </w:r>
      <w:r>
        <w:t>. Epidemiology therefore motivates a molecular search; it does not identify the ligand.</w:t>
      </w:r>
    </w:p>
    <w:p>
      <w:pPr>
        <w:pStyle w:val="BodyText"/>
      </w:pPr>
      <w:r>
        <w:t xml:space="preserve">Gingipains and outer-membrane vesicles of Porphyromonas gingivalis supply one mapped virulence pair </w:t>
      </w:r>
      <w:r>
        <w:t>[12–13]</w:t>
      </w:r>
      <w:r>
        <w:t xml:space="preserve">. The organism and gingipains have been reported in AD brains </w:t>
      </w:r>
      <w:r>
        <w:t>[14]</w:t>
      </w:r>
      <w:r>
        <w:t xml:space="preserve">, and repeated oral infection in mice produces neuroinflammation and Aβ-related changes </w:t>
      </w:r>
      <w:r>
        <w:t>[15]</w:t>
      </w:r>
      <w:r>
        <w:t xml:space="preserve">.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BodyText"/>
      </w:pPr>
      <w:r>
        <w:t xml:space="preserve">Microbiome smORFs encode a large pool of uncharted small proteins </w:t>
      </w:r>
      <w:r>
        <w:t>[16–17]</w:t>
      </w:r>
      <w:r>
        <w:t xml:space="preserve">. Mining of human microbiomes for peptide antibiotics first scored millions of translated open reading frames and then applied experimental filters </w:t>
      </w:r>
      <w:r>
        <w:t>[18]</w:t>
      </w:r>
      <w:r>
        <w:t xml:space="preserve">. UniDL4BioPep supplies more than twenty binary bioactivity heads on ESM-2 embeddings </w:t>
      </w:r>
      <w:r>
        <w:t>[19]</w:t>
      </w:r>
      <w:r>
        <w:t xml:space="preserve">.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BodyText"/>
      </w:pPr>
      <w:r>
        <w:t xml:space="preserve">Molecular docking and MD are the usual next step once a ligand list exists. Accelerated MD places Aβ on the AChE surface and treats the enzyme as a nucleation centre </w:t>
      </w:r>
      <w:r>
        <w:t>[20]</w:t>
      </w:r>
      <w:r>
        <w:t xml:space="preserve">. A 1-μs PAS-centred AChE–Aβ trajectory remains bound, with the main residence at residues 344–361 </w:t>
      </w:r>
      <w:r>
        <w:t>[21]</w:t>
      </w:r>
      <w:r>
        <w:t xml:space="preserve">. PDB 4EY6 gives a 2.40 Å human AChE frame </w:t>
      </w:r>
      <w:r>
        <w:t>[22]</w:t>
      </w:r>
      <w:r>
        <w:t xml:space="preserve">. The aromatic gorge that joins the catalytic triad to the PAS was mapped on Torpedo AChE </w:t>
      </w:r>
      <w:r>
        <w:t>[23]</w:t>
      </w:r>
      <w:r>
        <w:t xml:space="preserve">. Docking can assess whether oral short peptides may interact with that same PAS; MD can assess conformational features of the complex. What remains missing is that peptide-level test, drawn from oral smORFs rather than from Aβ itself.</w:t>
      </w:r>
    </w:p>
    <w:p>
      <w:pPr>
        <w:pStyle w:val="BodyText"/>
      </w:pPr>
      <w:r>
        <w:t xml:space="preserve">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Heading2"/>
        <w:keepNext/>
      </w:pPr>
      <w:r>
        <w:t>Materials and methods</w:t>
      </w:r>
    </w:p>
    <w:p>
      <w:pPr>
        <w:pStyle w:val="Heading3"/>
        <w:keepNext/>
      </w:pPr>
      <w:r>
        <w:t>Study design</w:t>
      </w:r>
    </w:p>
    <w:p>
      <w:pPr>
        <w:pStyle w:val="BodyText"/>
      </w:pPr>
      <w:r>
        <w:t xml:space="preserve">The work is computational. No new patients, specimens, sequencing runs or wet assays were added. Healthy and periodontitis tags are library labels; they are not peptide-level clinical diagnoses. Ligand starting coordinates for docking were AlphaFold3 models of the twelve peptides. All twelve were docked with local three-run AutoDock Vina. MD was restricted to apo AChE and three complexes taken from the best-run poses, as described below.</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t>[8]</w:t>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t>[24]</w:t>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[18–19]</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[25]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[26–27]</w:t>
      </w:r>
      <w:r>
        <w:t xml:space="preserve">. Salivary metaproteomes record peptides inside their own false-discovery framework </w:t>
      </w:r>
      <w:r>
        <w:t>[28]</w:t>
      </w:r>
      <w:r>
        <w:t xml:space="preserve">. Further oral metaproteomic sets add sequence observations from other clinical contexts </w:t>
      </w:r>
      <w:r>
        <w:t>[29–30]</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[31]</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[32]</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[33]</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Ligand starting coordinates for the twelve peptides were predicted with AlphaFold3.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t>[22]</w:t>
      </w:r>
      <w:r>
        <w:t xml:space="preserve">. The twelve ligands ALLLHRC, FCLHLQLR, FLLHTTR, HLLTLKKHV, HLPLLHRCC, HVLLLRQCA, LLHLPKRTT, LLHPLRC, LLHPLRL, WLLVHLKK, YHHLLCRR and YLSLLQR were docked with AutoDock Vina, exhaustiveness 32 </w:t>
      </w:r>
      <w:r>
        <w:t>[34–35]</w:t>
      </w:r>
      <w:r>
        <w:t xml:space="preserve">.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[36–37]</w:t>
      </w:r>
      <w:r>
        <w:t xml:space="preserve">: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[21]</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t>[4]</w:t>
      </w:r>
      <w:r>
        <w:t xml:space="preserve">. Stable enzyme–peptide complexes change AChE biochemistry and raise fibril neurotoxicity. Isolated complexes contain enzyme bound to growing fibrils </w:t>
      </w:r>
      <w:r>
        <w:t>[38–39]</w:t>
      </w:r>
      <w:r>
        <w:t xml:space="preserve">. A short hydrophobic PAS motif is sufficient for that chaperone effect </w:t>
      </w:r>
      <w:r>
        <w:t>[5]</w:t>
      </w:r>
      <w:r>
        <w:t xml:space="preserve">. A monoclonal antibody to AChE blocks the effect </w:t>
      </w:r>
      <w:r>
        <w:t>[40]</w:t>
      </w:r>
      <w:r>
        <w:t xml:space="preserve">, and PAS-directed small molecules reach the same endpoint </w:t>
      </w:r>
      <w:r>
        <w:t>[6]</w:t>
      </w:r>
      <w:r>
        <w:t xml:space="preserve">. Excess AChE promotes cortical Aβ plaques in mice </w:t>
      </w:r>
      <w:r>
        <w:t>[41]</w:t>
      </w:r>
      <w:r>
        <w:t xml:space="preserve">. Reviews of AChE in AD place plaque-associated enzyme in cross-talk with Aβ and phospho-tau, and the plaque-associated activity remains sensitive to PAS blockade </w:t>
      </w:r>
      <w:r>
        <w:t>[42–44]</w:t>
      </w:r>
      <w:r>
        <w:t xml:space="preserve">. Hippocampal AChE–Aβ complexes produce more damage than free fibrils </w:t>
      </w:r>
      <w:r>
        <w:t>[45]</w:t>
      </w:r>
      <w:r>
        <w:t xml:space="preserve">. The PAS maps to Tyr72, Asp74, Tyr124, Trp286 and Tyr341, about 20 Å from the catalytic triad at the gorge mouth </w:t>
      </w:r>
      <w:r>
        <w:t>[46]</w:t>
      </w:r>
      <w:r>
        <w:t xml:space="preserve">. These studies support PAS as a functional surface that can take part in AChE-mediated Aβ assembly </w:t>
      </w:r>
      <w:r>
        <w:t>[2–3]</w:t>
      </w:r>
      <w:r>
        <w:t xml:space="preserve">. The present docking and 100-ns trajectories examine predicted contacts of periodontitis-derived micropeptides at that surface.</w:t>
      </w:r>
    </w:p>
    <w:p>
      <w:pPr>
        <w:pStyle w:val="BodyText"/>
      </w:pPr>
      <w:r>
        <w:t xml:space="preserve">An oral exposure path is documented at the organism and protease level. Periodontopathic virulence factors have been detected in short-term postmortem AD brain </w:t>
      </w:r>
      <w:r>
        <w:t>[47]</w:t>
      </w:r>
      <w:r>
        <w:t xml:space="preserve">. P. gingivalis and gingipains have been reported in AD brains, and oral infection in mice raises brain Aβ1–42 </w:t>
      </w:r>
      <w:r>
        <w:t>[14]</w:t>
      </w:r>
      <w:r>
        <w:t xml:space="preserve">. AD-like neurodegeneration occurs in P. gingivalis-infected neurons that keep active gingipains </w:t>
      </w:r>
      <w:r>
        <w:t>[48]</w:t>
      </w:r>
      <w:r>
        <w:t xml:space="preserve">. Repeated oral application of a periodontal pathogen in wild-type mice produces neuroinflammation and Aβ-related changes </w:t>
      </w:r>
      <w:r>
        <w:t>[15]</w:t>
      </w:r>
      <w:r>
        <w:t xml:space="preserve">. P. gingivalis bacteremia increases endothelial permeability through an Mfsd2a/Caveolin-1 transcytosis path </w:t>
      </w:r>
      <w:r>
        <w:t>[49]</w:t>
      </w:r>
      <w:r>
        <w:t xml:space="preserve">. Gingipains and outer-membrane vesicles supply vehicles for bacterial cargo beyond the producing cell </w:t>
      </w:r>
      <w:r>
        <w:t>[12–13]</w:t>
      </w:r>
      <w:r>
        <w:t xml:space="preserve">. Meta-analyses and an AD cohort link periodontitis to later cognitive decline </w:t>
      </w:r>
      <w:r>
        <w:t>[9–10]</w:t>
      </w:r>
      <w:r>
        <w:t xml:space="preserve">. A two-sample Mendelian randomization analysis did not support a genetic causal effect </w:t>
      </w:r>
      <w:r>
        <w:t>[11]</w:t>
      </w:r>
      <w:r>
        <w:t xml:space="preserve">. Those reports supply biological background for examining oral products in AD-related pathology. They do not assign the twelve peptides to P. gingivalis, and they do not show that any one string crosses endothelium or accumulates in brain </w:t>
      </w:r>
      <w:r>
        <w:t>[7–8,25]</w:t>
      </w:r>
      <w:r>
        <w:t xml:space="preserve">. A 7–9-aa peptide is smaller than gingipains or vesicles; size alone is not evidence of barrier crossing. Charge, proteolysis, plasma binding and transport all affect exposure, and none of those processes is modelled here. Docking and MD below address predicted contacts at AChE after an oral heptapeptide has been placed on the enzyme.</w:t>
      </w:r>
    </w:p>
    <w:p>
      <w:pPr>
        <w:pStyle w:val="BodyText"/>
      </w:pPr>
      <w:r>
        <w:t xml:space="preserve">Deep-learning peptide mining supplied the filter stack. Millions of translated microbiome open reading frames have been scored before experimental filters </w:t>
      </w:r>
      <w:r>
        <w:t>[18]</w:t>
      </w:r>
      <w:r>
        <w:t xml:space="preserve">. UniDL4BioPep uses the same predict-then-filter logic on ESM-2 embeddings </w:t>
      </w:r>
      <w:r>
        <w:t>[19]</w:t>
      </w:r>
      <w:r>
        <w:t xml:space="preserve">. NTxPred2, mebipred and AnOxPePred were trained for neurotoxic, metal-binding and antioxidant endpoints, not for AChE occupancy </w:t>
      </w:r>
      <w:r>
        <w:t>[31–33]</w:t>
      </w:r>
      <w:r>
        <w:t xml:space="preserve">. Catalogue matches to HOMD, eHOMD and salivary metaproteomes support prior observation of a string, as in other oral peptide studies </w:t>
      </w:r>
      <w:r>
        <w:t>[16,26–30]</w:t>
      </w:r>
      <w:r>
        <w:t xml:space="preserve">. A genomic catalogue hit records coding potential. A metaproteomic hit records a detected peptide. Neither measurement is host-tissue exposure of the twelve docking ligands. The serial scores function as a triage stack that nominates strings for structure work. The twelve docking ligands are 7–9 residues, alkaline, and net-positive at pH 7.4, with leucine-rich cores. Asp74 and Trp286 form a common core for peripheral ligands </w:t>
      </w:r>
      <w:r>
        <w:t>[50]</w:t>
      </w:r>
      <w:r>
        <w:t xml:space="preserve">, and cationic substrate first docks on Asp74 </w:t>
      </w:r>
      <w:r>
        <w:t>[51]</w:t>
      </w:r>
      <w:r>
        <w:t xml:space="preserve">. Those physicochemical traits made the twelve strings worth docking. Net charge and leucine content do not establish PAS selectivity, a shared binding mode, or affinity.</w:t>
      </w:r>
    </w:p>
    <w:p>
      <w:pPr>
        <w:pStyle w:val="BodyText"/>
      </w:pPr>
      <w:r>
        <w:t xml:space="preserve">Human AChE (PDB 4EY6) gives an experimental frame for the gorge and PAS </w:t>
      </w:r>
      <w:r>
        <w:t>[22]</w:t>
      </w:r>
      <w:r>
        <w:t xml:space="preserve">, following the aromatic-gorge map on Torpedo AChE </w:t>
      </w:r>
      <w:r>
        <w:t>[23,52]</w:t>
      </w:r>
      <w:r>
        <w:t xml:space="preserve">. The 20-Å gorge couples a catalytic triad at the base to a peripheral cluster at the rim </w:t>
      </w:r>
      <w:r>
        <w:t>[53]</w:t>
      </w:r>
      <w:r>
        <w:t xml:space="preserve">. AutoDock Vina is a first-pass ranking engine </w:t>
      </w:r>
      <w:r>
        <w:t>[34–35]</w:t>
      </w:r>
      <w:r>
        <w:t xml:space="preserve">. Recurring predicted contacts fall on the PAS array. FLLHTTR is predicted to hydrogen-bond Asp74, Tyr72 and His287. YLSLLQR is predicted to bridge Tyr72 and Thr75 at the gorge mouth. LLHPLRL is predicted to span Trp286 and Tyr341 and reach catalytic His447. Donepezil in 4EY6 also contacts PAS and the catalytic region </w:t>
      </w:r>
      <w:r>
        <w:t>[22]</w:t>
      </w:r>
      <w:r>
        <w:t xml:space="preserve">; shared residue names do not make the peptide pose equivalent in mode or function. HLLTLKKHV reaches Phe346 in the 344–361 zone occupied by Aβ on a 1-μs trajectory </w:t>
      </w:r>
      <w:r>
        <w:t>[21]</w:t>
      </w:r>
      <w:r>
        <w:t xml:space="preserve">. PAS ligands have been crystallised stacked between Trp286 and Tyr341; the same pair appears for LLHPLRL </w:t>
      </w:r>
      <w:r>
        <w:t>[54]</w:t>
      </w:r>
      <w:r>
        <w:t xml:space="preserve">. ALLLHRC is predicted to bind catalytic Ser203 and does not contact the outer PAS aromatics. Six of twelve best poses meet PAS residues. FCLHLQLR, HVLLLRQCA, HLLTLKKHV and LLHPLRL complete that PAS-contact set; HLPLLHRCC, LLHPLRC, WLLVHLKK and YHHLLCRR stay off the outer aromatics, and LLHLPKRTT sits adjacent. Contact with a PAS residue in a docked pose is a predicted geometry. All twelve ligands were docked. MD was restricted to the three strongest best-run Vina poses: FLLHTTR and YLSLLQR as PAS-contact poses, ALLLHRC as a high-scoring catalytic-site pose without outer PAS aromatics, so that PAS geometry could be compared with a strong non-PAS score. Docking scores put all twelve strings in a favourable window. The scores are first-pass ranks, not binding constants. The contact list separates a PAS-contact pose from a catalytic-site pose: Asp74/Tyr72/Trp286/Tyr341 versus Ser203.</w:t>
      </w:r>
    </w:p>
    <w:p>
      <w:pPr>
        <w:pStyle w:val="BodyText"/>
      </w:pPr>
      <w:r>
        <w:t xml:space="preserve">MD studies of AChE–Aβ already treat the enzyme as a nucleation centre. Accelerated sampling pulled Aβ onto the AChE surface </w:t>
      </w:r>
      <w:r>
        <w:t>[20]</w:t>
      </w:r>
      <w:r>
        <w:t xml:space="preserve">. A 1-μs PAS-centred trajectory remained bound </w:t>
      </w:r>
      <w:r>
        <w:t>[21]</w:t>
      </w:r>
      <w:r>
        <w:t xml:space="preserve">. The present work reports one 100-ns production trajectory for each of four systems: apo AChE and the ALLLHRC, FLLHTTR and YLSLLQR complexes. Apo AChE remains a compact hydrolase. ALLLHRC tracks that control. FLLHTTR and YLSLLQR sit below apo after the first half of the run. Mean fluctuation is below apo for FLLHTTR and YLSLLQR and slightly above apo for ALLLHRC. Catalytic-core fluctuations stay low in all four systems. Loop residues at the gorge rim fluctuate more than the triad, consistent with PAS as a surface cluster </w:t>
      </w:r>
      <w:r>
        <w:t>[46,54]</w:t>
      </w:r>
      <w:r>
        <w:t xml:space="preserve">. Radius of gyration barely shifts across apo and the three complexes. Helix and sheet overlay the apo bars, so secondary structure is not rewritten on this window. Apo AChE is already a stiff α/β hydrolase; the deep aromatic gorge does not require large domain motion for catalysis </w:t>
      </w:r>
      <w:r>
        <w:t>[52]</w:t>
      </w:r>
      <w:r>
        <w:t xml:space="preserve">. A small drop in complex compactness relative to that apo baseline is a tightening of an already compact fold. Lower RMSF on this window records reduced fluctuation of those atoms. A SASA drop can reflect interface burial or a global shape change. Solvent-accessible surface rises for ALLLHRC relative to apo, sits near apo for FLLHTTR, and falls only for YLSLLQR. Intermolecular hydrogen-bond counts stay high for FLLHTTR through 100 ns, sit lower for YLSLLQR, and thin out for ALLLHRC. Count is not occupancy or affinity; occupancy and lifetime were not tabulated. Centre-of-mass distances stay in the surface-residence range. None of the three peptides left the enzyme on this window, so the predicted pose persisted in a single 100-ns trajectory. FLLHTTR keeps a dense intermolecular hydrogen-bond net at PAS. YLSLLQR keeps a more compact complex. ALLLHRC does not keep a PAS-type network despite a strong Ser203 docking score. PAS-directed small molecules can suppress AChE-induced aggregation without catalytic-site occupancy </w:t>
      </w:r>
      <w:r>
        <w:t>[6]</w:t>
      </w:r>
      <w:r>
        <w:t xml:space="preserve">. The present split is a computational analogue of that biochemical distinction, limited to one trajectory per complex.</w:t>
      </w:r>
    </w:p>
    <w:p>
      <w:pPr>
        <w:pStyle w:val="BodyText"/>
      </w:pPr>
      <w:r>
        <w:t xml:space="preserve">Binding at PAS, hindrance of acetylcholine hydrolysis, and modulation of Aβ nucleation remain separate problems. Only the first is treated here as a predicted geometry. If a candidate were later shown to bind PAS in vitro, it could change the local interaction environment of that surface. If the bound pose overlapped the substrate path, catalytic activity would need a separate assay. The sign of any effect on Aβ assembly is not given by docking or MD. Because PAS is a documented pro-fibrillar site </w:t>
      </w:r>
      <w:r>
        <w:t>[4–5,43]</w:t>
      </w:r>
      <w:r>
        <w:t xml:space="preserve">, a peptide remaining there could in principle alter nucleation. A peptide that competed for Aβ-relevant PAS contacts could also reduce AChE-mediated assembly. Occupancy of a pro-fibrillar site is compatible with either outcome. PAS-directed small molecules can block AChE-induced aggregation </w:t>
      </w:r>
      <w:r>
        <w:t>[6]</w:t>
      </w:r>
      <w:r>
        <w:t xml:space="preserve">, which is the inhibitory reading; AChE–Aβ complexes are more toxic than free peptide </w:t>
      </w:r>
      <w:r>
        <w:t>[4]</w:t>
      </w:r>
      <w:r>
        <w:t xml:space="preserve">, which is the promotional reading when the ligand is Aβ itself. An oral heptapeptide is neither of those ligands. Folded AChE presenting a peptide-coated PAS has been invoked to explain greater hippocampal damage of AChE–Aβ particles relative to free fibrils </w:t>
      </w:r>
      <w:r>
        <w:t>[45]</w:t>
      </w:r>
      <w:r>
        <w:t xml:space="preserve">. That literature describes AChE–Aβ complexes, not the present oral peptides. Peptide–AChE binding, AChE activity and Aβ aggregation kinetics are required to choose between promotion and inhibition.</w:t>
      </w:r>
    </w:p>
    <w:p>
      <w:pPr>
        <w:pStyle w:val="BodyText"/>
      </w:pPr>
      <w:r>
        <w:t xml:space="preserve">PAS pharmacology in AChE has mostly been small molecules. PAS ligands reduce AChE-induced aggregation without requiring catalytic-site occupancy </w:t>
      </w:r>
      <w:r>
        <w:t>[6]</w:t>
      </w:r>
      <w:r>
        <w:t xml:space="preserve">. Donepezil in 4EY6 spans PAS Trp286 to the catalytic anionic site, a dual-binding template mapped on Torpedo AChE </w:t>
      </w:r>
      <w:r>
        <w:t>[22–23]</w:t>
      </w:r>
      <w:r>
        <w:t xml:space="preserve">. That surface has been treated as a design handle for ligands that modulate heterologous protein associations, including Aβ </w:t>
      </w:r>
      <w:r>
        <w:t>[46]</w:t>
      </w:r>
      <w:r>
        <w:t xml:space="preserve">. Dual-binding inhibitors were designed to occupy PAS and the catalytic anionic site at once, with the therapeutic aim of slowing both acetylcholine hydrolysis and PAS-templated Aβ assembly </w:t>
      </w:r>
      <w:r>
        <w:t>[44,46]</w:t>
      </w:r>
      <w:r>
        <w:t xml:space="preserve">. Short cationic peptides cover a larger patch than those ligands. An oral heptapeptide that covers only the rim cannot be scored against that dual-binding template. FLLHTTR and YLSLLQR remain at the rim in the present poses. ALLLHRC does not, even though all three scored in a favourable docking window. The oral peptides are computational candidates at a functional surface that already has experimental support.</w:t>
      </w:r>
    </w:p>
    <w:p>
      <w:pPr>
        <w:pStyle w:val="BodyText"/>
      </w:pPr>
      <w:r>
        <w:t xml:space="preserve">The twelve strings come from getorf prediction, UniDL4BioPep scoring and catalogue matching on PRJNA678453 MAGs. That pipeline does not prove that every candidate is expressed in the oral niche or that an intact peptide reaches host tissue. Docking reports a pose under one scoring function and one AChE crystal frame; the score is not an experimental Kd. Each MD system is a single 100-ns trajectory, which cannot map association and dissociation. Repeat runs, hydrogen-bond occupancy tables and interface-area breakdowns were not the basis of the present claims. No peptide–AChE binding assay, no AChE activity assay and no Aβ aggregation assay were performed. In-vivo exposure, plasma stability and barrier crossing remain unknown. FLLHTTR and YLSLLQR supply the strongest computational case for predicted PAS contacts that persist on this window. The work nominates those peptides and a testable hypothesis: oral micropeptides may interact with AChE-PAS. If a biochemical interaction is confirmed, repeat simulations and competition experiments can then locate the site and the functional direction. Later assays of peptide–AChE binding, AChE catalysis and Aβ aggregation, together with expression and exposure data, are required to test that hypothesis.</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