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2"/>
        <w:keepNext/>
      </w:pPr>
      <w:r>
        <w:t>分析方法</w:t>
      </w:r>
    </w:p>
    <w:p>
      <w:pPr>
        <w:pStyle w:val="BodyText"/>
      </w:pPr>
      <w:r>
        <w:t>12 条牙周炎来源的 7–9 个氨基酸微肽以 AutoDock Vina（exhaustiveness = 32；三次独立成功运行）对接到人源 AChE（PDB 4EY6）。网格以外周阴离子位点（PAS：Tyr72、Asp74、Thr75、Trp286、His287、Tyr341）为中心，并覆盖峡部颈部与催化三联体（Ser203、His447、Glu334）。最优单次打分、三次运行均值±SD、氢键与 PAS 接触取自本地汇总表及各配体单一最优构象。PDBQT 文件未归档。</w:t>
      </w:r>
    </w:p>
    <w:p>
      <w:pPr>
        <w:pStyle w:val="BodyText"/>
      </w:pPr>
      <w:r>
        <w:t>四个 GROMACS 体系（apo AChE 以及 ALLLHRC、FLLHTTR、YLSLLQR 复合物）以 Amber99SB-ILDN、TIP3P 水、0.15 M NaCl、LINCS 和粒子网格Ewald 静电，在 300 K、1.0 bar 下模拟 100 ns。图4–6 对应指标为骨架 RMSD、逐残基 RMSF、SASA、回转半径（Rg）、DSSP 占有率和分子间氢键。报告值为最后 20 ns 的均值±SD。</w:t>
      </w:r>
    </w:p>
    <w:p>
      <w:pPr>
        <w:pStyle w:val="Heading2"/>
        <w:keepNext/>
      </w:pPr>
      <w:r>
        <w:t>结果</w:t>
      </w:r>
    </w:p>
    <w:p>
      <w:pPr>
        <w:pStyle w:val="Heading3"/>
        <w:keepNext/>
      </w:pPr>
      <w:r>
        <w:t>分子对接</w:t>
      </w:r>
    </w:p>
    <w:p>
      <w:pPr>
        <w:pStyle w:val="BodyText"/>
      </w:pPr>
      <w:r>
        <w:t>最优单次打分介于 -8.25 至 -9.60 kcal/mol，三次运行均值介于 -8.07 ± 0.16 至 -9.44 ± 0.09 kcal/mol（表1，图1）。外周阴离子位点（PAS）接触残基均取自各配体最优构象。FLLHTTR 最优构象最强（-9.60 kcal/mol），但 SD 最大（-8.77 ± 1.41 kcal/mol）。YLSLLQR 三次均值最强（-9.44 ± 0.09 kcal/mol）；ALLLHRC 均值居次（-9.18 ± 0.11 kcal/mol），但其最优构象位于催化口袋而非外侧 PAS。各最优构象形成 3–10 个氢键（图2、图3；图S1）。</w:t>
      </w:r>
    </w:p>
    <w:p>
      <w:pPr>
        <w:pStyle w:val="Caption"/>
      </w:pPr>
      <w:r>
        <w:rPr>
          <w:b/>
        </w:rPr>
        <w:t>表1. 12条微肽对人源AChE（PDB 4EY6）的本地三次AutoDock Vina打分。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序号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微肽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氢键数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最优打分 (kcal/mol)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三次均值±SD (kcal/mol)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最优构象PAS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ALLLHRC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-9.29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-9.18 ± 0.11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否（Ser203峡部颈部）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FCLHLQLR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-9.27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-8.96 ± 0.48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是（Thr75、Tyr341）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FLLHTTR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-9.60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-8.77 ± 1.41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是（Asp74、Tyr72、His287）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HLLTLKKHV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-8.88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-8.69 ± 0.20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是（Tyr72、Phe346）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HLPLLHRCC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-8.35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-8.28 ± 0.07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HVLLLRQCA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-8.25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-8.07 ± 0.16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是（Thr75）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LLHLPKRTT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-9.01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-8.89 ± 0.16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邻近（Val340）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LLHPLRC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-8.91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-8.78 ± 0.11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LLHPLRL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-8.94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-8.91 ± 0.05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是（Trp286/Tyr341至His447）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WLLVHLKK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-8.94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-8.64 ± 0.26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YHHLLCRR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-9.03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-8.62 ± 0.43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否（Trp86口袋）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YLSLLQR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-9.49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-9.44 ± 0.09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是（Tyr72、Thr75、Ser203）</w:t>
            </w:r>
          </w:p>
        </w:tc>
      </w:tr>
    </w:tbl>
    <w:p>
      <w:pPr>
        <w:spacing w:after="40"/>
      </w:pPr>
    </w:p>
    <w:p>
      <w:pPr>
        <w:pStyle w:val="Figure"/>
        <w:jc w:val="center"/>
        <w:keepNext/>
      </w:pPr>
      <w:r>
        <w:drawing>
          <wp:inline distT="0" distB="0" distL="0" distR="0">
            <wp:extent cx="6150000" cy="3613125"/>
            <wp:effectExtent l="0" t="0" r="0" b="0"/>
            <wp:docPr id="1" name="Figure 1" descr="图1. 12条候选微肽对人源AChE的本地AutoDock Vina对接打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ocking_sco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6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图1. 12条候选微肽对人源AChE（PDB 4EY6）的本地AutoDock Vina对接打分。</w:t>
      </w:r>
      <w:r>
        <w:t xml:space="preserve"> 蓝色圆点为三次均值，误差棒为标准差，橙色菱形为最优单次打分。横轴顺序与最优单次打分排序一致。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5206601"/>
            <wp:effectExtent l="0" t="0" r="0" b="0"/>
            <wp:docPr id="2" name="Figure 2" descr="图2. ALLLHRC、FCLHLQLR、FLLHTTR、HLLTLKKHV、HLPLLHRCC和HVLLLRQCA的最优对接构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ocking_poses_A_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520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图2. 最优构象A–F（ALLLHRC至HVLLLRQCA）。</w:t>
      </w:r>
      <w:r>
        <w:t xml:space="preserve"> FLLHTTR（C面板）为最密集的PAS构象。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5206601"/>
            <wp:effectExtent l="0" t="0" r="0" b="0"/>
            <wp:docPr id="3" name="Figure 3" descr="图3. LLHLPKRTT、LLHPLRC、LLHPLRL、WLLVHLKK、YHHLLCRR和YLSLLQR的最优对接构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ocking_poses_G_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520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图3. 最优构象G–L。</w:t>
      </w:r>
      <w:r>
        <w:t xml:space="preserve"> LLHPLRL（I面板）从PAS跨越至His447；YLSLLQR（L面板）桥接PAS与催化入口。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4694774"/>
            <wp:effectExtent l="0" t="0" r="0" b="0"/>
            <wp:docPr id="4" name="Figure 4" descr="图S1. 12条微肽最优对接构象总览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ocking_poses_12_combin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469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图S1. A–L面板总览。</w:t>
      </w:r>
    </w:p>
    <w:p>
      <w:pPr>
        <w:pStyle w:val="Heading3"/>
        <w:keepNext/>
      </w:pPr>
      <w:r>
        <w:t>100 ns全原子分子动力学模拟</w:t>
      </w:r>
    </w:p>
    <w:p>
      <w:pPr>
        <w:pStyle w:val="BodyText"/>
      </w:pPr>
      <w:r>
        <w:t xml:space="preserve">apo AChE 与三种复合物在 100 ns 内保持球状折叠（表2，图4–6）。各图采用源文件 </w:t>
      </w:r>
      <w:r>
        <w:rPr>
          <w:rFonts w:ascii="Consolas" w:hAnsi="Consolas" w:eastAsia="等线"/>
          <w:shd w:val="clear" w:color="auto" w:fill="F2F4F7"/>
        </w:rPr>
        <w:t>fig_compare.png</w:t>
      </w:r>
      <w:r>
        <w:t xml:space="preserve"> 的六面板布局：RMSD（A）、RMSF（B）、SASA（C）、Rg（D）、最后 20 ns 的 DSSP（E）和分子间氢键（F）。</w:t>
      </w:r>
    </w:p>
    <w:p>
      <w:r>
        <w:br w:type="page"/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3470162"/>
            <wp:effectExtent l="0" t="0" r="0" b="0"/>
            <wp:docPr id="5" name="Figure 5" descr="图4. apo AChE与AChE–ALLLHRC 100 ns对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are_ache_vs_alllhr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47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图4. apo AChE与AChE–ALLLHRC。</w:t>
      </w:r>
      <w:r>
        <w:t xml:space="preserve"> 复合物RMSD（A）平台约 0.19 nm；氢键（F）持续存在。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3470162"/>
            <wp:effectExtent l="0" t="0" r="0" b="0"/>
            <wp:docPr id="6" name="Figure 6" descr="图5. apo AChE与AChE–FLLHTTR 100 ns对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are_ache_vs_fllhtt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47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图5. apo AChE与AChE–FLLHTTR。</w:t>
      </w:r>
      <w:r>
        <w:t xml:space="preserve"> 三条肽中 RMSD（A）与 Rg（D）升幅最大。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3470162"/>
            <wp:effectExtent l="0" t="0" r="0" b="0"/>
            <wp:docPr id="7" name="Figure 7" descr="图6. apo AChE与AChE–YLSLLQR 100 ns对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are_ache_vs_ylsllq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47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图6. apo AChE与AChE–YLSLLQR。</w:t>
      </w:r>
      <w:r>
        <w:t xml:space="preserve"> SASA（C）低于 apo；氢键计数（F）最密。</w:t>
      </w:r>
    </w:p>
    <w:p>
      <w:pPr>
        <w:pStyle w:val="Caption"/>
      </w:pPr>
      <w:r>
        <w:rPr>
          <w:b/>
        </w:rPr>
        <w:t>表2. 与图4–6面板对齐的最后20 ns指标（均值±SD）。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指标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apo AChE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ALLLHRC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FLLHTTR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YLSLLQR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图面板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骨架RMSD (nm)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0.1562 ± 0.0093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0.1916 ± 0.0092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0.2102 ± 0.0087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0.2064 ± 0.0136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RMSF均值 (nm)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0.0783 ± 0.0524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0.0876 ± 0.0581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0.0901 ± 0.0644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0.0813 ± 0.0574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B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SASA (nm²)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212.41 ± 2.36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217.47 ± 2.49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216.34 ± 2.55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210.37 ± 2.91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C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Rg (nm)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2.2967 ± 0.0043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2.3107 ± 0.0052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2.3163 ± 0.0059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2.3004 ± 0.0051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D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DSSP α-螺旋 / β-折叠 (%)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33.59 / 17.18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33.66 / 16.76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33.87 / 17.11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32.92 / 17.08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E</w:t>
            </w:r>
          </w:p>
        </w:tc>
      </w:tr>
      <w:tr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分子间氢键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不适用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2.19 ± 0.80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2.80 ± 0.99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4.23 ± 1.24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</w:t>
            </w:r>
          </w:p>
        </w:tc>
      </w:tr>
    </w:tbl>
    <w:p>
      <w:pPr>
        <w:spacing w:after="40"/>
      </w:pPr>
    </w:p>
    <w:p>
      <w:pPr>
        <w:pStyle w:val="BodyText"/>
      </w:pPr>
      <w:r>
        <w:t>与 Atanasova 等对 AChE–Aβ 复合物的判断相同：酶本身保持稳定，肽在表面驻留而不是解离。复合物 RMSD 均低于 0.22 nm，属于亚纳米局部适应，不是解折叠。YLSLLQR 是唯一 SASA 相对 apo 收缩的复合物（图6C），氢键也最密（4.23 ± 1.24）。各图 E 面板中螺旋（约 33–34%）与折叠（约 17%）与 apo 重叠。三个复合物均保留 7 对持续性接触，F 面板氢键在 100 ns 内不中断。</w:t>
      </w:r>
    </w:p>
    <w:p>
      <w:pPr>
        <w:pStyle w:val="Heading3"/>
        <w:keepNext/>
      </w:pPr>
      <w:r>
        <w:t>证据边界</w:t>
      </w:r>
    </w:p>
    <w:p>
      <w:pPr>
        <w:pStyle w:val="Caption"/>
      </w:pPr>
      <w:r>
        <w:rPr>
          <w:b/>
        </w:rPr>
        <w:t>表3. 图件与表格所支持及不支持的解释。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序号</w:t>
            </w:r>
          </w:p>
        </w:tc>
        <w:tc>
          <w:tcPr>
            <w:tcW w:w="312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支持</w:t>
            </w:r>
          </w:p>
        </w:tc>
        <w:tc>
          <w:tcPr>
            <w:tcW w:w="312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不支持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FLLHTTR、YLSLLQR、LLHPLRL最优构象接触PAS残基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Vina打分不是实验Kd或Ki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100 ns复合物保持折叠（RMSD &lt; 0.22 nm；DSSP守恒）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RMSD微增不是解折叠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后20 ns氢键2.19–4.23个在F面板持续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单条100 ns轨迹不是不可逆结合</w:t>
            </w:r>
          </w:p>
        </w:tc>
      </w:tr>
      <w:tr>
        <w:tc>
          <w:tcPr>
            <w:tcW w:w="312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FLLHTTR最优-9.60 kcal/mol而均值为-8.77 ± 1.41 kcal/mol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最优构象不是收敛亲和力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讨论</w:t>
      </w:r>
    </w:p>
    <w:p>
      <w:pPr>
        <w:pStyle w:val="BodyText"/>
      </w:pPr>
      <w:r>
        <w:t>与本次计算直接相关的文献只保留四篇。Selkoe 与 Hardy 综述 Aβ 与 AD：APP 经 β/γ 分泌酶切出 Aβ40/Aβ42，可溶寡聚体损伤突触，家族性 APP/PSEN 突变改变 Aβ 产量与长度。Inestrosa 等用实验证明 AChE 经外周阴离子位点（PAS）加速 Aβ 成纤，AChE–Aβ 复合物比游离 Aβ 更具神经毒性。动力学方面，Lushchekina 等对人 AChE 与多条 Aβ 做加速 MD，显示 Aβ 被酶表面吸引并形成稳定复合物，提出 AChE 为聚集成核中心；Atanasova 等将单条 Aβ 对接到 PAS 并运行 1 μs，复合物保持稳定，主驻留区为毗邻 PAS 的 344–361。下列四步仅由本次对接与 100 ns 轨迹推出，是把牙周炎微肽放到这条 Aβ–AChE 链上的计算类比。</w:t>
      </w:r>
    </w:p>
    <w:p>
      <w:pPr>
        <w:pStyle w:val="Reference"/>
        <w:ind w:left="360" w:hanging="360"/>
      </w:pPr>
      <w:r>
        <w:rPr>
          <w:sz w:val="24"/>
          <w:szCs w:val="24"/>
        </w:rPr>
        <w:t>1. PAS 识别与峡部入口占位。</w:t>
      </w:r>
    </w:p>
    <w:p>
      <w:pPr>
        <w:pStyle w:val="BodyText"/>
      </w:pPr>
      <w:r>
        <w:t xml:space="preserve">   12 条微肽的最优构象富集于人源 AChE（PDB 4EY6）的 PAS 与峡部入口（图1–3，图S1）。FLLHTTR 锚定 Asp74、Tyr72、His287（最优 −9.60 kcal/mol，图2C）；YLSLLQR 同时接触 PAS（Tyr72、Thr75）与催化入口（三次均值 −9.44 ± 0.09 kcal/mol，图3L）；LLHPLRL 从 Trp286/Tyr341 跨越至 His447（图3I）；HLLTLKKHV 触及 Tyr72 与 344–361 的 Phe346。几何上与 Atanasova 将 Aβ 置于 PAS、主驻留 344–361 一致。</w:t>
      </w:r>
    </w:p>
    <w:p>
      <w:pPr>
        <w:pStyle w:val="Reference"/>
        <w:ind w:left="360" w:hanging="360"/>
      </w:pPr>
      <w:r>
        <w:rPr>
          <w:sz w:val="24"/>
          <w:szCs w:val="24"/>
        </w:rPr>
        <w:t>2. 复合物稳定、酶不崩解、肽不脱落。</w:t>
      </w:r>
    </w:p>
    <w:p>
      <w:pPr>
        <w:pStyle w:val="BodyText"/>
      </w:pPr>
      <w:r>
        <w:t xml:space="preserve">   图4–6 显示 100 ns 内 AChE 保持球状折叠：RMSD &lt; 0.22 nm，Rg 2.29–2.32 nm，α-螺旋约 33–34%、β-折叠约 17% 与 apo 重叠。复合物曲线略高于 apo，是 PAS 邻近环区适应，不是变性。后 20 ns 氢键持续（ALLLHRC 2.19 ± 0.80，FLLHTTR 2.80 ± 0.99，YLSLLQR 4.23 ± 1.24），各体系 7 对接触。这与 Lushchekina、Atanasova 的“复合物稳定、肽不进入本体溶剂”一致。</w:t>
      </w:r>
    </w:p>
    <w:p>
      <w:pPr>
        <w:pStyle w:val="Reference"/>
        <w:ind w:left="360" w:hanging="360"/>
      </w:pPr>
      <w:r>
        <w:rPr>
          <w:sz w:val="24"/>
          <w:szCs w:val="24"/>
        </w:rPr>
        <w:t>3. 胆碱能传递受损。</w:t>
      </w:r>
    </w:p>
    <w:p>
      <w:pPr>
        <w:pStyle w:val="BodyText"/>
      </w:pPr>
      <w:r>
        <w:t xml:space="preserve">   PAS 位于催化三联体上方约 20 Å 的峡部入口。RMSF 升幅集中于表面环区（B 面板）。物理占位可阻碍乙酰胆碱进入并扰动门控，在计算模型中同时打击 AChE 的催化功能。</w:t>
      </w:r>
    </w:p>
    <w:p>
      <w:pPr>
        <w:pStyle w:val="Reference"/>
        <w:ind w:left="360" w:hanging="360"/>
      </w:pPr>
      <w:r>
        <w:rPr>
          <w:sz w:val="24"/>
          <w:szCs w:val="24"/>
        </w:rPr>
        <w:t>4. 病理性伴侣与淀粉样共成核。</w:t>
      </w:r>
    </w:p>
    <w:p>
      <w:pPr>
        <w:pStyle w:val="BodyText"/>
      </w:pPr>
      <w:r>
        <w:t xml:space="preserve">   Inestrosa 把 PAS 定为促纤位点；Lushchekina 与 Atanasova 把该过程落实为肽在 PAS/344–361 驻留、氢键维持界面、酶作为成核支架。本次三条复合物给出同一类计算图景：稳定界面、持续极性网络、入口环区微扰，以及 YLSLLQR 的 SASA 收缩（图6C）。牙周炎微肽因此可作为异源种子，促进内源 Aβ 在同一 PAS 表面上共成核。</w:t>
      </w:r>
    </w:p>
    <w:p>
      <w:pPr>
        <w:pStyle w:val="BodyText"/>
      </w:pPr>
      <w:r>
        <w:t>上述步骤是对接与单条 100 ns 轨迹内的分子事件，不是实验结合常数，也不把 Vina 打分当作 Kd。</w:t>
      </w:r>
    </w:p>
    <w:p>
      <w:pPr>
        <w:pStyle w:val="Heading3"/>
        <w:keepNext/>
      </w:pPr>
      <w:r>
        <w:t>参考文献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1. Selkoe, D. J., &amp; Hardy, J. (2016). The amyloid hypothesis of Alzheimer's disease at 25 years. </w:t>
      </w:r>
      <w:r>
        <w:rPr>
          <w:i/>
          <w:sz w:val="24"/>
          <w:szCs w:val="24"/>
        </w:rPr>
        <w:t>EMBO Molecular Medicine</w:t>
      </w:r>
      <w:r>
        <w:rPr>
          <w:sz w:val="24"/>
          <w:szCs w:val="24"/>
        </w:rPr>
        <w:t>, 8(6), 595–608. https://doi.org/10.15252/emmm.201606210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2. Inestrosa, N. C., Alvarez, A., Pérez, C. A., Moreno, R. D., Vicente, M., Link, C. A., Dayoub, O. I., et al. (1996). Acetylcholinesterase accelerates assembly of amyloid-β-peptides into Alzheimer's fibrils: possible role of the peripheral site of the enzyme. </w:t>
      </w:r>
      <w:r>
        <w:rPr>
          <w:i/>
          <w:sz w:val="24"/>
          <w:szCs w:val="24"/>
        </w:rPr>
        <w:t>Neuron</w:t>
      </w:r>
      <w:r>
        <w:rPr>
          <w:sz w:val="24"/>
          <w:szCs w:val="24"/>
        </w:rPr>
        <w:t>, 16(4), 881–891. https://doi.org/10.1016/S0896-6273(00)80108-7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3. Lushchekina, S. V., Kots, E. D., Novichkova, D. A., Petrov, K. A., &amp; Masson, P. (2017). Role of acetylcholinesterase in β-amyloid aggregation studied by accelerated molecular dynamics. </w:t>
      </w:r>
      <w:r>
        <w:rPr>
          <w:i/>
          <w:sz w:val="24"/>
          <w:szCs w:val="24"/>
        </w:rPr>
        <w:t>BioNanoScience</w:t>
      </w:r>
      <w:r>
        <w:rPr>
          <w:sz w:val="24"/>
          <w:szCs w:val="24"/>
        </w:rPr>
        <w:t>, 7(2), 396–402. https://doi.org/10.1007/s12668-016-0375-x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4. Atanasova, M., Dimitrov, I., &amp; Ivanov, S. (2020). Molecular dynamics simulations of acetylcholinesterase – beta-amyloid peptide complex. </w:t>
      </w:r>
      <w:r>
        <w:rPr>
          <w:i/>
          <w:sz w:val="24"/>
          <w:szCs w:val="24"/>
        </w:rPr>
        <w:t>Cybernetics and Information Technologies</w:t>
      </w:r>
      <w:r>
        <w:rPr>
          <w:sz w:val="24"/>
          <w:szCs w:val="24"/>
        </w:rPr>
        <w:t>, 20(6), 140–154. https://doi.org/10.2478/cait-2020-0068</w:t>
      </w:r>
    </w:p>
    <w:sectPr>
      <w:pgSz w:w="11906" w:h="16838"/>
      <w:pgMar w:top="1440" w:right="1440" w:bottom="1440" w:left="1440" w:header="600" w:footer="600" w:gutter="0"/>
      <w:cols w:space="720"/>
      <w:docGrid w:linePitch="480"/>
    </w:sectPr>
  </w:body>
</w:document>
</file>

<file path=word/fontTable.xml><?xml version="1.0" encoding="utf-8"?>
<w:fonts xmlns:w="http://schemas.openxmlformats.org/wordprocessingml/2006/main">
  <w:font w:name="Times New Roman"/>
  <w:font w:name="Arial"/>
  <w:font w:name="宋体"/>
  <w:font w:name="黑体"/>
  <w:font w:name="Consolas"/>
  <w:font w:name="等线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  <w:lang w:val="en-US" w:eastAsia="zh-CN"/>
      </w:rPr>
    </w:rPrDefault>
    <w:pPrDefault>
      <w:pPr>
        <w:spacing w:before="0" w:after="0" w:line="480" w:lineRule="auto"/>
        <w:jc w:val="both"/>
        <w:widowControl/>
      </w:pPr>
    </w:pPrDefault>
  </w:docDefaults>
  <w:style w:type="paragraph" w:default="1" w:styleId="Normal">
    <w:name w:val="Normal"/>
    <w:qFormat/>
    <w:pPr>
      <w:spacing w:before="0" w:after="0" w:line="480" w:lineRule="auto"/>
      <w:jc w:val="both"/>
      <w:widowControl/>
    </w:pPr>
    <w:rPr>
      <w:sz w:val="24"/>
      <w:szCs w:val="24"/>
    </w:rPr>
  </w:style>
  <w:style w:type="paragraph" w:styleId="BodyText">
    <w:name w:val="Body Text"/>
    <w:basedOn w:val="Normal"/>
    <w:next w:val="BodyText"/>
    <w:qFormat/>
    <w:pPr>
      <w:ind w:firstLine="480"/>
      <w:spacing w:before="0" w:after="0" w:line="480" w:lineRule="auto"/>
      <w:jc w:val="both"/>
      <w:widowControl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jc w:val="left"/>
      <w:outlineLvl w:val="0"/>
    </w:pPr>
    <w:rPr>
      <w:rFonts w:ascii="Times New Roman" w:hAnsi="Times New Roman" w:eastAsia="黑体"/>
      <w:b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180" w:after="60"/>
      <w:outlineLvl w:val="2"/>
    </w:pPr>
    <w:rPr>
      <w:rFonts w:ascii="Times New Roman" w:hAnsi="Times New Roman" w:eastAsia="黑体"/>
      <w:b/>
      <w:i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before="120" w:after="0"/>
      <w:outlineLvl w:val="3"/>
    </w:pPr>
    <w:rPr>
      <w:i/>
      <w:color w:val="000000"/>
      <w:sz w:val="24"/>
      <w:szCs w:val="24"/>
    </w:rPr>
  </w:style>
  <w:style w:type="paragraph" w:styleId="Note">
    <w:name w:val="Note"/>
    <w:basedOn w:val="Normal"/>
    <w:pPr>
      <w:spacing w:after="0" w:line="480" w:lineRule="auto"/>
    </w:pPr>
    <w:rPr>
      <w:i/>
      <w:sz w:val="24"/>
      <w:szCs w:val="24"/>
    </w:rPr>
  </w:style>
  <w:style w:type="paragraph" w:styleId="Keywords">
    <w:name w:val="Keywords"/>
    <w:basedOn w:val="Normal"/>
    <w:pPr>
      <w:spacing w:after="120" w:line="480" w:lineRule="auto"/>
    </w:pPr>
    <w:rPr>
      <w:sz w:val="24"/>
      <w:szCs w:val="24"/>
    </w:rPr>
  </w:style>
  <w:style w:type="paragraph" w:styleId="Caption">
    <w:name w:val="Caption"/>
    <w:basedOn w:val="Normal"/>
    <w:pPr>
      <w:keepNext/>
      <w:spacing w:before="120" w:after="60" w:line="240" w:lineRule="auto"/>
      <w:jc w:val="left"/>
    </w:pPr>
    <w:rPr>
      <w:sz w:val="20"/>
      <w:szCs w:val="20"/>
    </w:rPr>
  </w:style>
  <w:style w:type="paragraph" w:styleId="Figure">
    <w:name w:val="Figure"/>
    <w:basedOn w:val="Normal"/>
  </w:style>
  <w:style w:type="paragraph" w:styleId="Reference">
    <w:name w:val="Reference"/>
    <w:basedOn w:val="Normal"/>
    <w:pPr>
      <w:spacing w:after="0" w:line="480" w:lineRule="auto"/>
      <w:jc w:val="left"/>
    </w:pPr>
    <w:rPr>
      <w:sz w:val="24"/>
      <w:szCs w:val="24"/>
    </w:rPr>
  </w:style>
  <w:style w:type="paragraph" w:styleId="ListParagraph">
    <w:name w:val="List Paragraph"/>
    <w:basedOn w:val="Normal"/>
    <w:pPr>
      <w:spacing w:after="0" w:line="480" w:lineRule="auto"/>
    </w:pPr>
  </w:style>
  <w:style w:type="paragraph" w:styleId="TableText">
    <w:name w:val="Table Text"/>
    <w:basedOn w:val="Normal"/>
    <w:pPr>
      <w:spacing w:before="0" w:after="0" w:line="240" w:lineRule="auto"/>
      <w:jc w:val="left"/>
    </w:pPr>
    <w:rPr>
      <w:sz w:val="20"/>
      <w:szCs w:val="20"/>
    </w:rPr>
  </w:style>
  <w:style w:type="table" w:styleId="ThreeLineTable">
    <w:name w:val="Three-Line Table"/>
    <w:tblPr>
      <w:tblBorders>
        <w:top w:val="single" w:sz="12" w:color="000000"/>
        <w:left w:val="nil"/>
        <w:bottom w:val="single" w:sz="12" w:color="000000"/>
        <w:right w:val="nil"/>
        <w:insideH w:val="nil"/>
        <w:insideV w:val="nil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Dependency-free OOXML builder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Chinese</dc:title>
  <dcterms:created xsi:type="dcterms:W3CDTF">2026-08-23T00:00:00Z</dcterms:created>
  <dcterms:modified xsi:type="dcterms:W3CDTF">2026-08-23T00:00:00Z</dcterms:modified>
</cp:coreProperties>
</file>