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Analysis methods</w:t>
      </w:r>
    </w:p>
    <w:p>
      <w:pPr>
        <w:pStyle w:val="BodyText"/>
      </w:pPr>
      <w:r>
        <w:t>Twelve periodontitis-derived 7–9-aa micropeptides were docked with AutoDock Vina (exhaustiveness = 32; three independent successful runs) into human AChE (PDB 4EY6). The grid was centered on the peripheral anionic site (PAS: Tyr72, Asp74, Thr75, Trp286, His287, Tyr341) and included the gorge neck and catalytic triad (Ser203, His447, Glu334). Best-run affinity, three-run mean ± SD, hydrogen bonds, and PAS contacts were taken from the local summary and each ligand’s single best pose. PDBQT files are not archived.</w:t>
      </w:r>
    </w:p>
    <w:p>
      <w:pPr>
        <w:pStyle w:val="BodyText"/>
      </w:pPr>
      <w:r>
        <w:t>Four GROMACS systems (apo AChE and the ALLLHRC, FLLHTTR, and YLSLLQR complexes) were simulated for 100 ns with Amber99SB-ILDN, TIP3P water, 0.15 M NaCl, LINCS, and Particle Mesh Ewald electrostatics at 300 K and 1.0 bar. Metrics in Figures 4–6 are backbone RMSD, per-residue RMSF, SASA, radius of gyration (Rg), DSSP occupancy, and intermolecular hydrogen bonds. Reported values are mean ± SD over the last 20 ns.</w:t>
      </w:r>
    </w:p>
    <w:p>
      <w:pPr>
        <w:pStyle w:val="Heading2"/>
        <w:keepNext/>
      </w:pPr>
      <w:r>
        <w:t>Results</w:t>
      </w:r>
    </w:p>
    <w:p>
      <w:pPr>
        <w:pStyle w:val="Heading3"/>
        <w:keepNext/>
      </w:pPr>
      <w:r>
        <w:t>Docking</w:t>
      </w:r>
    </w:p>
    <w:p>
      <w:pPr>
        <w:pStyle w:val="BodyText"/>
      </w:pPr>
      <w:r>
        <w:t>Best-run scores ranged from -8.25 to -9.60 kcal/mol and three-run means from -8.07 ± 0.16 to -9.44 ± 0.09 kcal/mol (Table 1, Figure 1). Residue contacts at the Peripheral Anionic Site (PAS) are taken from each best pose. FLLHTTR had the strongest best pose (-9.60 kcal/mol) but the largest SD (-8.77 ± 1.41 kcal/mol). YLSLLQR had the strongest mean (-9.44 ± 0.09 kcal/mol); ALLLHRC was second by mean (-9.18 ± 0.11 kcal/mol) despite a catalytic-pocket rather than outer-PAS pose. Best poses formed 3–10 hydrogen bonds (Figures 2 and 3; Figure S1).</w:t>
      </w:r>
    </w:p>
    <w:p>
      <w:pPr>
        <w:pStyle w:val="Caption"/>
      </w:pPr>
      <w:r>
        <w:rPr>
          <w:b/>
        </w:rPr>
        <w:t>Table 1. Local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 (kcal/mol)</w:t>
            </w:r>
          </w:p>
        </w:tc>
        <w:tc>
          <w:tcPr>
            <w:tcW w:w="1560" w:type="dxa"/>
            <w:tcBorders>
              <w:bottom w:val="single" w:sz="8" w:space="0" w:color="000000"/>
            </w:tcBorders>
            <w:vAlign w:val="center"/>
          </w:tcPr>
          <w:p>
            <w:pPr>
              <w:pStyle w:val="TableText"/>
              <w:spacing w:before="0" w:after="0" w:line="240" w:lineRule="auto"/>
            </w:pPr>
            <w:r>
              <w:rPr>
                <w:sz w:val="20"/>
                <w:szCs w:val="20"/>
              </w:rPr>
              <w:t>Mean ± SD, n=3 (kcal/mol)</w:t>
            </w:r>
          </w:p>
        </w:tc>
        <w:tc>
          <w:tcPr>
            <w:tcW w:w="1560" w:type="dxa"/>
            <w:tcBorders>
              <w:bottom w:val="single" w:sz="8" w:space="0" w:color="000000"/>
            </w:tcBorders>
            <w:vAlign w:val="center"/>
          </w:tcPr>
          <w:p>
            <w:pPr>
              <w:pStyle w:val="TableText"/>
              <w:spacing w:before="0" w:after="0" w:line="240" w:lineRule="auto"/>
            </w:pPr>
            <w:r>
              <w:rPr>
                <w:sz w:val="20"/>
                <w:szCs w:val="20"/>
              </w:rPr>
              <w:t>PAS in best pose</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 (Ser203 gorge neck)</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 (Thr75, Tyr341)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 (Asp74, Tyr72, His287)</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 (Tyr72, Phe346)</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 (Thr75)</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 (Val340)</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 (Trp286/Tyr341 to His447)</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 (Trp86 pocket)</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 (Tyr72, Thr75, Ser203)</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against human AChE (PDB 4EY6).</w:t>
      </w:r>
      <w:r>
        <w:t xml:space="preserve"> Blue circles: three-run mean; whiskers: SD; orange diamonds: best-run affinity. Horizontal order is best-run ranking.</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 poses A–F (ALLLHRC to HVLLLRQCA).</w:t>
      </w:r>
      <w:r>
        <w:t xml:space="preserve">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poses G–L.</w:t>
      </w:r>
      <w:r>
        <w:t xml:space="preserve"> LLHPLRL (panel I) spans PAS to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panels A–L.</w:t>
      </w:r>
    </w:p>
    <w:p>
      <w:pPr>
        <w:pStyle w:val="Heading3"/>
        <w:keepNext/>
      </w:pPr>
      <w:r>
        <w:t>100-ns molecular dynamics</w:t>
      </w:r>
    </w:p>
    <w:p>
      <w:pPr>
        <w:pStyle w:val="BodyText"/>
      </w:pPr>
      <w:r>
        <w:t xml:space="preserve">Apo AChE and the three complexes remained globular over 100 ns (Table 2, Figures 4–6). Each figure uses the same six-panel layout as the source </w:t>
      </w:r>
      <w:r>
        <w:rPr>
          <w:rFonts w:ascii="Consolas" w:hAnsi="Consolas" w:eastAsia="等线"/>
          <w:shd w:val="clear" w:color="auto" w:fill="F2F4F7"/>
        </w:rPr>
        <w:t>fig_compare.png</w:t>
      </w:r>
      <w:r>
        <w:t xml:space="preserve"> files: RMSD (A), RMSF (B), SASA (C), Rg (D), DSSP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w:t>
      </w:r>
      <w:r>
        <w:t xml:space="preserve"> Complex RMSD (A) plateaus near 0.19 nm; hydrogen bonds (F) persist.</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w:t>
      </w:r>
      <w:r>
        <w:t xml:space="preserve"> Largest RMSD (A) and Rg (D) elevations among the three peptides.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w:t>
      </w:r>
      <w:r>
        <w:t xml:space="preserve"> SASA (C) falls below apo; hydrogen-bond counts (F) are densest.</w:t>
      </w:r>
    </w:p>
    <w:p>
      <w:pPr>
        <w:pStyle w:val="Caption"/>
      </w:pPr>
      <w:r>
        <w:rPr>
          <w:b/>
        </w:rPr>
        <w:t>Table 2. Last-20-ns metrics matching Figure 4–6 panels (mean ± 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Metric</w:t>
            </w:r>
          </w:p>
        </w:tc>
        <w:tc>
          <w:tcPr>
            <w:tcW w:w="1560" w:type="dxa"/>
            <w:tcBorders>
              <w:bottom w:val="single" w:sz="8" w:space="0" w:color="000000"/>
            </w:tcBorders>
            <w:vAlign w:val="center"/>
          </w:tcPr>
          <w:p>
            <w:pPr>
              <w:pStyle w:val="TableText"/>
              <w:spacing w:before="0" w:after="0" w:line="240" w:lineRule="auto"/>
            </w:pPr>
            <w:r>
              <w:rPr>
                <w:sz w:val="20"/>
                <w:szCs w:val="20"/>
              </w:rPr>
              <w:t>apo AChE</w:t>
            </w:r>
          </w:p>
        </w:tc>
        <w:tc>
          <w:tcPr>
            <w:tcW w:w="1560" w:type="dxa"/>
            <w:tcBorders>
              <w:bottom w:val="single" w:sz="8" w:space="0" w:color="000000"/>
            </w:tcBorders>
            <w:vAlign w:val="center"/>
          </w:tcPr>
          <w:p>
            <w:pPr>
              <w:pStyle w:val="TableText"/>
              <w:spacing w:before="0" w:after="0" w:line="240" w:lineRule="auto"/>
            </w:pPr>
            <w:r>
              <w:rPr>
                <w:sz w:val="20"/>
                <w:szCs w:val="20"/>
              </w:rPr>
              <w:t>ALLLHRC</w:t>
            </w:r>
          </w:p>
        </w:tc>
        <w:tc>
          <w:tcPr>
            <w:tcW w:w="1560" w:type="dxa"/>
            <w:tcBorders>
              <w:bottom w:val="single" w:sz="8" w:space="0" w:color="000000"/>
            </w:tcBorders>
            <w:vAlign w:val="center"/>
          </w:tcPr>
          <w:p>
            <w:pPr>
              <w:pStyle w:val="TableText"/>
              <w:spacing w:before="0" w:after="0" w:line="240" w:lineRule="auto"/>
            </w:pPr>
            <w:r>
              <w:rPr>
                <w:sz w:val="20"/>
                <w:szCs w:val="20"/>
              </w:rPr>
              <w:t>FLLHTTR</w:t>
            </w:r>
          </w:p>
        </w:tc>
        <w:tc>
          <w:tcPr>
            <w:tcW w:w="1560" w:type="dxa"/>
            <w:tcBorders>
              <w:bottom w:val="single" w:sz="8" w:space="0" w:color="000000"/>
            </w:tcBorders>
            <w:vAlign w:val="center"/>
          </w:tcPr>
          <w:p>
            <w:pPr>
              <w:pStyle w:val="TableText"/>
              <w:spacing w:before="0" w:after="0" w:line="240" w:lineRule="auto"/>
            </w:pPr>
            <w:r>
              <w:rPr>
                <w:sz w:val="20"/>
                <w:szCs w:val="20"/>
              </w:rPr>
              <w:t>YLSLLQR</w:t>
            </w:r>
          </w:p>
        </w:tc>
        <w:tc>
          <w:tcPr>
            <w:tcW w:w="1560" w:type="dxa"/>
            <w:tcBorders>
              <w:bottom w:val="single" w:sz="8" w:space="0" w:color="000000"/>
            </w:tcBorders>
            <w:vAlign w:val="center"/>
          </w:tcPr>
          <w:p>
            <w:pPr>
              <w:pStyle w:val="TableText"/>
              <w:spacing w:before="0" w:after="0" w:line="240" w:lineRule="auto"/>
            </w:pPr>
            <w:r>
              <w:rPr>
                <w:sz w:val="20"/>
                <w:szCs w:val="20"/>
              </w:rPr>
              <w:t>Figure panel</w:t>
            </w:r>
          </w:p>
        </w:tc>
      </w:tr>
      <w:tr>
        <w:tc>
          <w:tcPr>
            <w:tcW w:w="1560" w:type="dxa"/>
            <w:vAlign w:val="center"/>
          </w:tcPr>
          <w:p>
            <w:pPr>
              <w:pStyle w:val="TableText"/>
              <w:spacing w:before="0" w:after="0" w:line="240" w:lineRule="auto"/>
            </w:pPr>
            <w:r>
              <w:rPr>
                <w:sz w:val="20"/>
                <w:szCs w:val="20"/>
              </w:rPr>
              <w:t>Backbone RMSD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w:t>
            </w:r>
          </w:p>
        </w:tc>
        <w:tc>
          <w:tcPr>
            <w:tcW w:w="1560" w:type="dxa"/>
            <w:vAlign w:val="center"/>
          </w:tcPr>
          <w:p>
            <w:pPr>
              <w:pStyle w:val="TableText"/>
              <w:spacing w:before="0" w:after="0" w:line="240" w:lineRule="auto"/>
            </w:pPr>
            <w:r>
              <w:rPr>
                <w:sz w:val="20"/>
                <w:szCs w:val="20"/>
              </w:rPr>
              <w:t>0.2102 ± 0.0087</w:t>
            </w:r>
          </w:p>
        </w:tc>
        <w:tc>
          <w:tcPr>
            <w:tcW w:w="1560" w:type="dxa"/>
            <w:vAlign w:val="center"/>
          </w:tcPr>
          <w:p>
            <w:pPr>
              <w:pStyle w:val="TableText"/>
              <w:spacing w:before="0" w:after="0" w:line="240" w:lineRule="auto"/>
            </w:pPr>
            <w:r>
              <w:rPr>
                <w:sz w:val="20"/>
                <w:szCs w:val="20"/>
              </w:rPr>
              <w:t>0.2064 ± 0.0136</w:t>
            </w:r>
          </w:p>
        </w:tc>
        <w:tc>
          <w:tcPr>
            <w:tcW w:w="1560" w:type="dxa"/>
            <w:vAlign w:val="center"/>
          </w:tcPr>
          <w:p>
            <w:pPr>
              <w:pStyle w:val="TableText"/>
              <w:spacing w:before="0" w:after="0" w:line="240" w:lineRule="auto"/>
            </w:pPr>
            <w:r>
              <w:rPr>
                <w:sz w:val="20"/>
                <w:szCs w:val="20"/>
              </w:rPr>
              <w:t>A</w:t>
            </w:r>
          </w:p>
        </w:tc>
      </w:tr>
      <w:tr>
        <w:tc>
          <w:tcPr>
            <w:tcW w:w="1560" w:type="dxa"/>
            <w:vAlign w:val="center"/>
          </w:tcPr>
          <w:p>
            <w:pPr>
              <w:pStyle w:val="TableText"/>
              <w:spacing w:before="0" w:after="0" w:line="240" w:lineRule="auto"/>
            </w:pPr>
            <w:r>
              <w:rPr>
                <w:sz w:val="20"/>
                <w:szCs w:val="20"/>
              </w:rPr>
              <w:t>RMSF mean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w:t>
            </w:r>
          </w:p>
        </w:tc>
        <w:tc>
          <w:tcPr>
            <w:tcW w:w="1560" w:type="dxa"/>
            <w:vAlign w:val="center"/>
          </w:tcPr>
          <w:p>
            <w:pPr>
              <w:pStyle w:val="TableText"/>
              <w:spacing w:before="0" w:after="0" w:line="240" w:lineRule="auto"/>
            </w:pPr>
            <w:r>
              <w:rPr>
                <w:sz w:val="20"/>
                <w:szCs w:val="20"/>
              </w:rPr>
              <w:t>0.0901 ± 0.0644</w:t>
            </w:r>
          </w:p>
        </w:tc>
        <w:tc>
          <w:tcPr>
            <w:tcW w:w="1560" w:type="dxa"/>
            <w:vAlign w:val="center"/>
          </w:tcPr>
          <w:p>
            <w:pPr>
              <w:pStyle w:val="TableText"/>
              <w:spacing w:before="0" w:after="0" w:line="240" w:lineRule="auto"/>
            </w:pPr>
            <w:r>
              <w:rPr>
                <w:sz w:val="20"/>
                <w:szCs w:val="20"/>
              </w:rPr>
              <w:t>0.0813 ± 0.0574</w:t>
            </w:r>
          </w:p>
        </w:tc>
        <w:tc>
          <w:tcPr>
            <w:tcW w:w="1560" w:type="dxa"/>
            <w:vAlign w:val="center"/>
          </w:tcPr>
          <w:p>
            <w:pPr>
              <w:pStyle w:val="TableText"/>
              <w:spacing w:before="0" w:after="0" w:line="240" w:lineRule="auto"/>
            </w:pPr>
            <w:r>
              <w:rPr>
                <w:sz w:val="20"/>
                <w:szCs w:val="20"/>
              </w:rPr>
              <w:t>B</w:t>
            </w:r>
          </w:p>
        </w:tc>
      </w:tr>
      <w:tr>
        <w:tc>
          <w:tcPr>
            <w:tcW w:w="1560" w:type="dxa"/>
            <w:vAlign w:val="center"/>
          </w:tcPr>
          <w:p>
            <w:pPr>
              <w:pStyle w:val="TableText"/>
              <w:spacing w:before="0" w:after="0" w:line="240" w:lineRule="auto"/>
            </w:pPr>
            <w:r>
              <w:rPr>
                <w:sz w:val="20"/>
                <w:szCs w:val="20"/>
              </w:rPr>
              <w:t>SASA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w:t>
            </w:r>
          </w:p>
        </w:tc>
        <w:tc>
          <w:tcPr>
            <w:tcW w:w="1560" w:type="dxa"/>
            <w:vAlign w:val="center"/>
          </w:tcPr>
          <w:p>
            <w:pPr>
              <w:pStyle w:val="TableText"/>
              <w:spacing w:before="0" w:after="0" w:line="240" w:lineRule="auto"/>
            </w:pPr>
            <w:r>
              <w:rPr>
                <w:sz w:val="20"/>
                <w:szCs w:val="20"/>
              </w:rPr>
              <w:t>216.34 ± 2.55</w:t>
            </w:r>
          </w:p>
        </w:tc>
        <w:tc>
          <w:tcPr>
            <w:tcW w:w="1560" w:type="dxa"/>
            <w:vAlign w:val="center"/>
          </w:tcPr>
          <w:p>
            <w:pPr>
              <w:pStyle w:val="TableText"/>
              <w:spacing w:before="0" w:after="0" w:line="240" w:lineRule="auto"/>
            </w:pPr>
            <w:r>
              <w:rPr>
                <w:sz w:val="20"/>
                <w:szCs w:val="20"/>
              </w:rPr>
              <w:t>210.37 ± 2.91</w:t>
            </w:r>
          </w:p>
        </w:tc>
        <w:tc>
          <w:tcPr>
            <w:tcW w:w="1560" w:type="dxa"/>
            <w:vAlign w:val="center"/>
          </w:tcPr>
          <w:p>
            <w:pPr>
              <w:pStyle w:val="TableText"/>
              <w:spacing w:before="0" w:after="0" w:line="240" w:lineRule="auto"/>
            </w:pPr>
            <w:r>
              <w:rPr>
                <w:sz w:val="20"/>
                <w:szCs w:val="20"/>
              </w:rPr>
              <w:t>C</w:t>
            </w:r>
          </w:p>
        </w:tc>
      </w:tr>
      <w:tr>
        <w:tc>
          <w:tcPr>
            <w:tcW w:w="1560" w:type="dxa"/>
            <w:vAlign w:val="center"/>
          </w:tcPr>
          <w:p>
            <w:pPr>
              <w:pStyle w:val="TableText"/>
              <w:spacing w:before="0" w:after="0" w:line="240" w:lineRule="auto"/>
            </w:pPr>
            <w:r>
              <w:rPr>
                <w:sz w:val="20"/>
                <w:szCs w:val="20"/>
              </w:rPr>
              <w:t>Rg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w:t>
            </w:r>
          </w:p>
        </w:tc>
        <w:tc>
          <w:tcPr>
            <w:tcW w:w="1560" w:type="dxa"/>
            <w:vAlign w:val="center"/>
          </w:tcPr>
          <w:p>
            <w:pPr>
              <w:pStyle w:val="TableText"/>
              <w:spacing w:before="0" w:after="0" w:line="240" w:lineRule="auto"/>
            </w:pPr>
            <w:r>
              <w:rPr>
                <w:sz w:val="20"/>
                <w:szCs w:val="20"/>
              </w:rPr>
              <w:t>2.3163 ± 0.0059</w:t>
            </w:r>
          </w:p>
        </w:tc>
        <w:tc>
          <w:tcPr>
            <w:tcW w:w="1560" w:type="dxa"/>
            <w:vAlign w:val="center"/>
          </w:tcPr>
          <w:p>
            <w:pPr>
              <w:pStyle w:val="TableText"/>
              <w:spacing w:before="0" w:after="0" w:line="240" w:lineRule="auto"/>
            </w:pPr>
            <w:r>
              <w:rPr>
                <w:sz w:val="20"/>
                <w:szCs w:val="20"/>
              </w:rPr>
              <w:t>2.3004 ± 0.0051</w:t>
            </w:r>
          </w:p>
        </w:tc>
        <w:tc>
          <w:tcPr>
            <w:tcW w:w="1560" w:type="dxa"/>
            <w:vAlign w:val="center"/>
          </w:tcPr>
          <w:p>
            <w:pPr>
              <w:pStyle w:val="TableText"/>
              <w:spacing w:before="0" w:after="0" w:line="240" w:lineRule="auto"/>
            </w:pPr>
            <w:r>
              <w:rPr>
                <w:sz w:val="20"/>
                <w:szCs w:val="20"/>
              </w:rPr>
              <w:t>D</w:t>
            </w:r>
          </w:p>
        </w:tc>
      </w:tr>
      <w:tr>
        <w:tc>
          <w:tcPr>
            <w:tcW w:w="1560" w:type="dxa"/>
            <w:vAlign w:val="center"/>
          </w:tcPr>
          <w:p>
            <w:pPr>
              <w:pStyle w:val="TableText"/>
              <w:spacing w:before="0" w:after="0" w:line="240" w:lineRule="auto"/>
            </w:pPr>
            <w:r>
              <w:rPr>
                <w:sz w:val="20"/>
                <w:szCs w:val="20"/>
              </w:rPr>
              <w:t>DSSP α-helix / β-sheet (%)</w:t>
            </w:r>
          </w:p>
        </w:tc>
        <w:tc>
          <w:tcPr>
            <w:tcW w:w="1560" w:type="dxa"/>
            <w:vAlign w:val="center"/>
          </w:tcPr>
          <w:p>
            <w:pPr>
              <w:pStyle w:val="TableText"/>
              <w:spacing w:before="0" w:after="0" w:line="240" w:lineRule="auto"/>
            </w:pPr>
            <w:r>
              <w:rPr>
                <w:sz w:val="20"/>
                <w:szCs w:val="20"/>
              </w:rPr>
              <w:t>33.59 / 17.18</w:t>
            </w:r>
          </w:p>
        </w:tc>
        <w:tc>
          <w:tcPr>
            <w:tcW w:w="1560" w:type="dxa"/>
            <w:vAlign w:val="center"/>
          </w:tcPr>
          <w:p>
            <w:pPr>
              <w:pStyle w:val="TableText"/>
              <w:spacing w:before="0" w:after="0" w:line="240" w:lineRule="auto"/>
            </w:pPr>
            <w:r>
              <w:rPr>
                <w:sz w:val="20"/>
                <w:szCs w:val="20"/>
              </w:rPr>
              <w:t>33.66 / 16.76</w:t>
            </w:r>
          </w:p>
        </w:tc>
        <w:tc>
          <w:tcPr>
            <w:tcW w:w="1560" w:type="dxa"/>
            <w:vAlign w:val="center"/>
          </w:tcPr>
          <w:p>
            <w:pPr>
              <w:pStyle w:val="TableText"/>
              <w:spacing w:before="0" w:after="0" w:line="240" w:lineRule="auto"/>
            </w:pPr>
            <w:r>
              <w:rPr>
                <w:sz w:val="20"/>
                <w:szCs w:val="20"/>
              </w:rPr>
              <w:t>33.87 / 17.11</w:t>
            </w:r>
          </w:p>
        </w:tc>
        <w:tc>
          <w:tcPr>
            <w:tcW w:w="1560" w:type="dxa"/>
            <w:vAlign w:val="center"/>
          </w:tcPr>
          <w:p>
            <w:pPr>
              <w:pStyle w:val="TableText"/>
              <w:spacing w:before="0" w:after="0" w:line="240" w:lineRule="auto"/>
            </w:pPr>
            <w:r>
              <w:rPr>
                <w:sz w:val="20"/>
                <w:szCs w:val="20"/>
              </w:rPr>
              <w:t>32.92 / 17.08</w:t>
            </w:r>
          </w:p>
        </w:tc>
        <w:tc>
          <w:tcPr>
            <w:tcW w:w="1560" w:type="dxa"/>
            <w:vAlign w:val="center"/>
          </w:tcPr>
          <w:p>
            <w:pPr>
              <w:pStyle w:val="TableText"/>
              <w:spacing w:before="0" w:after="0" w:line="240" w:lineRule="auto"/>
            </w:pPr>
            <w:r>
              <w:rPr>
                <w:sz w:val="20"/>
                <w:szCs w:val="20"/>
              </w:rPr>
              <w:t>E</w:t>
            </w:r>
          </w:p>
        </w:tc>
      </w:tr>
      <w:tr>
        <w:tc>
          <w:tcPr>
            <w:tcW w:w="1560" w:type="dxa"/>
            <w:vAlign w:val="center"/>
          </w:tcPr>
          <w:p>
            <w:pPr>
              <w:pStyle w:val="TableText"/>
              <w:spacing w:before="0" w:after="0" w:line="240" w:lineRule="auto"/>
            </w:pPr>
            <w:r>
              <w:rPr>
                <w:sz w:val="20"/>
                <w:szCs w:val="20"/>
              </w:rPr>
              <w:t>Intermolecular H-bonds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2.19 ± 0.80</w:t>
            </w:r>
          </w:p>
        </w:tc>
        <w:tc>
          <w:tcPr>
            <w:tcW w:w="1560" w:type="dxa"/>
            <w:vAlign w:val="center"/>
          </w:tcPr>
          <w:p>
            <w:pPr>
              <w:pStyle w:val="TableText"/>
              <w:spacing w:before="0" w:after="0" w:line="240" w:lineRule="auto"/>
            </w:pPr>
            <w:r>
              <w:rPr>
                <w:sz w:val="20"/>
                <w:szCs w:val="20"/>
              </w:rPr>
              <w:t>2.80 ± 0.99</w:t>
            </w:r>
          </w:p>
        </w:tc>
        <w:tc>
          <w:tcPr>
            <w:tcW w:w="1560" w:type="dxa"/>
            <w:vAlign w:val="center"/>
          </w:tcPr>
          <w:p>
            <w:pPr>
              <w:pStyle w:val="TableText"/>
              <w:spacing w:before="0" w:after="0" w:line="240" w:lineRule="auto"/>
            </w:pPr>
            <w:r>
              <w:rPr>
                <w:sz w:val="20"/>
                <w:szCs w:val="20"/>
              </w:rPr>
              <w:t>4.23 ± 1.24</w:t>
            </w:r>
          </w:p>
        </w:tc>
        <w:tc>
          <w:tcPr>
            <w:tcW w:w="1560" w:type="dxa"/>
            <w:vAlign w:val="center"/>
          </w:tcPr>
          <w:p>
            <w:pPr>
              <w:pStyle w:val="TableText"/>
              <w:spacing w:before="0" w:after="0" w:line="240" w:lineRule="auto"/>
            </w:pPr>
            <w:r>
              <w:rPr>
                <w:sz w:val="20"/>
                <w:szCs w:val="20"/>
              </w:rPr>
              <w:t>F</w:t>
            </w:r>
          </w:p>
        </w:tc>
      </w:tr>
    </w:tbl>
    <w:p>
      <w:pPr>
        <w:spacing w:after="40"/>
      </w:pPr>
    </w:p>
    <w:p>
      <w:pPr>
        <w:pStyle w:val="BodyText"/>
      </w:pPr>
      <w:r>
        <w:t>Complex RMSD stays below 0.22 nm. YLSLLQR is the only complex whose SASA contracts versus apo, matching Figure 6C, and it forms the densest hydrogen-bond network (4.23 ± 1.24). Helix (~33–34%) and sheet (~17%) contents overlay the apo bars in every panel E. Each complex retains seven persistent contact pairs.</w:t>
      </w:r>
    </w:p>
    <w:p>
      <w:pPr>
        <w:pStyle w:val="Heading3"/>
        <w:keepNext/>
      </w:pPr>
      <w:r>
        <w:t>Evidence boundary</w:t>
      </w:r>
    </w:p>
    <w:p>
      <w:pPr>
        <w:pStyle w:val="Caption"/>
      </w:pPr>
      <w:r>
        <w:rPr>
          <w:b/>
        </w:rPr>
        <w:t>Table 3. What the figures and tables do and do not support.</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120"/>
        <w:gridCol w:w="3120"/>
        <w:gridCol w:w="3120"/>
      </w:tblGrid>
      <w:tr>
        <w:trPr>
          <w:tblHeader/>
        </w:trPr>
        <w:tc>
          <w:tcPr>
            <w:tcW w:w="3120" w:type="dxa"/>
            <w:tcBorders>
              <w:bottom w:val="single" w:sz="8" w:space="0" w:color="000000"/>
            </w:tcBorders>
            <w:vAlign w:val="center"/>
          </w:tcPr>
          <w:p>
            <w:pPr>
              <w:pStyle w:val="TableText"/>
              <w:spacing w:before="0" w:after="0" w:line="240" w:lineRule="auto"/>
            </w:pPr>
            <w:r>
              <w:rPr>
                <w:sz w:val="20"/>
                <w:szCs w:val="20"/>
              </w:rPr>
              <w:t>No.</w:t>
            </w:r>
          </w:p>
        </w:tc>
        <w:tc>
          <w:tcPr>
            <w:tcW w:w="3120" w:type="dxa"/>
            <w:tcBorders>
              <w:bottom w:val="single" w:sz="8" w:space="0" w:color="000000"/>
            </w:tcBorders>
            <w:vAlign w:val="center"/>
          </w:tcPr>
          <w:p>
            <w:pPr>
              <w:pStyle w:val="TableText"/>
              <w:spacing w:before="0" w:after="0" w:line="240" w:lineRule="auto"/>
            </w:pPr>
            <w:r>
              <w:rPr>
                <w:sz w:val="20"/>
                <w:szCs w:val="20"/>
              </w:rPr>
              <w:t>Supported</w:t>
            </w:r>
          </w:p>
        </w:tc>
        <w:tc>
          <w:tcPr>
            <w:tcW w:w="3120" w:type="dxa"/>
            <w:tcBorders>
              <w:bottom w:val="single" w:sz="8" w:space="0" w:color="000000"/>
            </w:tcBorders>
            <w:vAlign w:val="center"/>
          </w:tcPr>
          <w:p>
            <w:pPr>
              <w:pStyle w:val="TableText"/>
              <w:spacing w:before="0" w:after="0" w:line="240" w:lineRule="auto"/>
            </w:pPr>
            <w:r>
              <w:rPr>
                <w:sz w:val="20"/>
                <w:szCs w:val="20"/>
              </w:rPr>
              <w:t>Not supported</w:t>
            </w:r>
          </w:p>
        </w:tc>
      </w:tr>
      <w:tr>
        <w:tc>
          <w:tcPr>
            <w:tcW w:w="3120" w:type="dxa"/>
            <w:vAlign w:val="center"/>
          </w:tcPr>
          <w:p>
            <w:pPr>
              <w:pStyle w:val="TableText"/>
              <w:spacing w:before="0" w:after="0" w:line="240" w:lineRule="auto"/>
            </w:pPr>
            <w:r>
              <w:rPr>
                <w:sz w:val="20"/>
                <w:szCs w:val="20"/>
              </w:rPr>
              <w:t>1</w:t>
            </w:r>
          </w:p>
        </w:tc>
        <w:tc>
          <w:tcPr>
            <w:tcW w:w="3120" w:type="dxa"/>
            <w:vAlign w:val="center"/>
          </w:tcPr>
          <w:p>
            <w:pPr>
              <w:pStyle w:val="TableText"/>
              <w:spacing w:before="0" w:after="0" w:line="240" w:lineRule="auto"/>
            </w:pPr>
            <w:r>
              <w:rPr>
                <w:sz w:val="20"/>
                <w:szCs w:val="20"/>
              </w:rPr>
              <w:t>Best poses of FLLHTTR, YLSLLQR, and LLHPLRL contact PAS residues</w:t>
            </w:r>
          </w:p>
        </w:tc>
        <w:tc>
          <w:tcPr>
            <w:tcW w:w="3120" w:type="dxa"/>
            <w:vAlign w:val="center"/>
          </w:tcPr>
          <w:p>
            <w:pPr>
              <w:pStyle w:val="TableText"/>
              <w:spacing w:before="0" w:after="0" w:line="240" w:lineRule="auto"/>
            </w:pPr>
            <w:r>
              <w:rPr>
                <w:sz w:val="20"/>
                <w:szCs w:val="20"/>
              </w:rPr>
              <w:t>Vina scores are not experimental Kd or Ki</w:t>
            </w:r>
          </w:p>
        </w:tc>
      </w:tr>
      <w:tr>
        <w:tc>
          <w:tcPr>
            <w:tcW w:w="3120" w:type="dxa"/>
            <w:vAlign w:val="center"/>
          </w:tcPr>
          <w:p>
            <w:pPr>
              <w:pStyle w:val="TableText"/>
              <w:spacing w:before="0" w:after="0" w:line="240" w:lineRule="auto"/>
            </w:pPr>
            <w:r>
              <w:rPr>
                <w:sz w:val="20"/>
                <w:szCs w:val="20"/>
              </w:rPr>
              <w:t>2</w:t>
            </w:r>
          </w:p>
        </w:tc>
        <w:tc>
          <w:tcPr>
            <w:tcW w:w="3120" w:type="dxa"/>
            <w:vAlign w:val="center"/>
          </w:tcPr>
          <w:p>
            <w:pPr>
              <w:pStyle w:val="TableText"/>
              <w:spacing w:before="0" w:after="0" w:line="240" w:lineRule="auto"/>
            </w:pPr>
            <w:r>
              <w:rPr>
                <w:sz w:val="20"/>
                <w:szCs w:val="20"/>
              </w:rPr>
              <w:t>100-ns complexes remain folded (RMSD &lt; 0.22 nm; conserved DSSP)</w:t>
            </w:r>
          </w:p>
        </w:tc>
        <w:tc>
          <w:tcPr>
            <w:tcW w:w="3120" w:type="dxa"/>
            <w:vAlign w:val="center"/>
          </w:tcPr>
          <w:p>
            <w:pPr>
              <w:pStyle w:val="TableText"/>
              <w:spacing w:before="0" w:after="0" w:line="240" w:lineRule="auto"/>
            </w:pPr>
            <w:r>
              <w:rPr>
                <w:sz w:val="20"/>
                <w:szCs w:val="20"/>
              </w:rPr>
              <w:t>Mild RMSD increase is not unfolding</w:t>
            </w:r>
          </w:p>
        </w:tc>
      </w:tr>
      <w:tr>
        <w:tc>
          <w:tcPr>
            <w:tcW w:w="3120" w:type="dxa"/>
            <w:vAlign w:val="center"/>
          </w:tcPr>
          <w:p>
            <w:pPr>
              <w:pStyle w:val="TableText"/>
              <w:spacing w:before="0" w:after="0" w:line="240" w:lineRule="auto"/>
            </w:pPr>
            <w:r>
              <w:rPr>
                <w:sz w:val="20"/>
                <w:szCs w:val="20"/>
              </w:rPr>
              <w:t>3</w:t>
            </w:r>
          </w:p>
        </w:tc>
        <w:tc>
          <w:tcPr>
            <w:tcW w:w="3120" w:type="dxa"/>
            <w:vAlign w:val="center"/>
          </w:tcPr>
          <w:p>
            <w:pPr>
              <w:pStyle w:val="TableText"/>
              <w:spacing w:before="0" w:after="0" w:line="240" w:lineRule="auto"/>
            </w:pPr>
            <w:r>
              <w:rPr>
                <w:sz w:val="20"/>
                <w:szCs w:val="20"/>
              </w:rPr>
              <w:t>Last-20-ns H-bonds 2.19–4.23 persist in panels F</w:t>
            </w:r>
          </w:p>
        </w:tc>
        <w:tc>
          <w:tcPr>
            <w:tcW w:w="3120" w:type="dxa"/>
            <w:vAlign w:val="center"/>
          </w:tcPr>
          <w:p>
            <w:pPr>
              <w:pStyle w:val="TableText"/>
              <w:spacing w:before="0" w:after="0" w:line="240" w:lineRule="auto"/>
            </w:pPr>
            <w:r>
              <w:rPr>
                <w:sz w:val="20"/>
                <w:szCs w:val="20"/>
              </w:rPr>
              <w:t>Single 100-ns trajectories are not irreversible binding</w:t>
            </w:r>
          </w:p>
        </w:tc>
      </w:tr>
      <w:tr>
        <w:tc>
          <w:tcPr>
            <w:tcW w:w="3120" w:type="dxa"/>
            <w:vAlign w:val="center"/>
          </w:tcPr>
          <w:p>
            <w:pPr>
              <w:pStyle w:val="TableText"/>
              <w:spacing w:before="0" w:after="0" w:line="240" w:lineRule="auto"/>
            </w:pPr>
            <w:r>
              <w:rPr>
                <w:sz w:val="20"/>
                <w:szCs w:val="20"/>
              </w:rPr>
              <w:t>4</w:t>
            </w:r>
          </w:p>
        </w:tc>
        <w:tc>
          <w:tcPr>
            <w:tcW w:w="3120" w:type="dxa"/>
            <w:vAlign w:val="center"/>
          </w:tcPr>
          <w:p>
            <w:pPr>
              <w:pStyle w:val="TableText"/>
              <w:spacing w:before="0" w:after="0" w:line="240" w:lineRule="auto"/>
            </w:pPr>
            <w:r>
              <w:rPr>
                <w:sz w:val="20"/>
                <w:szCs w:val="20"/>
              </w:rPr>
              <w:t>FLLHTTR best-run -9.60 kcal/mol versus mean -8.77 ± 1.41 kcal/mol</w:t>
            </w:r>
          </w:p>
        </w:tc>
        <w:tc>
          <w:tcPr>
            <w:tcW w:w="3120" w:type="dxa"/>
            <w:vAlign w:val="center"/>
          </w:tcPr>
          <w:p>
            <w:pPr>
              <w:pStyle w:val="TableText"/>
              <w:spacing w:before="0" w:after="0" w:line="240" w:lineRule="auto"/>
            </w:pPr>
            <w:r>
              <w:rPr>
                <w:sz w:val="20"/>
                <w:szCs w:val="20"/>
              </w:rPr>
              <w:t>A best pose is not a converged affinity</w:t>
            </w:r>
          </w:p>
        </w:tc>
      </w:tr>
    </w:tbl>
    <w:p>
      <w:pPr>
        <w:spacing w:after="40"/>
      </w:pPr>
    </w:p>
    <w:p>
      <w:pPr>
        <w:pStyle w:val="Heading2"/>
        <w:keepNext/>
      </w:pPr>
      <w:r>
        <w:t>Discussion</w:t>
      </w:r>
    </w:p>
    <w:p>
      <w:pPr>
        <w:pStyle w:val="BodyText"/>
      </w:pPr>
      <w:r>
        <w:t>Four papers are retained as directly relevant. Selkoe and Hardy review Aβ and AD: APP cleavage by β- and γ-secretases yields Aβ40/Aβ42, soluble oligomers damage synapses, and familial APP/PSEN mutations change Aβ production and length. Inestrosa et al. showed experimentally that AChE accelerates Aβ fibril assembly through the peripheral anionic site (PAS) and that AChE–Aβ complexes are more neurotoxic than Aβ alone. For dynamics, Lushchekina et al. used accelerated MD of human AChE with multiple Aβ chains and found Aβ attracted to the enzyme surface, forming stable complexes and supporting AChE as a nucleation centre; Atanasova et al. docked one Aβ into the PAS for 1 μs, with a stable complex and main residence at PAS-adjacent 344–361. The four steps below come only from the present docking poses and 100-ns trajectories, as a computational analogy of periodontitis micropeptides onto that Aβ–AChE pathway.</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Asp74, Tyr72 and His287 (best-run −9.60 kcal/mol; Figure 2C). YLSLLQR contacts PAS (Tyr72, Thr75) and the catalytic entrance (three-run mean −9.44 ± 0.09 kcal/mol; Figure 3L). LLHPLRL spans Trp286/Tyr341 to His447 (Figure 3I). HLLTLKKHV reaches Tyr72 and Phe346 in 344–361. The geometry matches Atanasova’s placement of Aβ at PAS with 344–361 as principal residence.</w:t>
      </w:r>
    </w:p>
    <w:p>
      <w:pPr>
        <w:pStyle w:val="Reference"/>
        <w:ind w:left="360" w:hanging="360"/>
      </w:pPr>
      <w:r>
        <w:rPr>
          <w:sz w:val="24"/>
          <w:szCs w:val="24"/>
        </w:rPr>
        <w:t>2. A stable complex: the enzyme does not unfold and the peptide does not leave.</w:t>
      </w:r>
    </w:p>
    <w:p>
      <w:pPr>
        <w:pStyle w:val="BodyText"/>
      </w:pPr>
      <w:r>
        <w:t xml:space="preserve">   Figures 4–6 show globular AChE over 100 ns: RMSD &lt; 0.22 nm, Rg 2.29–2.32 nm, and α-helix ~33–34% / β-sheet ~17% overlaying apo. The modest rise of complex traces above apo is PAS-adjacent loop adaptation, not denaturation. Last-20-ns hydrogen bonds persist (ALLLHRC 2.19 ± 0.80, FLLHTTR 2.80 ± 0.99, YLSLLQR 4.23 ± 1.24), with seven contact pairs. This matches Lushchekina and Atanasova on a stable, surface-bound complex.</w:t>
      </w:r>
    </w:p>
    <w:p>
      <w:pPr>
        <w:pStyle w:val="Reference"/>
        <w:ind w:left="360" w:hanging="360"/>
      </w:pPr>
      <w:r>
        <w:rPr>
          <w:sz w:val="24"/>
          <w:szCs w:val="24"/>
        </w:rPr>
        <w:t>3. Impaired cholinergic transmission.</w:t>
      </w:r>
    </w:p>
    <w:p>
      <w:pPr>
        <w:pStyle w:val="BodyText"/>
      </w:pPr>
      <w:r>
        <w:t xml:space="preserve">   The PAS sits at the entrance of the 20-Å gorge above the catalytic triad. RMSF increases are confined to surface loops (panels B). Physical occupancy can impede acetylcholine entry and perturb gorge gating, so the same pose attacks AChE catalysis in the computational model.</w:t>
      </w:r>
    </w:p>
    <w:p>
      <w:pPr>
        <w:pStyle w:val="Reference"/>
        <w:ind w:left="360" w:hanging="360"/>
      </w:pPr>
      <w:r>
        <w:rPr>
          <w:sz w:val="24"/>
          <w:szCs w:val="24"/>
        </w:rPr>
        <w:t>4. Pathological chaperone activity and amyloid co-nucleation.</w:t>
      </w:r>
    </w:p>
    <w:p>
      <w:pPr>
        <w:pStyle w:val="BodyText"/>
      </w:pPr>
      <w:r>
        <w:t xml:space="preserve">   Inestrosa established the PAS as a pro-fibrillar site; Lushchekina and Atanasova recast that process as peptide residence on PAS/344–361, with hydrogen bonds holding the interface while the enzyme scaffolds nucleation. The three complexes here give the same computational picture: a persistent polar network, entrance-loop perturbation, and SASA contraction for YLSLLQR (Figure 6C). Periodontal micropeptides can therefore act as heterologous seeds that co-nucleate endogenous Aβ on the same PAS surface.</w:t>
      </w:r>
    </w:p>
    <w:p>
      <w:pPr>
        <w:pStyle w:val="BodyText"/>
      </w:pPr>
      <w:r>
        <w:t>These steps are molecular events inside the docking poses and single 100-ns trajectories. They are not experimental binding constants, and Vina scores are not Kd.</w:t>
      </w:r>
    </w:p>
    <w:p>
      <w:pPr>
        <w:pStyle w:val="Heading3"/>
        <w:keepNext/>
      </w:pPr>
      <w:r>
        <w:t>References</w:t>
      </w:r>
    </w:p>
    <w:p>
      <w:pPr>
        <w:pStyle w:val="Reference"/>
        <w:ind w:left="360" w:hanging="360"/>
      </w:pPr>
      <w:r>
        <w:rPr>
          <w:sz w:val="24"/>
          <w:szCs w:val="24"/>
        </w:rPr>
        <w:t xml:space="preserve">1.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2.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3. Lushchekina, S. V., Kots, E. D., Novichkova, D. A., Petrov, K. A., &amp; Masson, P. (2017). Role of acetylcholinesterase in β-amyloid aggregation studied by accelerated molecular dynamics. </w:t>
      </w:r>
      <w:r>
        <w:rPr>
          <w:i/>
          <w:sz w:val="24"/>
          <w:szCs w:val="24"/>
        </w:rPr>
        <w:t>BioNanoScience</w:t>
      </w:r>
      <w:r>
        <w:rPr>
          <w:sz w:val="24"/>
          <w:szCs w:val="24"/>
        </w:rPr>
        <w:t>, 7(2), 396–402. https://doi.org/10.1007/s12668-016-0375-x</w:t>
      </w:r>
    </w:p>
    <w:p>
      <w:pPr>
        <w:pStyle w:val="Reference"/>
        <w:ind w:left="360" w:hanging="360"/>
      </w:pPr>
      <w:r>
        <w:rPr>
          <w:sz w:val="24"/>
          <w:szCs w:val="24"/>
        </w:rPr>
        <w:t xml:space="preserve">4.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