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深度学习引导的牙周炎队列口腔微肽多模型优选：汇总筛选与乙酰胆碱酯酶对接随访</w:t>
      </w:r>
    </w:p>
    <w:p>
      <w:pPr>
        <w:pStyle w:val="Heading2"/>
        <w:keepNext/>
      </w:pPr>
      <w:r>
        <w:t>摘要</w:t>
      </w:r>
    </w:p>
    <w:p>
      <w:pPr>
        <w:pStyle w:val="Normal"/>
      </w:pPr>
      <w:r>
        <w:rPr>
          <w:b/>
        </w:rPr>
        <w:t>背景：</w:t>
      </w:r>
      <w:r>
        <w:t xml:space="preserve"> 微生物组小开放阅读框（smORF）编码的肽空间尚未被充分刻画。串联预测模型可以缩小候选空间，但不能证明翻译、组织暴露、毒性、靶标结合、机制或疾病因果关系。本研究重建一条汇总层面的口腔smORF优选流程，并在严格区分来源和证据等级的前提下整合一项独立报告的乙酰胆碱酯酶（AChE）对接随访。</w:t>
      </w:r>
    </w:p>
    <w:p>
      <w:pPr>
        <w:pStyle w:val="Normal"/>
      </w:pPr>
      <w:r>
        <w:rPr>
          <w:b/>
        </w:rPr>
        <w:t>方法：</w:t>
      </w:r>
      <w:r>
        <w:t xml:space="preserve"> 对4–50 aa smORF的来源汇总记录实施深度学习引导的级联重建，依次整合ESM-2肽嵌入、任务特异性卷积神经网络、用于神经毒性预测的微调蛋白质语言模型、分层神经网络金属结合预测器及多任务抗氧化CNN。研究以确定性脚本重算比例和单调性；候选序列不是独立生物学重复，故未实施候选计数推断。单独归档的外部来源记录提供12条序列及其针对人AChE PDB 4EY6的AutoDock Vina均值±SD。研究独立核验序列组成和分数排序；因缺少制备后的结构、配置、种子、原始运行、日志和构象，未重跑对接。</w:t>
      </w:r>
    </w:p>
    <w:p>
      <w:pPr>
        <w:pStyle w:val="Normal"/>
      </w:pPr>
      <w:r>
        <w:rPr>
          <w:b/>
        </w:rPr>
        <w:t>结果：</w:t>
      </w:r>
      <w:r>
        <w:t xml:space="preserve"> 证据过滤后，健康分支保留31,510/11,269,961（0.2796%），牙周炎分支保留33,786/11,721,988（0.2882%）。短肽分支BBB高分为3,359/30,557（10.99%）和3,446/32,754（10.52%），长肽分支为40/953（4.20%）和72/1,032（6.98%）。牙周炎分支共3,518条BBB高分候选；NTxPred2评估3,299条（93.77%），其中923/3,299（27.98%）为阳性，219条超出其声明长度范围。主要记录随后报告111条金属结合阳性候选，其中15/111（13.51%）满足CHEL≥0.25，12/111（10.81%）进一步满足FRS&lt;0.50，8/111（7.21%）满足FRS&lt;0.45。外部记录列出12条互不重复的7–9 aa序列：11条含组氨酸，6条含半胱氨酸，全部含至少一个Arg/Lys。其报告Vina均值范围为−9.60至−8.25 kcal/mol，SD范围为0.04至0.12。上述分数可排序和作图，但不能独立复现，也不能解释为亲和力。</w:t>
      </w:r>
    </w:p>
    <w:p>
      <w:pPr>
        <w:pStyle w:val="Normal"/>
      </w:pPr>
      <w:r>
        <w:rPr>
          <w:b/>
        </w:rPr>
        <w:t>结论：</w:t>
      </w:r>
      <w:r>
        <w:t xml:space="preserve"> 合并记录构成一套保留来源边界的候选清单，而不是经验证的牙周炎特异肽组或AD机制。外部序列清单使合成规划成为可能，但仍需主要来源逐行链路、原始对接产物、队列匹配的表达证据、实测BBB转运、毒理学、金属依赖生化实验和疾病相关验证。</w:t>
      </w:r>
    </w:p>
    <w:p>
      <w:pPr>
        <w:pStyle w:val="Keywords"/>
      </w:pPr>
      <w:r>
        <w:rPr>
          <w:b/>
        </w:rPr>
        <w:t>关键词：</w:t>
      </w:r>
      <w:r>
        <w:t xml:space="preserve"> 深度学习；蛋白质语言模型；口腔微生物组；小开放阅读框；微肽；牙周炎；血脑屏障；神经毒性预测；金属结合预测；乙酰胆碱酯酶；分子对接；来源追踪；假设生成</w:t>
      </w:r>
    </w:p>
    <w:p>
      <w:pPr>
        <w:pStyle w:val="Heading2"/>
        <w:keepNext/>
      </w:pPr>
      <w:r>
        <w:t>1. 引言</w:t>
      </w:r>
    </w:p>
    <w:p>
      <w:pPr>
        <w:pStyle w:val="Heading3"/>
        <w:keepNext/>
      </w:pPr>
      <w:r>
        <w:t>1.1 阿尔茨海默病、牙周炎症与机制空白</w:t>
      </w:r>
    </w:p>
    <w:p>
      <w:pPr>
        <w:pStyle w:val="Normal"/>
      </w:pPr>
      <w:r>
        <w:t>阿尔茨海默病（Alzheimer’s disease，AD）是一种进行性神经退行性疾病，涉及淀粉样蛋白β、tau、突触、免疫和神经血管异常的相互作用[20]。淀粉样蛋白框架仍具有重要生物学意义，但当前证据更支持其处于多因素疾病网络中，而不是构成充分的单一病因解释[21]。因此，牙周炎作为一种潜在可干预的慢性炎症暴露，在广义口腔—脑轴研究中受到关注[43]。</w:t>
      </w:r>
    </w:p>
    <w:p>
      <w:pPr>
        <w:pStyle w:val="Normal"/>
      </w:pPr>
      <w:r>
        <w:t>在菌群失调的牙周生物膜中，牙龈卟啉单胞菌（</w:t>
      </w:r>
      <w:r>
        <w:rPr>
          <w:i/>
        </w:rPr>
        <w:t>Porphyromonas gingivalis</w:t>
      </w:r>
      <w:r>
        <w:t>）是一种具有免疫调节和组织破坏特性的革兰阴性厌氧条件致病菌。死后组织与实验研究曾在AD相关组织或模型中报告</w:t>
      </w:r>
      <w:r>
        <w:rPr>
          <w:i/>
        </w:rPr>
        <w:t>P. gingivalis</w:t>
      </w:r>
      <w:r>
        <w:t>物质或牙龈蛋白酶相关信号[44]。野生型小鼠反复口腔感染可产生神经炎症和淀粉样蛋白相关改变，支持生物学合理性，但不能直接推导人类因果关系[46]。外膜囊泡则为细菌成分离开牙周生态位提供另一条候选运输路径[50]。相反，孟德尔随机化分析尚未建立牙周病对AD的遗传因果效应[41]。</w:t>
      </w:r>
    </w:p>
    <w:p>
      <w:pPr>
        <w:pStyle w:val="Normal"/>
      </w:pPr>
      <w:r>
        <w:t>当前尚未解决的问题不只是牙周炎症是否与神经退行性改变并存，而是哪些分子实体可能连接两个组织区室。微生物编码的小蛋白和小肽是一类研究不足的候选分子，其表达、系统暴露、BBB转运、神经活性、金属/氧化还原效应及胆碱能相互作用均属未知。本研究因此采用深度学习引导的多模型优选，形成可检验的候选集合，同时严格区分计算标签、来源报告对接和经实验验证的机制。</w:t>
      </w:r>
    </w:p>
    <w:p>
      <w:pPr>
        <w:pStyle w:val="Heading3"/>
        <w:keepNext/>
      </w:pPr>
      <w:r>
        <w:t>1.2 微生物组smORF是规模巨大但难以开发的发现空间</w:t>
      </w:r>
    </w:p>
    <w:p>
      <w:pPr>
        <w:pStyle w:val="Normal"/>
      </w:pPr>
      <w:r>
        <w:t>短编码序列难以与随机开放阅读框区分，而且常低于常规基因识别阈值，因此smORF长期存在系统性漏注释。对人类微生物组的大规模分析仍发现了数千个保守smORF家族，其中许多缺少已知结构域和功能 [1]。互补预测系统可整合谱模型、序列特征、进化信息和核糖体测序富集，提高短ORF注释能力 [2]。近期高分辨率多组学进一步将计算预测与宏转录组和深度宏蛋白质组证据连接起来 [3]。这些进展说明微生物smORF是合理的发现空间，同时也确立了严格边界：预测ORF不必然被翻译，被翻译的肽也不必然稳定或具有功能。</w:t>
      </w:r>
    </w:p>
    <w:p>
      <w:pPr>
        <w:pStyle w:val="Normal"/>
      </w:pPr>
      <w:r>
        <w:t>对极短肽而言，这一边界尤其重要。短ORF研究综述指出，有说服力的微肽发现需要正交证据，而不能仅依赖序列新颖性 [4]。人类蛋白质基因组研究同样要求区分翻译证据、组织背景和功能验证 [5]。在宏基因组组装中，六框翻译可能产生数百万条短序列。与整理后的序列或蛋白质组资源精确匹配可缩小搜索空间，但每个匹配的意义取决于来源：参考数据库可支持序列存在或分类信息，质谱数据仅能在其自身队列、疾病背景和错误发现率框架内支持检出。</w:t>
      </w:r>
    </w:p>
    <w:p>
      <w:pPr>
        <w:pStyle w:val="Heading3"/>
        <w:keepNext/>
      </w:pPr>
      <w:r>
        <w:t>1.3 牙周炎相关口腔生态需要受试者层面的来源信息</w:t>
      </w:r>
    </w:p>
    <w:p>
      <w:pPr>
        <w:pStyle w:val="Normal"/>
      </w:pPr>
      <w:r>
        <w:t>牙周炎伴随口腔微生物群的生态和功能重塑。配对宏基因组/宏转录组研究发现了与牙周炎相关的位点和物种特异性微生物活动 [6]。跨研究宏转录组综合分析进一步说明，疾病比较必须有受试者层面的映射、标准化、协变量和错误发现率控制 [7]。HOMD和eHOMD提供整理后的口腔及呼吸消化道序列/分类资源 [8] [9]，口腔宏蛋白质组数据则提供依赖具体背景的肽检出 [10] [11]。当代口腔宏蛋白质组流程还强调宿主去除、微生物富集、肽与蛋白层面错误控制、分类归属以及公共原始数据保存 [12]。</w:t>
      </w:r>
    </w:p>
    <w:p>
      <w:pPr>
        <w:pStyle w:val="Normal"/>
      </w:pPr>
      <w:r>
        <w:t>主要记录将若干异质性资源用于精确匹配过滤。其中一个资源混合了牙周炎、龋齿和健康唾液样本 [10]；另一个研究肺癌背景下的口腔宏蛋白质组 [11]；HOMD/eHOMD是序列资源而非表达库 [8] [9]。在缺少逐行链路时，这些资源可支持“匹配序列存在”或“曾在特定背景中被观察到”，但不能证明同一肽在当前队列中表达、在牙周炎中富集，或来自某一特定分类单元。因此本文使用“牙周炎队列分支”，而不使用“牙周炎特异肽”。</w:t>
      </w:r>
    </w:p>
    <w:p>
      <w:pPr>
        <w:pStyle w:val="Heading3"/>
        <w:keepNext/>
      </w:pPr>
      <w:r>
        <w:t>1.4 串联肽预测模型是分流工具，不是正交确认</w:t>
      </w:r>
    </w:p>
    <w:p>
      <w:pPr>
        <w:pStyle w:val="Normal"/>
      </w:pPr>
      <w:r>
        <w:t>UniDL4BioPep提供用于二分类肽活性任务的通用深度学习架构 [13]。BBB肽预测既说明模型的价值，也暴露其脆弱性：阳性训练集有限，类别高度不平衡，不同架构的灵敏度—特异度权衡和外部表现均可变化 [14] [15]。NTxPred2估计神经毒性肽标签 [16]；mebipred估计金属结合潜力 [17]；AnOxPePred估计与抗氧化肽相关的螯合和自由基清除特征 [18]。每个模型都可缩小清单，但不同模型重复利用相关序列描述符，训练域、终点和校准亦不同，因此模型一致不能视为独立生物学重复。</w:t>
      </w:r>
    </w:p>
    <w:p>
      <w:pPr>
        <w:pStyle w:val="Normal"/>
      </w:pPr>
      <w:r>
        <w:t>更强的肽发现范式应从计算优选进入合成和功能测试。微生物组来源肽类抗生素研究提供了有益先例：预测候选只有在化学合成和实验测定之后才成为生物学发现 [19]。因此，本研究把BBB、神经毒性、金属结合、CHEL和FRS输出视为操作性标签。“BBB高分”不等于实测脑暴露，“神经毒性阳性”不等于细胞毒性，CHEL高/FRS低也不能证明促氧化化学作用。</w:t>
      </w:r>
    </w:p>
    <w:p>
      <w:pPr>
        <w:pStyle w:val="Heading3"/>
        <w:keepNext/>
      </w:pPr>
      <w:r>
        <w:t>1.5 AChE/PAS生物学可支持对接问题，但不能验证对接结论</w:t>
      </w:r>
    </w:p>
    <w:p>
      <w:pPr>
        <w:pStyle w:val="Normal"/>
      </w:pPr>
      <w:r>
        <w:t>阿尔茨海默病（AD）以淀粉样β（Aβ）斑块、tau病理、突触功能障碍和进行性认知下降为特征 [20] [21]。胆碱能系统仍具临床相关性，因为乙酰胆碱酯酶抑制剂是成熟的对症治疗 [22]。AChE还与Aβ存在非催化关系：经典实验显示AChE可加速Aβ纤维装配，并提示活性峡谷入口处的外周阴离子位点（PAS）参与其中 [23]。AChE特定结构基序可促进Aβ纤维形成 [24]，PAS定向配体可抑制AChE诱导的Aβ聚集 [25]。AChE复合物晶体结构描绘了催化位点与外周位点之间的芳香性峡谷 [26] [27]。</w:t>
      </w:r>
    </w:p>
    <w:p>
      <w:pPr>
        <w:pStyle w:val="Normal"/>
      </w:pPr>
      <w:r>
        <w:t>分子模拟研究提供了进一步背景，但不直接支持本研究候选。一项AChE–Aβ轨迹研究描述了PAS邻近表面的动态停留 [28]，加速模拟也探讨了AChE在Aβ结合中的作用 [29]。这些研究可支持“候选肽能否被放置在AChE峡谷附近”的问题，却不能证明任何口腔候选结合AChE、改变催化、影响Aβ聚集或到达脑组织。因此，本研究将对接随访报告为来源受限的外部排序，而非靶标验证。</w:t>
      </w:r>
    </w:p>
    <w:p>
      <w:pPr>
        <w:pStyle w:val="Heading3"/>
        <w:keepNext/>
      </w:pPr>
      <w:r>
        <w:t>1.6 金属稳态失衡与短神经活性肽构成可检验的假设</w:t>
      </w:r>
    </w:p>
    <w:p>
      <w:pPr>
        <w:pStyle w:val="Normal"/>
      </w:pPr>
      <w:r>
        <w:t>铜、铁、锌稳态失衡长期被用于讨论AD中的聚集、氧化还原化学和神经元损伤 [30]。元素组学视角强调金属失衡与淀粉样生物学、脂质过氧化、铁死亡过程和治疗探索之间的交叉 [31]。但疾病相关肽假设需要的不只是金属结合预测，还需要可识别的分子、可重复的配位化学、金属选择性、可测量的氧化还原结果、相关组织暴露和表型。</w:t>
      </w:r>
    </w:p>
    <w:p>
      <w:pPr>
        <w:pStyle w:val="Normal"/>
      </w:pPr>
      <w:r>
        <w:t>宿主来源短肽表明这一组合可以实验检验。Tau片段可配位Cu(II)，并以序列和金属依赖方式改变Aβ聚集 [32]。tau26–44片段尤其适合作为概念比较，因为结构和细胞研究将短而动态的肽与神经毒性、膜效应联系起来 [33]。细菌淀粉样蛋白暴露也可改变模型系统的聚集表型，例如curli与α-突触核蛋白的研究 [34]。这些先例不能把活性转移给当前12条序列，只是界定了判定候选无活性、结合金属但无害或产生金属依赖生物效应所需的实验。</w:t>
      </w:r>
    </w:p>
    <w:p>
      <w:pPr>
        <w:pStyle w:val="Heading3"/>
        <w:keepNext/>
      </w:pPr>
      <w:r>
        <w:t>1.7 牙周炎–AD证据要求克制的因果表述</w:t>
      </w:r>
    </w:p>
    <w:p>
      <w:pPr>
        <w:pStyle w:val="Normal"/>
      </w:pPr>
      <w:r>
        <w:t>观察性综合分析报告牙周病与认知障碍之间存在关联，但估计值随疾病定义、严重程度、人群和设计变化 [35] [36] [37] [38]。纵向研究在AD队列中观察到牙周炎与认知下降相关 [39]，文本挖掘和公共数据分析也提出了共享信号 [40]。这些结果可能受到混杂、反向因果、口腔护理变化、共病和选择偏倚影响。近期孟德尔随机化研究及其综合未能有力支持牙周病对AD存在显著遗传因果效应 [41] [42]。最新入门综述亦将牙周–AD机制界定为具有合理性但尚未充分建立 [43]。</w:t>
      </w:r>
    </w:p>
    <w:p>
      <w:pPr>
        <w:pStyle w:val="Normal"/>
      </w:pPr>
      <w:r>
        <w:t>涉及牙龈卟啉单胞菌的机制研究提供重要但有限的背景。AD相关组织和模型中有牙龈蛋白酶及细菌物质的报道 [44] [45] [46]；外膜囊泡和牙龈蛋白酶生物化学也提供了宿主相互作用的可能通路 [47] [48] [49] [50]。然而，这些研究针对特定微生物、毒力因子或实验暴露，不能将当前候选归属给该菌，也不能验证微肽介导通路。口腔宏基因组代表微生物群落，而非单一物种肽组。</w:t>
      </w:r>
    </w:p>
    <w:p>
      <w:pPr>
        <w:pStyle w:val="Heading3"/>
        <w:keepNext/>
      </w:pPr>
      <w:r>
        <w:t>1.8 研究目标与贡献</w:t>
      </w:r>
    </w:p>
    <w:p>
      <w:pPr>
        <w:pStyle w:val="Normal"/>
      </w:pPr>
      <w:r>
        <w:t>本研究有两个相互衔接的目标。第一，重建并审计汇总筛选记录：健康和牙周炎分支中，有多少候选通过证据过滤、BBB评分、NTxPred2、mebipred及CHEL/FRS阈值；哪些转换无法独立审计？第二，评估其中哪些新增信息可被负责任地使用：12条序列、可独立重算的组成，以及针对AChE PDB 4EY6的外部报告AutoDock Vina汇总 [27] [51] [52]。</w:t>
      </w:r>
    </w:p>
    <w:p>
      <w:pPr>
        <w:pStyle w:val="Normal"/>
      </w:pPr>
      <w:r>
        <w:t>本文贡献不是新预测器、复现的对接流程或经验证的疾病机制，而是一份显著扩展、保留来源边界的原创研究记录，明确区分主要来源筛选结果、外部序列/分数汇总、独立重算描述符和未来验证。FlexPepDock等柔性肽对接方法提示了结构随访可达到的标准 [53]，但原始输入和可重复执行是前提。</w:t>
      </w:r>
    </w:p>
    <w:p>
      <w:pPr>
        <w:pStyle w:val="Heading2"/>
        <w:keepNext/>
      </w:pPr>
      <w:r>
        <w:t>2. 材料与方法</w:t>
      </w:r>
    </w:p>
    <w:p>
      <w:pPr>
        <w:pStyle w:val="Heading3"/>
        <w:keepNext/>
      </w:pPr>
      <w:r>
        <w:t>2.1 研究设计与证据等级</w:t>
      </w:r>
    </w:p>
    <w:p>
      <w:pPr>
        <w:pStyle w:val="Normal"/>
      </w:pPr>
      <w:r>
        <w:t>本研究为汇总层面计算重建，并附带跨仓库的二级随访。写作前将证据划分为三层：</w:t>
      </w:r>
    </w:p>
    <w:p>
      <w:pPr>
        <w:pStyle w:val="Reference"/>
        <w:ind w:left="360" w:hanging="360"/>
      </w:pPr>
      <w:r>
        <w:rPr>
          <w:sz w:val="18"/>
          <w:szCs w:val="18"/>
        </w:rPr>
        <w:t xml:space="preserve">1. </w:t>
      </w:r>
      <w:r>
        <w:rPr>
          <w:b/>
          <w:sz w:val="18"/>
          <w:szCs w:val="18"/>
        </w:rPr>
        <w:t>A层——主要来源筛选：</w:t>
      </w:r>
      <w:r>
        <w:rPr>
          <w:sz w:val="18"/>
          <w:szCs w:val="18"/>
        </w:rPr>
        <w:t xml:space="preserve"> 来自</w:t>
      </w:r>
      <w:r>
        <w:rPr>
          <w:rFonts w:ascii="Consolas" w:hAnsi="Consolas" w:eastAsia="等线"/>
          <w:shd w:val="clear" w:color="auto" w:fill="F2F4F7"/>
          <w:sz w:val="18"/>
          <w:szCs w:val="18"/>
        </w:rPr>
        <w:t>材料与方法及结果_机制研究版.docx</w:t>
      </w:r>
      <w:r>
        <w:rPr>
          <w:sz w:val="18"/>
          <w:szCs w:val="18"/>
        </w:rPr>
        <w:t>的计数、阈值和流程描述；其SHA-256为</w:t>
      </w:r>
      <w:r>
        <w:rPr>
          <w:rFonts w:ascii="Consolas" w:hAnsi="Consolas" w:eastAsia="等线"/>
          <w:shd w:val="clear" w:color="auto" w:fill="F2F4F7"/>
          <w:sz w:val="18"/>
          <w:szCs w:val="18"/>
        </w:rPr>
        <w:t>f4132a02cb9955c808739c3cbf15edd947f6203d577e8586490933a5d2daa4b5</w:t>
      </w:r>
      <w:r>
        <w:rPr>
          <w:sz w:val="18"/>
          <w:szCs w:val="18"/>
        </w:rPr>
        <w:t>。</w:t>
      </w:r>
    </w:p>
    <w:p>
      <w:pPr>
        <w:pStyle w:val="Reference"/>
        <w:ind w:left="360" w:hanging="360"/>
      </w:pPr>
      <w:r>
        <w:rPr>
          <w:sz w:val="18"/>
          <w:szCs w:val="18"/>
        </w:rPr>
        <w:t xml:space="preserve">2. </w:t>
      </w:r>
      <w:r>
        <w:rPr>
          <w:b/>
          <w:sz w:val="18"/>
          <w:szCs w:val="18"/>
        </w:rPr>
        <w:t>B层——外部来源记录汇总：</w:t>
      </w:r>
      <w:r>
        <w:rPr>
          <w:sz w:val="18"/>
          <w:szCs w:val="18"/>
        </w:rPr>
        <w:t xml:space="preserve"> 来自单独归档的外部来源仓库提交</w:t>
      </w:r>
      <w:r>
        <w:rPr>
          <w:rFonts w:ascii="Consolas" w:hAnsi="Consolas" w:eastAsia="等线"/>
          <w:shd w:val="clear" w:color="auto" w:fill="F2F4F7"/>
          <w:sz w:val="18"/>
          <w:szCs w:val="18"/>
        </w:rPr>
        <w:t>e28c06db0614512eeb2bca217d2f9a760e804051</w:t>
      </w:r>
      <w:r>
        <w:rPr>
          <w:sz w:val="18"/>
          <w:szCs w:val="18"/>
        </w:rPr>
        <w:t>的12条序列、组成陈述、对接方法标签和Vina均值±SD。文件哈希和接纳决策记录于</w:t>
      </w:r>
      <w:r>
        <w:rPr>
          <w:rFonts w:ascii="Consolas" w:hAnsi="Consolas" w:eastAsia="等线"/>
          <w:shd w:val="clear" w:color="auto" w:fill="F2F4F7"/>
          <w:sz w:val="18"/>
          <w:szCs w:val="18"/>
        </w:rPr>
        <w:t>evidence/external_v04_integration.md</w:t>
      </w:r>
      <w:r>
        <w:rPr>
          <w:sz w:val="18"/>
          <w:szCs w:val="18"/>
        </w:rPr>
        <w:t>。</w:t>
      </w:r>
    </w:p>
    <w:p>
      <w:pPr>
        <w:pStyle w:val="Reference"/>
        <w:ind w:left="360" w:hanging="360"/>
      </w:pPr>
      <w:r>
        <w:rPr>
          <w:sz w:val="18"/>
          <w:szCs w:val="18"/>
        </w:rPr>
        <w:t xml:space="preserve">3. </w:t>
      </w:r>
      <w:r>
        <w:rPr>
          <w:b/>
          <w:sz w:val="18"/>
          <w:szCs w:val="18"/>
        </w:rPr>
        <w:t>C层——背景与未来工作：</w:t>
      </w:r>
      <w:r>
        <w:rPr>
          <w:sz w:val="18"/>
          <w:szCs w:val="18"/>
        </w:rPr>
        <w:t xml:space="preserve"> 用于提出AChE/PAS、金属、口腔微生物组和验证问题的同行评议文献。文献不用于补造缺失结果。</w:t>
      </w:r>
    </w:p>
    <w:p>
      <w:pPr>
        <w:pStyle w:val="Normal"/>
      </w:pPr>
      <w:r>
        <w:t>A层始终是筛选漏斗的唯一权威来源；B层不追溯填补主要来源的逐行链路；C层仅提供解释边界。</w:t>
      </w:r>
    </w:p>
    <w:p>
      <w:pPr>
        <w:pStyle w:val="Heading3"/>
        <w:keepNext/>
      </w:pPr>
      <w:r>
        <w:t>2.2 队列与登录号来源</w:t>
      </w:r>
    </w:p>
    <w:p>
      <w:pPr>
        <w:pStyle w:val="Normal"/>
      </w:pPr>
      <w:r>
        <w:t>主要记录列出PRJNA678453和PRJEB65451。登录号与论文核查表明，PRJNA678453是配对口腔宏基因组/宏转录组的原始队列，共22名参与者，包括11名口腔健康对照和11名牙周炎患者；共生成66份标本，包括22份龈下菌斑、22份舌刮取物和22份刺激性唾液[6]。PRJEB65451并非独立队列，而是由PRJNA678453衍生、使用metaSPAdes v3.15.3组装并由EBI-EMG/MGnify代理的第三方注释宏基因组组装项目。ENA项目页面目前列出118项序列组装分析；这些记录不被解释为参与者、临床标本或宏基因组组装基因组。另一项缺乏依据的队列和组装汇总未予保留。</w:t>
      </w:r>
    </w:p>
    <w:p>
      <w:pPr>
        <w:pStyle w:val="Normal"/>
      </w:pPr>
      <w:r>
        <w:t>本次重建未招募新参与者、未收集标本，也未重新分析原始组学或临床数据。主要材料中缺少候选核苷酸/氨基酸行、基因组坐标、受试者/样本映射、登录号—分组对应表、分类信息、肽谱匹配、模型输出、运行日志、数据库快照和原始管线。因此，经核验的队列构成仅用于说明来源，不作为候选层面推断的分母。</w:t>
      </w:r>
    </w:p>
    <w:p>
      <w:pPr>
        <w:pStyle w:val="Heading3"/>
        <w:keepNext/>
      </w:pPr>
      <w:r>
        <w:t>2.3 主要来源smORF构建与证据过滤</w:t>
      </w:r>
    </w:p>
    <w:p>
      <w:pPr>
        <w:pStyle w:val="Normal"/>
      </w:pPr>
      <w:r>
        <w:t>据主要记录，研究采用样本特异性映射构建健康和牙周炎smORF库，并保留4–50 aa翻译序列。原始库分别含11,269,961和11,721,988条smORF。随后将候选与指定口腔序列/蛋白质组资源精确匹配并去冗余，获得31,510条健康和33,786条牙周炎分支候选。</w:t>
      </w:r>
    </w:p>
    <w:p>
      <w:pPr>
        <w:pStyle w:val="Normal"/>
      </w:pPr>
      <w:r>
        <w:t>过滤集合分为短肽分支（5–30 aa：健康30,557，牙周炎32,754）和长肽分支（31–50 aa：健康953，牙周炎1,032）。初始规则包含4 aa候选，但后续分箱从5 aa开始；4 aa序列去向未被记录。资源匹配被视为过滤证据，而不是当前队列表达或疾病特异性证据。</w:t>
      </w:r>
    </w:p>
    <w:p>
      <w:pPr>
        <w:pStyle w:val="Heading3"/>
        <w:keepNext/>
      </w:pPr>
      <w:r>
        <w:t>2.4 深度学习序列表征与BBB高分定义</w:t>
      </w:r>
    </w:p>
    <w:p>
      <w:pPr>
        <w:pStyle w:val="Normal"/>
      </w:pPr>
      <w:r>
        <w:t>UniDL4BioPep作为第一层功能优选模型。其文献架构使用预训练ESM-2模型</w:t>
      </w:r>
      <w:r>
        <w:rPr>
          <w:rFonts w:ascii="Consolas" w:hAnsi="Consolas" w:eastAsia="等线"/>
          <w:shd w:val="clear" w:color="auto" w:fill="F2F4F7"/>
        </w:rPr>
        <w:t>esm2_t6_8M_UR50D</w:t>
      </w:r>
      <w:r>
        <w:t>，将每条肽编码为320维上下文嵌入，再输入针对各肽活性任务训练的六层卷积神经网络进行二分类[13]。来源流程采用输出≥0.80作为操作性高分阈值，包括BBB任务。由于缺少精确服务器构建版本、任务特异校准、模型哈希及其在极短肽序列域中的外部验证，本文将输出称为“模型阳性”或“BBB高分”，而不称为实测转运或确认活性。BBB模型文献仅用于说明适用域和校准局限[14] [15]。健康和牙周炎计数仅作描述性分支汇总，不实施候选计数组间检验。</w:t>
      </w:r>
    </w:p>
    <w:p>
      <w:pPr>
        <w:pStyle w:val="Heading3"/>
        <w:keepNext/>
      </w:pPr>
      <w:r>
        <w:t>2.5 深度学习引导的下游优选</w:t>
      </w:r>
    </w:p>
    <w:p>
      <w:pPr>
        <w:pStyle w:val="Normal"/>
      </w:pPr>
      <w:r>
        <w:t>随后使用NTxPred2肽模式评估牙周炎BBB高分集合。该模式采用迁移学习，在神经毒性肽序列上微调ESM2-t30蛋白质语言模型[16]。分析限于其规定的7–50 aa输入范围；更短候选被定义为模型覆盖范围之外，而不是阴性。</w:t>
      </w:r>
    </w:p>
    <w:p>
      <w:pPr>
        <w:pStyle w:val="Normal"/>
      </w:pPr>
      <w:r>
        <w:t>其后使用mebipred评估Cu、Fe和Zn相关结合潜力。该无需比对的方法把氨基酸组成、理化描述符和金属结合5-mer频率整合至两级人工神经网络框架，依次通过一般金属结合网络和离子特异性神经分类器[17]。来源流程采用0.50判定阈值。</w:t>
      </w:r>
    </w:p>
    <w:p>
      <w:pPr>
        <w:pStyle w:val="Normal"/>
      </w:pPr>
      <w:r>
        <w:t>抗氧化相关性质由多任务深度卷积神经网络AnOxPePred评估。经one-hot编码的肽序列依次通过一维卷积层、平均池化和含256个单元的全连接层，最终分别输出自由基清除（FRS）和螯合（CHEL）分数[18]。保留三个操作性终点：CHEL≥0.25；CHEL≥0.25且FRS&lt;0.50（主集合）；CHEL≥0.25且FRS&lt;0.45（更严格子集）。</w:t>
      </w:r>
    </w:p>
    <w:p>
      <w:pPr>
        <w:pStyle w:val="Normal"/>
      </w:pPr>
      <w:r>
        <w:t>本次重建未重新训练任何模型。主要材料不含精确服务器快照、提交输入、模型哈希、随机种子、逐行输出或NTxPred2至mebipred的逐行交接。因此，来源报告的111条被保留为下游结果，但111/923不被解释为经审计转换率。模型间一致仅代表串行计算优选，不构成相互独立的生物学确认。</w:t>
      </w:r>
    </w:p>
    <w:p>
      <w:pPr>
        <w:pStyle w:val="Heading3"/>
        <w:keepNext/>
      </w:pPr>
      <w:r>
        <w:t>2.6 外部12条序列及组成审计</w:t>
      </w:r>
    </w:p>
    <w:p>
      <w:pPr>
        <w:pStyle w:val="Normal"/>
      </w:pPr>
      <w:r>
        <w:t>外部来源稿将12条序列列为CHEL/FRS主集合。由于缺少稳定ID、CHEL/FRS逐行数据和映射文件，无法独立检查其与主要来源12行的对应。采用Python标准库脚本（</w:t>
      </w:r>
      <w:r>
        <w:rPr>
          <w:rFonts w:ascii="Consolas" w:hAnsi="Consolas" w:eastAsia="等线"/>
          <w:shd w:val="clear" w:color="auto" w:fill="F2F4F7"/>
        </w:rPr>
        <w:t>scripts/audit_external_docking_summary.py</w:t>
      </w:r>
      <w:r>
        <w:t>）重算每条序列的长度、组氨酸数、半胱氨酸数、碱性残基数（Arg+Lys）和芳香残基数（Phe+Tyr+Trp）。审计要求12条标准氨基酸序列互不重复、长度为7–9 aa，并与外部组成汇总一致。</w:t>
      </w:r>
    </w:p>
    <w:p>
      <w:pPr>
        <w:pStyle w:val="Heading3"/>
        <w:keepNext/>
      </w:pPr>
      <w:r>
        <w:t>2.7 外部对接汇总</w:t>
      </w:r>
    </w:p>
    <w:p>
      <w:pPr>
        <w:pStyle w:val="Normal"/>
      </w:pPr>
      <w:r>
        <w:t>外部来源记录称，使用AutoDock Vina 1.2.5将12条肽对接到人AChE PDB 4EY6，并设置40×40×40 Å³的PAS中心盒 [27,51,52]；其提供均值±SD和PAS/峡谷定位叙述。本研究转录12组均值和SD，核验排序及范围并生成描述性图。</w:t>
      </w:r>
    </w:p>
    <w:p>
      <w:pPr>
        <w:pStyle w:val="Normal"/>
      </w:pPr>
      <w:r>
        <w:t>本研究未重跑对接。经审核的仓库不含受体或配体制备文件、PDBQT输入、精确盒中心、质子化/电荷设置、配置、exhaustiveness、运行数、种子、原始分数、命令、软件环境、日志、构象或相互作用表。因此，所有数值均标为“来源报告”。在缺失运行定义前，SD没有可解释的实验或计算分母。Vina分数未换算为结合亲和力或自由能 [51,52]。导入的PDF作为来源产物保留；修订后的SVG/PNG在图中直接写明报告边界。</w:t>
      </w:r>
    </w:p>
    <w:p>
      <w:pPr>
        <w:pStyle w:val="Normal"/>
      </w:pPr>
      <w:r>
        <w:t>外部记录还描述了未完成的分子动力学尝试。由于不存在坐标、拓扑、参数、日志、能量、检查点或轨迹，该尝试被排除在本研究结果之外，且不表述为已复现工作。</w:t>
      </w:r>
    </w:p>
    <w:p>
      <w:pPr>
        <w:pStyle w:val="Heading3"/>
        <w:keepNext/>
      </w:pPr>
      <w:r>
        <w:t>2.8 描述性统计与审计规则</w:t>
      </w:r>
    </w:p>
    <w:p>
      <w:pPr>
        <w:pStyle w:val="Normal"/>
      </w:pPr>
      <w:r>
        <w:t>计数从A层转录；比例按100×n/N并使用明确分母重算。候选序列是嵌套于样本、基因组和同源序列组的计算记账单位，不是独立生物学重复。在缺少受试者/样本—候选行时，对汇总肽计数进行Fisher或卡方检验将造成伪重复并人为缩小不确定性。因此，本研究不报告健康与牙周炎比较的p值、置信区间、效应量、ROC、功效或多重校正。</w:t>
      </w:r>
    </w:p>
    <w:p>
      <w:pPr>
        <w:pStyle w:val="Normal"/>
      </w:pPr>
      <w:r>
        <w:t>标准库脚本检查分支加和、分子≤分母、NTxPred2已评估/未评估分区、下游单调性、8/12阈值敏感性、序列组成和分数排序。这些属于算术与来源审计，不是生物学管线或对接的独立复现。</w:t>
      </w:r>
    </w:p>
    <w:p>
      <w:pPr>
        <w:pStyle w:val="Heading3"/>
        <w:keepNext/>
      </w:pPr>
      <w:r>
        <w:t>2.9 文献与报告完整性</w:t>
      </w:r>
    </w:p>
    <w:p>
      <w:pPr>
        <w:pStyle w:val="Normal"/>
      </w:pPr>
      <w:r>
        <w:t>外部文献库未被整库导入。本研究删除重复项、仅对应更正说明的错误标识符、与既往排除文件相关的材料以及未被修订论证使用的参考文献。最终53条文献在英文、中文、核验记录和BibTeX之间进行DOI清单一致性检查。整理后的DOI清单作为本研究的参考文献控制记录予以保留。</w:t>
      </w:r>
    </w:p>
    <w:p>
      <w:pPr>
        <w:pStyle w:val="Heading2"/>
        <w:keepNext/>
      </w:pPr>
      <w:r>
        <w:t>3. 结果</w:t>
      </w:r>
    </w:p>
    <w:p>
      <w:pPr>
        <w:pStyle w:val="Heading3"/>
        <w:keepNext/>
      </w:pPr>
      <w:r>
        <w:t>3.1 证据过滤使两个原始smORF库均缩减99.7%以上</w:t>
      </w:r>
    </w:p>
    <w:p>
      <w:pPr>
        <w:pStyle w:val="Normal"/>
      </w:pPr>
      <w:r>
        <w:t>健康和牙周炎分支分别以11,269,961和11,721,988条smORF起始。证据过滤和去冗余后保留31,510条健康候选（0.2796%）和33,786条牙周炎分支候选（0.2882%）。短肽和长肽分支之和与每个过滤后总数完全一致。这些比例描述计算保留，不代表参与者患病率或疾病富集。</w:t>
      </w:r>
    </w:p>
    <w:p>
      <w:pPr>
        <w:pStyle w:val="Normal"/>
      </w:pPr>
      <w:r>
        <w:rPr>
          <w:b/>
        </w:rPr>
        <w:t>表1. 汇总候选库与BBB高分输出</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shd w:val="clear" w:color="auto" w:fill="DCE6F1"/>
            <w:vAlign w:val="center"/>
          </w:tcPr>
          <w:p>
            <w:pPr>
              <w:pStyle w:val="TableText"/>
              <w:spacing w:before="0" w:after="0" w:line="220" w:lineRule="auto"/>
            </w:pPr>
            <w:r>
              <w:rPr>
                <w:sz w:val="17"/>
                <w:szCs w:val="17"/>
              </w:rPr>
              <w:t>分支</w:t>
            </w:r>
          </w:p>
        </w:tc>
        <w:tc>
          <w:tcPr>
            <w:tcW w:w="1337" w:type="dxa"/>
            <w:shd w:val="clear" w:color="auto" w:fill="DCE6F1"/>
            <w:vAlign w:val="center"/>
          </w:tcPr>
          <w:p>
            <w:pPr>
              <w:pStyle w:val="TableText"/>
              <w:spacing w:before="0" w:after="0" w:line="220" w:lineRule="auto"/>
            </w:pPr>
            <w:r>
              <w:rPr>
                <w:sz w:val="17"/>
                <w:szCs w:val="17"/>
              </w:rPr>
              <w:t>原始smORF</w:t>
            </w:r>
          </w:p>
        </w:tc>
        <w:tc>
          <w:tcPr>
            <w:tcW w:w="1337" w:type="dxa"/>
            <w:shd w:val="clear" w:color="auto" w:fill="DCE6F1"/>
            <w:vAlign w:val="center"/>
          </w:tcPr>
          <w:p>
            <w:pPr>
              <w:pStyle w:val="TableText"/>
              <w:spacing w:before="0" w:after="0" w:line="220" w:lineRule="auto"/>
            </w:pPr>
            <w:r>
              <w:rPr>
                <w:sz w:val="17"/>
                <w:szCs w:val="17"/>
              </w:rPr>
              <w:t>证据过滤后</w:t>
            </w:r>
          </w:p>
        </w:tc>
        <w:tc>
          <w:tcPr>
            <w:tcW w:w="1337" w:type="dxa"/>
            <w:shd w:val="clear" w:color="auto" w:fill="DCE6F1"/>
            <w:vAlign w:val="center"/>
          </w:tcPr>
          <w:p>
            <w:pPr>
              <w:pStyle w:val="TableText"/>
              <w:spacing w:before="0" w:after="0" w:line="220" w:lineRule="auto"/>
            </w:pPr>
            <w:r>
              <w:rPr>
                <w:sz w:val="17"/>
                <w:szCs w:val="17"/>
              </w:rPr>
              <w:t>短肽背景（5–30 aa）</w:t>
            </w:r>
          </w:p>
        </w:tc>
        <w:tc>
          <w:tcPr>
            <w:tcW w:w="1337" w:type="dxa"/>
            <w:shd w:val="clear" w:color="auto" w:fill="DCE6F1"/>
            <w:vAlign w:val="center"/>
          </w:tcPr>
          <w:p>
            <w:pPr>
              <w:pStyle w:val="TableText"/>
              <w:spacing w:before="0" w:after="0" w:line="220" w:lineRule="auto"/>
            </w:pPr>
            <w:r>
              <w:rPr>
                <w:sz w:val="17"/>
                <w:szCs w:val="17"/>
              </w:rPr>
              <w:t>短肽BBB高分，n（%）</w:t>
            </w:r>
          </w:p>
        </w:tc>
        <w:tc>
          <w:tcPr>
            <w:tcW w:w="1337" w:type="dxa"/>
            <w:shd w:val="clear" w:color="auto" w:fill="DCE6F1"/>
            <w:vAlign w:val="center"/>
          </w:tcPr>
          <w:p>
            <w:pPr>
              <w:pStyle w:val="TableText"/>
              <w:spacing w:before="0" w:after="0" w:line="220" w:lineRule="auto"/>
            </w:pPr>
            <w:r>
              <w:rPr>
                <w:sz w:val="17"/>
                <w:szCs w:val="17"/>
              </w:rPr>
              <w:t>长肽背景（31–50 aa）</w:t>
            </w:r>
          </w:p>
        </w:tc>
        <w:tc>
          <w:tcPr>
            <w:tcW w:w="1337" w:type="dxa"/>
            <w:shd w:val="clear" w:color="auto" w:fill="DCE6F1"/>
            <w:vAlign w:val="center"/>
          </w:tcPr>
          <w:p>
            <w:pPr>
              <w:pStyle w:val="TableText"/>
              <w:spacing w:before="0" w:after="0" w:line="220" w:lineRule="auto"/>
            </w:pPr>
            <w:r>
              <w:rPr>
                <w:sz w:val="17"/>
                <w:szCs w:val="17"/>
              </w:rPr>
              <w:t>长肽BBB高分，n（%）</w:t>
            </w:r>
          </w:p>
        </w:tc>
      </w:tr>
      <w:tr>
        <w:tc>
          <w:tcPr>
            <w:tcW w:w="1337" w:type="dxa"/>
            <w:vAlign w:val="center"/>
          </w:tcPr>
          <w:p>
            <w:pPr>
              <w:pStyle w:val="TableText"/>
              <w:spacing w:before="0" w:after="0" w:line="220" w:lineRule="auto"/>
            </w:pPr>
            <w:r>
              <w:rPr>
                <w:sz w:val="17"/>
                <w:szCs w:val="17"/>
              </w:rPr>
              <w:t>健康</w:t>
            </w:r>
          </w:p>
        </w:tc>
        <w:tc>
          <w:tcPr>
            <w:tcW w:w="1337" w:type="dxa"/>
            <w:vAlign w:val="center"/>
          </w:tcPr>
          <w:p>
            <w:pPr>
              <w:pStyle w:val="TableText"/>
              <w:spacing w:before="0" w:after="0" w:line="220" w:lineRule="auto"/>
            </w:pPr>
            <w:r>
              <w:rPr>
                <w:sz w:val="17"/>
                <w:szCs w:val="17"/>
              </w:rPr>
              <w:t>11,269,961</w:t>
            </w:r>
          </w:p>
        </w:tc>
        <w:tc>
          <w:tcPr>
            <w:tcW w:w="1337" w:type="dxa"/>
            <w:vAlign w:val="center"/>
          </w:tcPr>
          <w:p>
            <w:pPr>
              <w:pStyle w:val="TableText"/>
              <w:spacing w:before="0" w:after="0" w:line="220" w:lineRule="auto"/>
            </w:pPr>
            <w:r>
              <w:rPr>
                <w:sz w:val="17"/>
                <w:szCs w:val="17"/>
              </w:rPr>
              <w:t>31,510</w:t>
            </w:r>
          </w:p>
        </w:tc>
        <w:tc>
          <w:tcPr>
            <w:tcW w:w="1337" w:type="dxa"/>
            <w:vAlign w:val="center"/>
          </w:tcPr>
          <w:p>
            <w:pPr>
              <w:pStyle w:val="TableText"/>
              <w:spacing w:before="0" w:after="0" w:line="220" w:lineRule="auto"/>
            </w:pPr>
            <w:r>
              <w:rPr>
                <w:sz w:val="17"/>
                <w:szCs w:val="17"/>
              </w:rPr>
              <w:t>30,557</w:t>
            </w:r>
          </w:p>
        </w:tc>
        <w:tc>
          <w:tcPr>
            <w:tcW w:w="1337" w:type="dxa"/>
            <w:vAlign w:val="center"/>
          </w:tcPr>
          <w:p>
            <w:pPr>
              <w:pStyle w:val="TableText"/>
              <w:spacing w:before="0" w:after="0" w:line="220" w:lineRule="auto"/>
            </w:pPr>
            <w:r>
              <w:rPr>
                <w:sz w:val="17"/>
                <w:szCs w:val="17"/>
              </w:rPr>
              <w:t>3,359（10.99）</w:t>
            </w:r>
          </w:p>
        </w:tc>
        <w:tc>
          <w:tcPr>
            <w:tcW w:w="1337" w:type="dxa"/>
            <w:vAlign w:val="center"/>
          </w:tcPr>
          <w:p>
            <w:pPr>
              <w:pStyle w:val="TableText"/>
              <w:spacing w:before="0" w:after="0" w:line="220" w:lineRule="auto"/>
            </w:pPr>
            <w:r>
              <w:rPr>
                <w:sz w:val="17"/>
                <w:szCs w:val="17"/>
              </w:rPr>
              <w:t>953</w:t>
            </w:r>
          </w:p>
        </w:tc>
        <w:tc>
          <w:tcPr>
            <w:tcW w:w="1337" w:type="dxa"/>
            <w:vAlign w:val="center"/>
          </w:tcPr>
          <w:p>
            <w:pPr>
              <w:pStyle w:val="TableText"/>
              <w:spacing w:before="0" w:after="0" w:line="220" w:lineRule="auto"/>
            </w:pPr>
            <w:r>
              <w:rPr>
                <w:sz w:val="17"/>
                <w:szCs w:val="17"/>
              </w:rPr>
              <w:t>40（4.20）</w:t>
            </w:r>
          </w:p>
        </w:tc>
      </w:tr>
      <w:tr>
        <w:tc>
          <w:tcPr>
            <w:tcW w:w="1337" w:type="dxa"/>
            <w:vAlign w:val="center"/>
          </w:tcPr>
          <w:p>
            <w:pPr>
              <w:pStyle w:val="TableText"/>
              <w:spacing w:before="0" w:after="0" w:line="220" w:lineRule="auto"/>
            </w:pPr>
            <w:r>
              <w:rPr>
                <w:sz w:val="17"/>
                <w:szCs w:val="17"/>
              </w:rPr>
              <w:t>牙周炎队列</w:t>
            </w:r>
          </w:p>
        </w:tc>
        <w:tc>
          <w:tcPr>
            <w:tcW w:w="1337" w:type="dxa"/>
            <w:vAlign w:val="center"/>
          </w:tcPr>
          <w:p>
            <w:pPr>
              <w:pStyle w:val="TableText"/>
              <w:spacing w:before="0" w:after="0" w:line="220" w:lineRule="auto"/>
            </w:pPr>
            <w:r>
              <w:rPr>
                <w:sz w:val="17"/>
                <w:szCs w:val="17"/>
              </w:rPr>
              <w:t>11,721,988</w:t>
            </w:r>
          </w:p>
        </w:tc>
        <w:tc>
          <w:tcPr>
            <w:tcW w:w="1337" w:type="dxa"/>
            <w:vAlign w:val="center"/>
          </w:tcPr>
          <w:p>
            <w:pPr>
              <w:pStyle w:val="TableText"/>
              <w:spacing w:before="0" w:after="0" w:line="220" w:lineRule="auto"/>
            </w:pPr>
            <w:r>
              <w:rPr>
                <w:sz w:val="17"/>
                <w:szCs w:val="17"/>
              </w:rPr>
              <w:t>33,786</w:t>
            </w:r>
          </w:p>
        </w:tc>
        <w:tc>
          <w:tcPr>
            <w:tcW w:w="1337" w:type="dxa"/>
            <w:vAlign w:val="center"/>
          </w:tcPr>
          <w:p>
            <w:pPr>
              <w:pStyle w:val="TableText"/>
              <w:spacing w:before="0" w:after="0" w:line="220" w:lineRule="auto"/>
            </w:pPr>
            <w:r>
              <w:rPr>
                <w:sz w:val="17"/>
                <w:szCs w:val="17"/>
              </w:rPr>
              <w:t>32,754</w:t>
            </w:r>
          </w:p>
        </w:tc>
        <w:tc>
          <w:tcPr>
            <w:tcW w:w="1337" w:type="dxa"/>
            <w:vAlign w:val="center"/>
          </w:tcPr>
          <w:p>
            <w:pPr>
              <w:pStyle w:val="TableText"/>
              <w:spacing w:before="0" w:after="0" w:line="220" w:lineRule="auto"/>
            </w:pPr>
            <w:r>
              <w:rPr>
                <w:sz w:val="17"/>
                <w:szCs w:val="17"/>
              </w:rPr>
              <w:t>3,446（10.52）</w:t>
            </w:r>
          </w:p>
        </w:tc>
        <w:tc>
          <w:tcPr>
            <w:tcW w:w="1337" w:type="dxa"/>
            <w:vAlign w:val="center"/>
          </w:tcPr>
          <w:p>
            <w:pPr>
              <w:pStyle w:val="TableText"/>
              <w:spacing w:before="0" w:after="0" w:line="220" w:lineRule="auto"/>
            </w:pPr>
            <w:r>
              <w:rPr>
                <w:sz w:val="17"/>
                <w:szCs w:val="17"/>
              </w:rPr>
              <w:t>1,032</w:t>
            </w:r>
          </w:p>
        </w:tc>
        <w:tc>
          <w:tcPr>
            <w:tcW w:w="1337" w:type="dxa"/>
            <w:vAlign w:val="center"/>
          </w:tcPr>
          <w:p>
            <w:pPr>
              <w:pStyle w:val="TableText"/>
              <w:spacing w:before="0" w:after="0" w:line="220" w:lineRule="auto"/>
            </w:pPr>
            <w:r>
              <w:rPr>
                <w:sz w:val="17"/>
                <w:szCs w:val="17"/>
              </w:rPr>
              <w:t>72（6.98）</w:t>
            </w:r>
          </w:p>
        </w:tc>
      </w:tr>
    </w:tbl>
    <w:p>
      <w:pPr>
        <w:spacing w:after="40"/>
      </w:pPr>
    </w:p>
    <w:p>
      <w:pPr>
        <w:pStyle w:val="Heading3"/>
        <w:keepNext/>
      </w:pPr>
      <w:r>
        <w:t>3.2 BBB高分率随长度分支呈描述性差异</w:t>
      </w:r>
    </w:p>
    <w:p>
      <w:pPr>
        <w:pStyle w:val="Normal"/>
      </w:pPr>
      <w:r>
        <w:t>健康与牙周炎的短肽BBB高分率分别为10.99%和10.52%，长肽分支分别为4.20%和6.98%。牙周炎分支有3,446条短肽和72条长肽BBB高分，总计3,518条。短肽占3,446/3,518（97.95%），长肽占72/3,518（2.05%）。由于候选层面的独立性未被建立，未对上述并列比例进行推断检验。</w:t>
      </w:r>
    </w:p>
    <w:p>
      <w:pPr>
        <w:pStyle w:val="Normal"/>
      </w:pPr>
      <w:r>
        <w:t>主要记录的短肽长度汇总包括5–7 aa 547条、8–15 aa 2,893条和16–30 aa 6条；另有72条长肽为31–50 aa。因此牙周炎BBB高分集合以短序列为主，但缺少逐行身份，无法分析重叠、分类归属和参与者分布。</w:t>
      </w:r>
    </w:p>
    <w:p>
      <w:pPr>
        <w:pStyle w:val="Heading3"/>
        <w:keepNext/>
      </w:pPr>
      <w:r>
        <w:t>3.3 多活性输出出现饱和警示</w:t>
      </w:r>
    </w:p>
    <w:p>
      <w:pPr>
        <w:pStyle w:val="Normal"/>
      </w:pPr>
      <w:r>
        <w:t>完整UniDL4BioPep类别汇总保留在补充材料中。一个分布对解释尤其重要：健康短肽中30,537/30,557（99.93%）、牙周炎短肽中32,721/32,754（99.90%）被广义抗菌标签判为阳性。在统一0.80阈值下接近普遍阳性，不能视为实验活性口腔抗生素的合理估计。这提示序列域偏移、任务校准局限或标签特异阈值问题，也反对将跨模型一致性视作独立验证。</w:t>
      </w:r>
    </w:p>
    <w:p>
      <w:pPr>
        <w:pStyle w:val="Heading3"/>
        <w:keepNext/>
      </w:pPr>
      <w:r>
        <w:t>3.4 牙周炎分支从3,518条BBB高分候选缩至来源报告的12/8个终点</w:t>
      </w:r>
    </w:p>
    <w:p>
      <w:pPr>
        <w:pStyle w:val="Normal"/>
      </w:pPr>
      <w:r>
        <w:t>NTxPred2评估3,299/3,518条候选（93.77%）；219/3,518（6.23%）低于声明模型范围，属于未评估。已评估候选中，923/3,299（27.98%）被预测为阳性。主要记录随后报告111条mebipred阳性候选，其中15/111（13.51%）满足CHEL≥0.25，12/111（10.81%）进一步满足FRS&lt;0.50，8/111（7.21%）满足FRS&lt;0.45。收紧FRS阈值后保留主集合的8/12（66.67%）。</w:t>
      </w:r>
    </w:p>
    <w:p>
      <w:pPr>
        <w:pStyle w:val="Normal"/>
      </w:pPr>
      <w:r>
        <w:rPr>
          <w:b/>
        </w:rPr>
        <w:t>表2. 牙周炎分支汇总优选记录</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2340"/>
        <w:gridCol w:w="2340"/>
        <w:gridCol w:w="2340"/>
        <w:gridCol w:w="2340"/>
      </w:tblGrid>
      <w:tr>
        <w:trPr>
          <w:tblHeader/>
        </w:trPr>
        <w:tc>
          <w:tcPr>
            <w:tcW w:w="2340" w:type="dxa"/>
            <w:shd w:val="clear" w:color="auto" w:fill="DCE6F1"/>
            <w:vAlign w:val="center"/>
          </w:tcPr>
          <w:p>
            <w:pPr>
              <w:pStyle w:val="TableText"/>
              <w:spacing w:before="0" w:after="0" w:line="220" w:lineRule="auto"/>
            </w:pPr>
            <w:r>
              <w:rPr>
                <w:sz w:val="17"/>
                <w:szCs w:val="17"/>
              </w:rPr>
              <w:t>阶段</w:t>
            </w:r>
          </w:p>
        </w:tc>
        <w:tc>
          <w:tcPr>
            <w:tcW w:w="2340" w:type="dxa"/>
            <w:shd w:val="clear" w:color="auto" w:fill="DCE6F1"/>
            <w:vAlign w:val="center"/>
          </w:tcPr>
          <w:p>
            <w:pPr>
              <w:pStyle w:val="TableText"/>
              <w:spacing w:before="0" w:after="0" w:line="220" w:lineRule="auto"/>
            </w:pPr>
            <w:r>
              <w:rPr>
                <w:sz w:val="17"/>
                <w:szCs w:val="17"/>
              </w:rPr>
              <w:t>操作规则</w:t>
            </w:r>
          </w:p>
        </w:tc>
        <w:tc>
          <w:tcPr>
            <w:tcW w:w="2340" w:type="dxa"/>
            <w:shd w:val="clear" w:color="auto" w:fill="DCE6F1"/>
            <w:vAlign w:val="center"/>
          </w:tcPr>
          <w:p>
            <w:pPr>
              <w:pStyle w:val="TableText"/>
              <w:spacing w:before="0" w:after="0" w:line="220" w:lineRule="auto"/>
            </w:pPr>
            <w:r>
              <w:rPr>
                <w:sz w:val="17"/>
                <w:szCs w:val="17"/>
              </w:rPr>
              <w:t>n</w:t>
            </w:r>
          </w:p>
        </w:tc>
        <w:tc>
          <w:tcPr>
            <w:tcW w:w="2340" w:type="dxa"/>
            <w:shd w:val="clear" w:color="auto" w:fill="DCE6F1"/>
            <w:vAlign w:val="center"/>
          </w:tcPr>
          <w:p>
            <w:pPr>
              <w:pStyle w:val="TableText"/>
              <w:spacing w:before="0" w:after="0" w:line="220" w:lineRule="auto"/>
            </w:pPr>
            <w:r>
              <w:rPr>
                <w:sz w:val="17"/>
                <w:szCs w:val="17"/>
              </w:rPr>
              <w:t>可审计分母/状态</w:t>
            </w:r>
          </w:p>
        </w:tc>
      </w:tr>
      <w:tr>
        <w:tc>
          <w:tcPr>
            <w:tcW w:w="2340" w:type="dxa"/>
            <w:vAlign w:val="center"/>
          </w:tcPr>
          <w:p>
            <w:pPr>
              <w:pStyle w:val="TableText"/>
              <w:spacing w:before="0" w:after="0" w:line="220" w:lineRule="auto"/>
            </w:pPr>
            <w:r>
              <w:rPr>
                <w:sz w:val="17"/>
                <w:szCs w:val="17"/>
              </w:rPr>
              <w:t>短肽BBB高分</w:t>
            </w:r>
          </w:p>
        </w:tc>
        <w:tc>
          <w:tcPr>
            <w:tcW w:w="2340" w:type="dxa"/>
            <w:vAlign w:val="center"/>
          </w:tcPr>
          <w:p>
            <w:pPr>
              <w:pStyle w:val="TableText"/>
              <w:spacing w:before="0" w:after="0" w:line="220" w:lineRule="auto"/>
            </w:pPr>
            <w:r>
              <w:rPr>
                <w:sz w:val="17"/>
                <w:szCs w:val="17"/>
              </w:rPr>
              <w:t>UniDL4BioPep BBB输出≥0.80；5–30 aa</w:t>
            </w:r>
          </w:p>
        </w:tc>
        <w:tc>
          <w:tcPr>
            <w:tcW w:w="2340" w:type="dxa"/>
            <w:vAlign w:val="center"/>
          </w:tcPr>
          <w:p>
            <w:pPr>
              <w:pStyle w:val="TableText"/>
              <w:spacing w:before="0" w:after="0" w:line="220" w:lineRule="auto"/>
            </w:pPr>
            <w:r>
              <w:rPr>
                <w:sz w:val="17"/>
                <w:szCs w:val="17"/>
              </w:rPr>
              <w:t>3,446</w:t>
            </w:r>
          </w:p>
        </w:tc>
        <w:tc>
          <w:tcPr>
            <w:tcW w:w="2340" w:type="dxa"/>
            <w:vAlign w:val="center"/>
          </w:tcPr>
          <w:p>
            <w:pPr>
              <w:pStyle w:val="TableText"/>
              <w:spacing w:before="0" w:after="0" w:line="220" w:lineRule="auto"/>
            </w:pPr>
            <w:r>
              <w:rPr>
                <w:sz w:val="17"/>
                <w:szCs w:val="17"/>
              </w:rPr>
              <w:t>32,754条短肽候选</w:t>
            </w:r>
          </w:p>
        </w:tc>
      </w:tr>
      <w:tr>
        <w:tc>
          <w:tcPr>
            <w:tcW w:w="2340" w:type="dxa"/>
            <w:vAlign w:val="center"/>
          </w:tcPr>
          <w:p>
            <w:pPr>
              <w:pStyle w:val="TableText"/>
              <w:spacing w:before="0" w:after="0" w:line="220" w:lineRule="auto"/>
            </w:pPr>
            <w:r>
              <w:rPr>
                <w:sz w:val="17"/>
                <w:szCs w:val="17"/>
              </w:rPr>
              <w:t>长肽BBB高分</w:t>
            </w:r>
          </w:p>
        </w:tc>
        <w:tc>
          <w:tcPr>
            <w:tcW w:w="2340" w:type="dxa"/>
            <w:vAlign w:val="center"/>
          </w:tcPr>
          <w:p>
            <w:pPr>
              <w:pStyle w:val="TableText"/>
              <w:spacing w:before="0" w:after="0" w:line="220" w:lineRule="auto"/>
            </w:pPr>
            <w:r>
              <w:rPr>
                <w:sz w:val="17"/>
                <w:szCs w:val="17"/>
              </w:rPr>
              <w:t>UniDL4BioPep BBB输出≥0.80；31–50 aa</w:t>
            </w:r>
          </w:p>
        </w:tc>
        <w:tc>
          <w:tcPr>
            <w:tcW w:w="2340" w:type="dxa"/>
            <w:vAlign w:val="center"/>
          </w:tcPr>
          <w:p>
            <w:pPr>
              <w:pStyle w:val="TableText"/>
              <w:spacing w:before="0" w:after="0" w:line="220" w:lineRule="auto"/>
            </w:pPr>
            <w:r>
              <w:rPr>
                <w:sz w:val="17"/>
                <w:szCs w:val="17"/>
              </w:rPr>
              <w:t>72</w:t>
            </w:r>
          </w:p>
        </w:tc>
        <w:tc>
          <w:tcPr>
            <w:tcW w:w="2340" w:type="dxa"/>
            <w:vAlign w:val="center"/>
          </w:tcPr>
          <w:p>
            <w:pPr>
              <w:pStyle w:val="TableText"/>
              <w:spacing w:before="0" w:after="0" w:line="220" w:lineRule="auto"/>
            </w:pPr>
            <w:r>
              <w:rPr>
                <w:sz w:val="17"/>
                <w:szCs w:val="17"/>
              </w:rPr>
              <w:t>1,032条长肽候选</w:t>
            </w:r>
          </w:p>
        </w:tc>
      </w:tr>
      <w:tr>
        <w:tc>
          <w:tcPr>
            <w:tcW w:w="2340" w:type="dxa"/>
            <w:vAlign w:val="center"/>
          </w:tcPr>
          <w:p>
            <w:pPr>
              <w:pStyle w:val="TableText"/>
              <w:spacing w:before="0" w:after="0" w:line="220" w:lineRule="auto"/>
            </w:pPr>
            <w:r>
              <w:rPr>
                <w:sz w:val="17"/>
                <w:szCs w:val="17"/>
              </w:rPr>
              <w:t>BBB高分总计</w:t>
            </w:r>
          </w:p>
        </w:tc>
        <w:tc>
          <w:tcPr>
            <w:tcW w:w="2340" w:type="dxa"/>
            <w:vAlign w:val="center"/>
          </w:tcPr>
          <w:p>
            <w:pPr>
              <w:pStyle w:val="TableText"/>
              <w:spacing w:before="0" w:after="0" w:line="220" w:lineRule="auto"/>
            </w:pPr>
            <w:r>
              <w:rPr>
                <w:sz w:val="17"/>
                <w:szCs w:val="17"/>
              </w:rPr>
              <w:t>短肽+长肽</w:t>
            </w:r>
          </w:p>
        </w:tc>
        <w:tc>
          <w:tcPr>
            <w:tcW w:w="2340" w:type="dxa"/>
            <w:vAlign w:val="center"/>
          </w:tcPr>
          <w:p>
            <w:pPr>
              <w:pStyle w:val="TableText"/>
              <w:spacing w:before="0" w:after="0" w:line="220" w:lineRule="auto"/>
            </w:pPr>
            <w:r>
              <w:rPr>
                <w:sz w:val="17"/>
                <w:szCs w:val="17"/>
              </w:rPr>
              <w:t>3,518</w:t>
            </w:r>
          </w:p>
        </w:tc>
        <w:tc>
          <w:tcPr>
            <w:tcW w:w="2340" w:type="dxa"/>
            <w:vAlign w:val="center"/>
          </w:tcPr>
          <w:p>
            <w:pPr>
              <w:pStyle w:val="TableText"/>
              <w:spacing w:before="0" w:after="0" w:line="220" w:lineRule="auto"/>
            </w:pPr>
            <w:r>
              <w:rPr>
                <w:sz w:val="17"/>
                <w:szCs w:val="17"/>
              </w:rPr>
              <w:t>算术和</w:t>
            </w:r>
          </w:p>
        </w:tc>
      </w:tr>
      <w:tr>
        <w:tc>
          <w:tcPr>
            <w:tcW w:w="2340" w:type="dxa"/>
            <w:vAlign w:val="center"/>
          </w:tcPr>
          <w:p>
            <w:pPr>
              <w:pStyle w:val="TableText"/>
              <w:spacing w:before="0" w:after="0" w:line="220" w:lineRule="auto"/>
            </w:pPr>
            <w:r>
              <w:rPr>
                <w:sz w:val="17"/>
                <w:szCs w:val="17"/>
              </w:rPr>
              <w:t>NTxPred2已评估</w:t>
            </w:r>
          </w:p>
        </w:tc>
        <w:tc>
          <w:tcPr>
            <w:tcW w:w="2340" w:type="dxa"/>
            <w:vAlign w:val="center"/>
          </w:tcPr>
          <w:p>
            <w:pPr>
              <w:pStyle w:val="TableText"/>
              <w:spacing w:before="0" w:after="0" w:line="220" w:lineRule="auto"/>
            </w:pPr>
            <w:r>
              <w:rPr>
                <w:sz w:val="17"/>
                <w:szCs w:val="17"/>
              </w:rPr>
              <w:t>声明范围7–50 aa</w:t>
            </w:r>
          </w:p>
        </w:tc>
        <w:tc>
          <w:tcPr>
            <w:tcW w:w="2340" w:type="dxa"/>
            <w:vAlign w:val="center"/>
          </w:tcPr>
          <w:p>
            <w:pPr>
              <w:pStyle w:val="TableText"/>
              <w:spacing w:before="0" w:after="0" w:line="220" w:lineRule="auto"/>
            </w:pPr>
            <w:r>
              <w:rPr>
                <w:sz w:val="17"/>
                <w:szCs w:val="17"/>
              </w:rPr>
              <w:t>3,299</w:t>
            </w:r>
          </w:p>
        </w:tc>
        <w:tc>
          <w:tcPr>
            <w:tcW w:w="2340" w:type="dxa"/>
            <w:vAlign w:val="center"/>
          </w:tcPr>
          <w:p>
            <w:pPr>
              <w:pStyle w:val="TableText"/>
              <w:spacing w:before="0" w:after="0" w:line="220" w:lineRule="auto"/>
            </w:pPr>
            <w:r>
              <w:rPr>
                <w:sz w:val="17"/>
                <w:szCs w:val="17"/>
              </w:rPr>
              <w:t>3,518条BBB高分候选</w:t>
            </w:r>
          </w:p>
        </w:tc>
      </w:tr>
      <w:tr>
        <w:tc>
          <w:tcPr>
            <w:tcW w:w="2340" w:type="dxa"/>
            <w:vAlign w:val="center"/>
          </w:tcPr>
          <w:p>
            <w:pPr>
              <w:pStyle w:val="TableText"/>
              <w:spacing w:before="0" w:after="0" w:line="220" w:lineRule="auto"/>
            </w:pPr>
            <w:r>
              <w:rPr>
                <w:sz w:val="17"/>
                <w:szCs w:val="17"/>
              </w:rPr>
              <w:t>NTxPred2未评估</w:t>
            </w:r>
          </w:p>
        </w:tc>
        <w:tc>
          <w:tcPr>
            <w:tcW w:w="2340" w:type="dxa"/>
            <w:vAlign w:val="center"/>
          </w:tcPr>
          <w:p>
            <w:pPr>
              <w:pStyle w:val="TableText"/>
              <w:spacing w:before="0" w:after="0" w:line="220" w:lineRule="auto"/>
            </w:pPr>
            <w:r>
              <w:rPr>
                <w:sz w:val="17"/>
                <w:szCs w:val="17"/>
              </w:rPr>
              <w:t>低于声明范围</w:t>
            </w:r>
          </w:p>
        </w:tc>
        <w:tc>
          <w:tcPr>
            <w:tcW w:w="2340" w:type="dxa"/>
            <w:vAlign w:val="center"/>
          </w:tcPr>
          <w:p>
            <w:pPr>
              <w:pStyle w:val="TableText"/>
              <w:spacing w:before="0" w:after="0" w:line="220" w:lineRule="auto"/>
            </w:pPr>
            <w:r>
              <w:rPr>
                <w:sz w:val="17"/>
                <w:szCs w:val="17"/>
              </w:rPr>
              <w:t>219</w:t>
            </w:r>
          </w:p>
        </w:tc>
        <w:tc>
          <w:tcPr>
            <w:tcW w:w="2340" w:type="dxa"/>
            <w:vAlign w:val="center"/>
          </w:tcPr>
          <w:p>
            <w:pPr>
              <w:pStyle w:val="TableText"/>
              <w:spacing w:before="0" w:after="0" w:line="220" w:lineRule="auto"/>
            </w:pPr>
            <w:r>
              <w:rPr>
                <w:sz w:val="17"/>
                <w:szCs w:val="17"/>
              </w:rPr>
              <w:t>3,518条BBB高分候选</w:t>
            </w:r>
          </w:p>
        </w:tc>
      </w:tr>
      <w:tr>
        <w:tc>
          <w:tcPr>
            <w:tcW w:w="2340" w:type="dxa"/>
            <w:vAlign w:val="center"/>
          </w:tcPr>
          <w:p>
            <w:pPr>
              <w:pStyle w:val="TableText"/>
              <w:spacing w:before="0" w:after="0" w:line="220" w:lineRule="auto"/>
            </w:pPr>
            <w:r>
              <w:rPr>
                <w:sz w:val="17"/>
                <w:szCs w:val="17"/>
              </w:rPr>
              <w:t>NTxPred2阳性</w:t>
            </w:r>
          </w:p>
        </w:tc>
        <w:tc>
          <w:tcPr>
            <w:tcW w:w="2340" w:type="dxa"/>
            <w:vAlign w:val="center"/>
          </w:tcPr>
          <w:p>
            <w:pPr>
              <w:pStyle w:val="TableText"/>
              <w:spacing w:before="0" w:after="0" w:line="220" w:lineRule="auto"/>
            </w:pPr>
            <w:r>
              <w:rPr>
                <w:sz w:val="17"/>
                <w:szCs w:val="17"/>
              </w:rPr>
              <w:t>来源模型标签</w:t>
            </w:r>
          </w:p>
        </w:tc>
        <w:tc>
          <w:tcPr>
            <w:tcW w:w="2340" w:type="dxa"/>
            <w:vAlign w:val="center"/>
          </w:tcPr>
          <w:p>
            <w:pPr>
              <w:pStyle w:val="TableText"/>
              <w:spacing w:before="0" w:after="0" w:line="220" w:lineRule="auto"/>
            </w:pPr>
            <w:r>
              <w:rPr>
                <w:sz w:val="17"/>
                <w:szCs w:val="17"/>
              </w:rPr>
              <w:t>923</w:t>
            </w:r>
          </w:p>
        </w:tc>
        <w:tc>
          <w:tcPr>
            <w:tcW w:w="2340" w:type="dxa"/>
            <w:vAlign w:val="center"/>
          </w:tcPr>
          <w:p>
            <w:pPr>
              <w:pStyle w:val="TableText"/>
              <w:spacing w:before="0" w:after="0" w:line="220" w:lineRule="auto"/>
            </w:pPr>
            <w:r>
              <w:rPr>
                <w:sz w:val="17"/>
                <w:szCs w:val="17"/>
              </w:rPr>
              <w:t>3,299条已评估候选</w:t>
            </w:r>
          </w:p>
        </w:tc>
      </w:tr>
      <w:tr>
        <w:tc>
          <w:tcPr>
            <w:tcW w:w="2340" w:type="dxa"/>
            <w:vAlign w:val="center"/>
          </w:tcPr>
          <w:p>
            <w:pPr>
              <w:pStyle w:val="TableText"/>
              <w:spacing w:before="0" w:after="0" w:line="220" w:lineRule="auto"/>
            </w:pPr>
            <w:r>
              <w:rPr>
                <w:sz w:val="17"/>
                <w:szCs w:val="17"/>
              </w:rPr>
              <w:t>金属结合阳性</w:t>
            </w:r>
          </w:p>
        </w:tc>
        <w:tc>
          <w:tcPr>
            <w:tcW w:w="2340" w:type="dxa"/>
            <w:vAlign w:val="center"/>
          </w:tcPr>
          <w:p>
            <w:pPr>
              <w:pStyle w:val="TableText"/>
              <w:spacing w:before="0" w:after="0" w:line="220" w:lineRule="auto"/>
            </w:pPr>
            <w:r>
              <w:rPr>
                <w:sz w:val="17"/>
                <w:szCs w:val="17"/>
              </w:rPr>
              <w:t>mebipred输出≥0.50</w:t>
            </w:r>
          </w:p>
        </w:tc>
        <w:tc>
          <w:tcPr>
            <w:tcW w:w="2340" w:type="dxa"/>
            <w:vAlign w:val="center"/>
          </w:tcPr>
          <w:p>
            <w:pPr>
              <w:pStyle w:val="TableText"/>
              <w:spacing w:before="0" w:after="0" w:line="220" w:lineRule="auto"/>
            </w:pPr>
            <w:r>
              <w:rPr>
                <w:sz w:val="17"/>
                <w:szCs w:val="17"/>
              </w:rPr>
              <w:t>111</w:t>
            </w:r>
          </w:p>
        </w:tc>
        <w:tc>
          <w:tcPr>
            <w:tcW w:w="2340" w:type="dxa"/>
            <w:vAlign w:val="center"/>
          </w:tcPr>
          <w:p>
            <w:pPr>
              <w:pStyle w:val="TableText"/>
              <w:spacing w:before="0" w:after="0" w:line="220" w:lineRule="auto"/>
            </w:pPr>
            <w:r>
              <w:rPr>
                <w:sz w:val="17"/>
                <w:szCs w:val="17"/>
              </w:rPr>
              <w:t>来源报告下游计数；逐行交接缺失</w:t>
            </w:r>
          </w:p>
        </w:tc>
      </w:tr>
      <w:tr>
        <w:tc>
          <w:tcPr>
            <w:tcW w:w="2340" w:type="dxa"/>
            <w:vAlign w:val="center"/>
          </w:tcPr>
          <w:p>
            <w:pPr>
              <w:pStyle w:val="TableText"/>
              <w:spacing w:before="0" w:after="0" w:line="220" w:lineRule="auto"/>
            </w:pPr>
            <w:r>
              <w:rPr>
                <w:sz w:val="17"/>
                <w:szCs w:val="17"/>
              </w:rPr>
              <w:t>CHEL优选</w:t>
            </w:r>
          </w:p>
        </w:tc>
        <w:tc>
          <w:tcPr>
            <w:tcW w:w="2340" w:type="dxa"/>
            <w:vAlign w:val="center"/>
          </w:tcPr>
          <w:p>
            <w:pPr>
              <w:pStyle w:val="TableText"/>
              <w:spacing w:before="0" w:after="0" w:line="220" w:lineRule="auto"/>
            </w:pPr>
            <w:r>
              <w:rPr>
                <w:sz w:val="17"/>
                <w:szCs w:val="17"/>
              </w:rPr>
              <w:t>CHEL≥0.25</w:t>
            </w:r>
          </w:p>
        </w:tc>
        <w:tc>
          <w:tcPr>
            <w:tcW w:w="2340" w:type="dxa"/>
            <w:vAlign w:val="center"/>
          </w:tcPr>
          <w:p>
            <w:pPr>
              <w:pStyle w:val="TableText"/>
              <w:spacing w:before="0" w:after="0" w:line="220" w:lineRule="auto"/>
            </w:pPr>
            <w:r>
              <w:rPr>
                <w:sz w:val="17"/>
                <w:szCs w:val="17"/>
              </w:rPr>
              <w:t>15</w:t>
            </w:r>
          </w:p>
        </w:tc>
        <w:tc>
          <w:tcPr>
            <w:tcW w:w="2340" w:type="dxa"/>
            <w:vAlign w:val="center"/>
          </w:tcPr>
          <w:p>
            <w:pPr>
              <w:pStyle w:val="TableText"/>
              <w:spacing w:before="0" w:after="0" w:line="220" w:lineRule="auto"/>
            </w:pPr>
            <w:r>
              <w:rPr>
                <w:sz w:val="17"/>
                <w:szCs w:val="17"/>
              </w:rPr>
              <w:t>111条报告金属阳性候选</w:t>
            </w:r>
          </w:p>
        </w:tc>
      </w:tr>
      <w:tr>
        <w:tc>
          <w:tcPr>
            <w:tcW w:w="2340" w:type="dxa"/>
            <w:vAlign w:val="center"/>
          </w:tcPr>
          <w:p>
            <w:pPr>
              <w:pStyle w:val="TableText"/>
              <w:spacing w:before="0" w:after="0" w:line="220" w:lineRule="auto"/>
            </w:pPr>
            <w:r>
              <w:rPr>
                <w:sz w:val="17"/>
                <w:szCs w:val="17"/>
              </w:rPr>
              <w:t>主集合</w:t>
            </w:r>
          </w:p>
        </w:tc>
        <w:tc>
          <w:tcPr>
            <w:tcW w:w="2340" w:type="dxa"/>
            <w:vAlign w:val="center"/>
          </w:tcPr>
          <w:p>
            <w:pPr>
              <w:pStyle w:val="TableText"/>
              <w:spacing w:before="0" w:after="0" w:line="220" w:lineRule="auto"/>
            </w:pPr>
            <w:r>
              <w:rPr>
                <w:sz w:val="17"/>
                <w:szCs w:val="17"/>
              </w:rPr>
              <w:t>CHEL≥0.25且FRS&lt;0.50</w:t>
            </w:r>
          </w:p>
        </w:tc>
        <w:tc>
          <w:tcPr>
            <w:tcW w:w="2340" w:type="dxa"/>
            <w:vAlign w:val="center"/>
          </w:tcPr>
          <w:p>
            <w:pPr>
              <w:pStyle w:val="TableText"/>
              <w:spacing w:before="0" w:after="0" w:line="220" w:lineRule="auto"/>
            </w:pPr>
            <w:r>
              <w:rPr>
                <w:sz w:val="17"/>
                <w:szCs w:val="17"/>
              </w:rPr>
              <w:t>12</w:t>
            </w:r>
          </w:p>
        </w:tc>
        <w:tc>
          <w:tcPr>
            <w:tcW w:w="2340" w:type="dxa"/>
            <w:vAlign w:val="center"/>
          </w:tcPr>
          <w:p>
            <w:pPr>
              <w:pStyle w:val="TableText"/>
              <w:spacing w:before="0" w:after="0" w:line="220" w:lineRule="auto"/>
            </w:pPr>
            <w:r>
              <w:rPr>
                <w:sz w:val="17"/>
                <w:szCs w:val="17"/>
              </w:rPr>
              <w:t>111条报告金属阳性候选</w:t>
            </w:r>
          </w:p>
        </w:tc>
      </w:tr>
      <w:tr>
        <w:tc>
          <w:tcPr>
            <w:tcW w:w="2340" w:type="dxa"/>
            <w:vAlign w:val="center"/>
          </w:tcPr>
          <w:p>
            <w:pPr>
              <w:pStyle w:val="TableText"/>
              <w:spacing w:before="0" w:after="0" w:line="220" w:lineRule="auto"/>
            </w:pPr>
            <w:r>
              <w:rPr>
                <w:sz w:val="17"/>
                <w:szCs w:val="17"/>
              </w:rPr>
              <w:t>更严格子集</w:t>
            </w:r>
          </w:p>
        </w:tc>
        <w:tc>
          <w:tcPr>
            <w:tcW w:w="2340" w:type="dxa"/>
            <w:vAlign w:val="center"/>
          </w:tcPr>
          <w:p>
            <w:pPr>
              <w:pStyle w:val="TableText"/>
              <w:spacing w:before="0" w:after="0" w:line="220" w:lineRule="auto"/>
            </w:pPr>
            <w:r>
              <w:rPr>
                <w:sz w:val="17"/>
                <w:szCs w:val="17"/>
              </w:rPr>
              <w:t>CHEL≥0.25且FRS&lt;0.45</w:t>
            </w:r>
          </w:p>
        </w:tc>
        <w:tc>
          <w:tcPr>
            <w:tcW w:w="2340" w:type="dxa"/>
            <w:vAlign w:val="center"/>
          </w:tcPr>
          <w:p>
            <w:pPr>
              <w:pStyle w:val="TableText"/>
              <w:spacing w:before="0" w:after="0" w:line="220" w:lineRule="auto"/>
            </w:pPr>
            <w:r>
              <w:rPr>
                <w:sz w:val="17"/>
                <w:szCs w:val="17"/>
              </w:rPr>
              <w:t>8</w:t>
            </w:r>
          </w:p>
        </w:tc>
        <w:tc>
          <w:tcPr>
            <w:tcW w:w="2340" w:type="dxa"/>
            <w:vAlign w:val="center"/>
          </w:tcPr>
          <w:p>
            <w:pPr>
              <w:pStyle w:val="TableText"/>
              <w:spacing w:before="0" w:after="0" w:line="220" w:lineRule="auto"/>
            </w:pPr>
            <w:r>
              <w:rPr>
                <w:sz w:val="17"/>
                <w:szCs w:val="17"/>
              </w:rPr>
              <w:t>111条报告金属阳性候选；成员未知</w:t>
            </w:r>
          </w:p>
        </w:tc>
      </w:tr>
    </w:tbl>
    <w:p>
      <w:pPr>
        <w:spacing w:after="40"/>
      </w:pPr>
    </w:p>
    <w:p>
      <w:pPr>
        <w:pStyle w:val="Figure"/>
        <w:jc w:val="center"/>
        <w:keepNext/>
      </w:pPr>
      <w:r>
        <w:drawing>
          <wp:inline distT="0" distB="0" distL="0" distR="0">
            <wp:extent cx="6150000" cy="5261666"/>
            <wp:effectExtent l="0" t="0" r="0" b="0"/>
            <wp:docPr id="1" name="Figure 1" descr="图1. 保留证据边界的汇总优选漏斗"/>
            <wp:cNvGraphicFramePr>
              <a:graphicFrameLocks noChangeAspect="1"/>
            </wp:cNvGraphicFramePr>
            <a:graphic>
              <a:graphicData uri="http://schemas.openxmlformats.org/drawingml/2006/picture">
                <pic:pic>
                  <pic:nvPicPr>
                    <pic:cNvPr id="0" name="prioritization_funnel.png"/>
                    <pic:cNvPicPr/>
                  </pic:nvPicPr>
                  <pic:blipFill>
                    <a:blip r:embed="rId10"/>
                    <a:stretch>
                      <a:fillRect/>
                    </a:stretch>
                  </pic:blipFill>
                  <pic:spPr>
                    <a:xfrm>
                      <a:off x="0" y="0"/>
                      <a:ext cx="6150000" cy="5261666"/>
                    </a:xfrm>
                    <a:prstGeom prst="rect">
                      <a:avLst/>
                    </a:prstGeom>
                  </pic:spPr>
                </pic:pic>
              </a:graphicData>
            </a:graphic>
          </wp:inline>
        </w:drawing>
      </w:r>
    </w:p>
    <w:p>
      <w:pPr>
        <w:pStyle w:val="Normal"/>
      </w:pPr>
      <w:r>
        <w:rPr>
          <w:b/>
        </w:rPr>
        <w:t>图1.</w:t>
      </w:r>
      <w:r>
        <w:t xml:space="preserve"> 汇总筛选漏斗。实线转换可由算术重建。因缺少逐行链路，NTxPred2至mebipred转换保持虚线。主要来源缺少候选身份；外部来源记录提供12条序列，但未提供其逐行筛选链路。</w:t>
      </w:r>
    </w:p>
    <w:p>
      <w:pPr>
        <w:pStyle w:val="Heading3"/>
        <w:keepNext/>
      </w:pPr>
      <w:r>
        <w:t>3.5 外部序列清单可进行组成审计</w:t>
      </w:r>
    </w:p>
    <w:p>
      <w:pPr>
        <w:pStyle w:val="Normal"/>
      </w:pPr>
      <w:r>
        <w:t>外部来源记录列出12条互不重复的序列，均由标准氨基酸组成，长度7–9个残基（表3）。11条含组氨酸，6条含半胱氨酸，每条都至少含一个Arg/Lys。这些组成陈述可直接由字符串复现，有助于合成和假设设计，但不能验证金属结合、BBB转运、毒性、分类归属或其与主要来源12行的对应。</w:t>
      </w:r>
    </w:p>
    <w:p>
      <w:pPr>
        <w:pStyle w:val="Normal"/>
      </w:pPr>
      <w:r>
        <w:rPr>
          <w:b/>
        </w:rPr>
        <w:t>表3. 外部报告12条序列及独立重算组成</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shd w:val="clear" w:color="auto" w:fill="DCE6F1"/>
            <w:vAlign w:val="center"/>
          </w:tcPr>
          <w:p>
            <w:pPr>
              <w:pStyle w:val="TableText"/>
              <w:spacing w:before="0" w:after="0" w:line="220" w:lineRule="auto"/>
            </w:pPr>
            <w:r>
              <w:rPr>
                <w:sz w:val="17"/>
                <w:szCs w:val="17"/>
              </w:rPr>
              <w:t>按报告Vina均值排序</w:t>
            </w:r>
          </w:p>
        </w:tc>
        <w:tc>
          <w:tcPr>
            <w:tcW w:w="1337" w:type="dxa"/>
            <w:shd w:val="clear" w:color="auto" w:fill="DCE6F1"/>
            <w:vAlign w:val="center"/>
          </w:tcPr>
          <w:p>
            <w:pPr>
              <w:pStyle w:val="TableText"/>
              <w:spacing w:before="0" w:after="0" w:line="220" w:lineRule="auto"/>
            </w:pPr>
            <w:r>
              <w:rPr>
                <w:sz w:val="17"/>
                <w:szCs w:val="17"/>
              </w:rPr>
              <w:t>序列</w:t>
            </w:r>
          </w:p>
        </w:tc>
        <w:tc>
          <w:tcPr>
            <w:tcW w:w="1337" w:type="dxa"/>
            <w:shd w:val="clear" w:color="auto" w:fill="DCE6F1"/>
            <w:vAlign w:val="center"/>
          </w:tcPr>
          <w:p>
            <w:pPr>
              <w:pStyle w:val="TableText"/>
              <w:spacing w:before="0" w:after="0" w:line="220" w:lineRule="auto"/>
            </w:pPr>
            <w:r>
              <w:rPr>
                <w:sz w:val="17"/>
                <w:szCs w:val="17"/>
              </w:rPr>
              <w:t>长度</w:t>
            </w:r>
          </w:p>
        </w:tc>
        <w:tc>
          <w:tcPr>
            <w:tcW w:w="1337" w:type="dxa"/>
            <w:shd w:val="clear" w:color="auto" w:fill="DCE6F1"/>
            <w:vAlign w:val="center"/>
          </w:tcPr>
          <w:p>
            <w:pPr>
              <w:pStyle w:val="TableText"/>
              <w:spacing w:before="0" w:after="0" w:line="220" w:lineRule="auto"/>
            </w:pPr>
            <w:r>
              <w:rPr>
                <w:sz w:val="17"/>
                <w:szCs w:val="17"/>
              </w:rPr>
              <w:t>His</w:t>
            </w:r>
          </w:p>
        </w:tc>
        <w:tc>
          <w:tcPr>
            <w:tcW w:w="1337" w:type="dxa"/>
            <w:shd w:val="clear" w:color="auto" w:fill="DCE6F1"/>
            <w:vAlign w:val="center"/>
          </w:tcPr>
          <w:p>
            <w:pPr>
              <w:pStyle w:val="TableText"/>
              <w:spacing w:before="0" w:after="0" w:line="220" w:lineRule="auto"/>
            </w:pPr>
            <w:r>
              <w:rPr>
                <w:sz w:val="17"/>
                <w:szCs w:val="17"/>
              </w:rPr>
              <w:t>Cys</w:t>
            </w:r>
          </w:p>
        </w:tc>
        <w:tc>
          <w:tcPr>
            <w:tcW w:w="1337" w:type="dxa"/>
            <w:shd w:val="clear" w:color="auto" w:fill="DCE6F1"/>
            <w:vAlign w:val="center"/>
          </w:tcPr>
          <w:p>
            <w:pPr>
              <w:pStyle w:val="TableText"/>
              <w:spacing w:before="0" w:after="0" w:line="220" w:lineRule="auto"/>
            </w:pPr>
            <w:r>
              <w:rPr>
                <w:sz w:val="17"/>
                <w:szCs w:val="17"/>
              </w:rPr>
              <w:t>Arg+Lys</w:t>
            </w:r>
          </w:p>
        </w:tc>
        <w:tc>
          <w:tcPr>
            <w:tcW w:w="1337" w:type="dxa"/>
            <w:shd w:val="clear" w:color="auto" w:fill="DCE6F1"/>
            <w:vAlign w:val="center"/>
          </w:tcPr>
          <w:p>
            <w:pPr>
              <w:pStyle w:val="TableText"/>
              <w:spacing w:before="0" w:after="0" w:line="220" w:lineRule="auto"/>
            </w:pPr>
            <w:r>
              <w:rPr>
                <w:sz w:val="17"/>
                <w:szCs w:val="17"/>
              </w:rPr>
              <w:t>Phe+Tyr+Trp</w:t>
            </w:r>
          </w:p>
        </w:tc>
      </w:tr>
      <w:tr>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FLLHTTR</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YLSLLQR</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3</w:t>
            </w:r>
          </w:p>
        </w:tc>
        <w:tc>
          <w:tcPr>
            <w:tcW w:w="1337" w:type="dxa"/>
            <w:vAlign w:val="center"/>
          </w:tcPr>
          <w:p>
            <w:pPr>
              <w:pStyle w:val="TableText"/>
              <w:spacing w:before="0" w:after="0" w:line="220" w:lineRule="auto"/>
            </w:pPr>
            <w:r>
              <w:rPr>
                <w:sz w:val="17"/>
                <w:szCs w:val="17"/>
              </w:rPr>
              <w:t>ALLLHRC</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4</w:t>
            </w:r>
          </w:p>
        </w:tc>
        <w:tc>
          <w:tcPr>
            <w:tcW w:w="1337" w:type="dxa"/>
            <w:vAlign w:val="center"/>
          </w:tcPr>
          <w:p>
            <w:pPr>
              <w:pStyle w:val="TableText"/>
              <w:spacing w:before="0" w:after="0" w:line="220" w:lineRule="auto"/>
            </w:pPr>
            <w:r>
              <w:rPr>
                <w:sz w:val="17"/>
                <w:szCs w:val="17"/>
              </w:rPr>
              <w:t>FCLHLQLR</w:t>
            </w:r>
          </w:p>
        </w:tc>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5</w:t>
            </w:r>
          </w:p>
        </w:tc>
        <w:tc>
          <w:tcPr>
            <w:tcW w:w="1337" w:type="dxa"/>
            <w:vAlign w:val="center"/>
          </w:tcPr>
          <w:p>
            <w:pPr>
              <w:pStyle w:val="TableText"/>
              <w:spacing w:before="0" w:after="0" w:line="220" w:lineRule="auto"/>
            </w:pPr>
            <w:r>
              <w:rPr>
                <w:sz w:val="17"/>
                <w:szCs w:val="17"/>
              </w:rPr>
              <w:t>YHHLLCRR</w:t>
            </w:r>
          </w:p>
        </w:tc>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6</w:t>
            </w:r>
          </w:p>
        </w:tc>
        <w:tc>
          <w:tcPr>
            <w:tcW w:w="1337" w:type="dxa"/>
            <w:vAlign w:val="center"/>
          </w:tcPr>
          <w:p>
            <w:pPr>
              <w:pStyle w:val="TableText"/>
              <w:spacing w:before="0" w:after="0" w:line="220" w:lineRule="auto"/>
            </w:pPr>
            <w:r>
              <w:rPr>
                <w:sz w:val="17"/>
                <w:szCs w:val="17"/>
              </w:rPr>
              <w:t>LLHLPKRTT</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LLHPLRL</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WLLVHLKK</w:t>
            </w:r>
          </w:p>
        </w:tc>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LLHPLRC</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10</w:t>
            </w:r>
          </w:p>
        </w:tc>
        <w:tc>
          <w:tcPr>
            <w:tcW w:w="1337" w:type="dxa"/>
            <w:vAlign w:val="center"/>
          </w:tcPr>
          <w:p>
            <w:pPr>
              <w:pStyle w:val="TableText"/>
              <w:spacing w:before="0" w:after="0" w:line="220" w:lineRule="auto"/>
            </w:pPr>
            <w:r>
              <w:rPr>
                <w:sz w:val="17"/>
                <w:szCs w:val="17"/>
              </w:rPr>
              <w:t>HLLTLKKHV</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11</w:t>
            </w:r>
          </w:p>
        </w:tc>
        <w:tc>
          <w:tcPr>
            <w:tcW w:w="1337" w:type="dxa"/>
            <w:vAlign w:val="center"/>
          </w:tcPr>
          <w:p>
            <w:pPr>
              <w:pStyle w:val="TableText"/>
              <w:spacing w:before="0" w:after="0" w:line="220" w:lineRule="auto"/>
            </w:pPr>
            <w:r>
              <w:rPr>
                <w:sz w:val="17"/>
                <w:szCs w:val="17"/>
              </w:rPr>
              <w:t>HLPLLHRCC</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12</w:t>
            </w:r>
          </w:p>
        </w:tc>
        <w:tc>
          <w:tcPr>
            <w:tcW w:w="1337" w:type="dxa"/>
            <w:vAlign w:val="center"/>
          </w:tcPr>
          <w:p>
            <w:pPr>
              <w:pStyle w:val="TableText"/>
              <w:spacing w:before="0" w:after="0" w:line="220" w:lineRule="auto"/>
            </w:pPr>
            <w:r>
              <w:rPr>
                <w:sz w:val="17"/>
                <w:szCs w:val="17"/>
              </w:rPr>
              <w:t>HVLLLRQCA</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bl>
    <w:p>
      <w:pPr>
        <w:spacing w:after="40"/>
      </w:pPr>
    </w:p>
    <w:p>
      <w:pPr>
        <w:pStyle w:val="Normal"/>
      </w:pPr>
      <w:r>
        <w:t>更严格8/12子集的成员仍未知，因为两个证据层均未提供序列层面的FRS标签。</w:t>
      </w:r>
    </w:p>
    <w:p>
      <w:pPr>
        <w:pStyle w:val="Heading3"/>
        <w:keepNext/>
      </w:pPr>
      <w:r>
        <w:t>3.6 来源报告Vina汇总可对12条序列排序，但不构成对接复现</w:t>
      </w:r>
    </w:p>
    <w:p>
      <w:pPr>
        <w:pStyle w:val="Normal"/>
      </w:pPr>
      <w:r>
        <w:t>外部记录提供的Vina均值为−9.60至−8.25 kcal/mol，SD为0.04至0.12（表4，图2）。排序、唯一性和数值范围均通过确定性检查。前三条报告均值依次为FLLHTTR −9.60、YLSLLQR −9.49和ALLLHRC −9.29 kcal/mol；末两条为HLPLLHRCC −8.35和HVLLLRQCA −8.25 kcal/mol。</w:t>
      </w:r>
    </w:p>
    <w:p>
      <w:pPr>
        <w:pStyle w:val="Normal"/>
      </w:pPr>
      <w:r>
        <w:rPr>
          <w:b/>
        </w:rPr>
        <w:t>表4. 针对人AChE PDB 4EY6的来源报告AutoDock Vina汇总</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shd w:val="clear" w:color="auto" w:fill="DCE6F1"/>
            <w:vAlign w:val="center"/>
          </w:tcPr>
          <w:p>
            <w:pPr>
              <w:pStyle w:val="TableText"/>
              <w:spacing w:before="0" w:after="0" w:line="220" w:lineRule="auto"/>
            </w:pPr>
            <w:r>
              <w:rPr>
                <w:sz w:val="17"/>
                <w:szCs w:val="17"/>
              </w:rPr>
              <w:t>排名</w:t>
            </w:r>
          </w:p>
        </w:tc>
        <w:tc>
          <w:tcPr>
            <w:tcW w:w="1872" w:type="dxa"/>
            <w:shd w:val="clear" w:color="auto" w:fill="DCE6F1"/>
            <w:vAlign w:val="center"/>
          </w:tcPr>
          <w:p>
            <w:pPr>
              <w:pStyle w:val="TableText"/>
              <w:spacing w:before="0" w:after="0" w:line="220" w:lineRule="auto"/>
            </w:pPr>
            <w:r>
              <w:rPr>
                <w:sz w:val="17"/>
                <w:szCs w:val="17"/>
              </w:rPr>
              <w:t>序列</w:t>
            </w:r>
          </w:p>
        </w:tc>
        <w:tc>
          <w:tcPr>
            <w:tcW w:w="1872" w:type="dxa"/>
            <w:shd w:val="clear" w:color="auto" w:fill="DCE6F1"/>
            <w:vAlign w:val="center"/>
          </w:tcPr>
          <w:p>
            <w:pPr>
              <w:pStyle w:val="TableText"/>
              <w:spacing w:before="0" w:after="0" w:line="220" w:lineRule="auto"/>
            </w:pPr>
            <w:r>
              <w:rPr>
                <w:sz w:val="17"/>
                <w:szCs w:val="17"/>
              </w:rPr>
              <w:t>报告均值（kcal/mol）</w:t>
            </w:r>
          </w:p>
        </w:tc>
        <w:tc>
          <w:tcPr>
            <w:tcW w:w="1872" w:type="dxa"/>
            <w:shd w:val="clear" w:color="auto" w:fill="DCE6F1"/>
            <w:vAlign w:val="center"/>
          </w:tcPr>
          <w:p>
            <w:pPr>
              <w:pStyle w:val="TableText"/>
              <w:spacing w:before="0" w:after="0" w:line="220" w:lineRule="auto"/>
            </w:pPr>
            <w:r>
              <w:rPr>
                <w:sz w:val="17"/>
                <w:szCs w:val="17"/>
              </w:rPr>
              <w:t>报告SD</w:t>
            </w:r>
          </w:p>
        </w:tc>
        <w:tc>
          <w:tcPr>
            <w:tcW w:w="1872" w:type="dxa"/>
            <w:shd w:val="clear" w:color="auto" w:fill="DCE6F1"/>
            <w:vAlign w:val="center"/>
          </w:tcPr>
          <w:p>
            <w:pPr>
              <w:pStyle w:val="TableText"/>
              <w:spacing w:before="0" w:after="0" w:line="220" w:lineRule="auto"/>
            </w:pPr>
            <w:r>
              <w:rPr>
                <w:sz w:val="17"/>
                <w:szCs w:val="17"/>
              </w:rPr>
              <w:t>当前证据状态</w:t>
            </w:r>
          </w:p>
        </w:tc>
      </w:tr>
      <w:tr>
        <w:tc>
          <w:tcPr>
            <w:tcW w:w="1872" w:type="dxa"/>
            <w:vAlign w:val="center"/>
          </w:tcPr>
          <w:p>
            <w:pPr>
              <w:pStyle w:val="TableText"/>
              <w:spacing w:before="0" w:after="0" w:line="220" w:lineRule="auto"/>
            </w:pPr>
            <w:r>
              <w:rPr>
                <w:sz w:val="17"/>
                <w:szCs w:val="17"/>
              </w:rPr>
              <w:t>1</w:t>
            </w:r>
          </w:p>
        </w:tc>
        <w:tc>
          <w:tcPr>
            <w:tcW w:w="1872" w:type="dxa"/>
            <w:vAlign w:val="center"/>
          </w:tcPr>
          <w:p>
            <w:pPr>
              <w:pStyle w:val="TableText"/>
              <w:spacing w:before="0" w:after="0" w:line="220" w:lineRule="auto"/>
            </w:pPr>
            <w:r>
              <w:rPr>
                <w:sz w:val="17"/>
                <w:szCs w:val="17"/>
              </w:rPr>
              <w:t>FLLHTTR</w:t>
            </w:r>
          </w:p>
        </w:tc>
        <w:tc>
          <w:tcPr>
            <w:tcW w:w="1872" w:type="dxa"/>
            <w:vAlign w:val="center"/>
          </w:tcPr>
          <w:p>
            <w:pPr>
              <w:pStyle w:val="TableText"/>
              <w:spacing w:before="0" w:after="0" w:line="220" w:lineRule="auto"/>
            </w:pPr>
            <w:r>
              <w:rPr>
                <w:sz w:val="17"/>
                <w:szCs w:val="17"/>
              </w:rPr>
              <w:t>−9.60</w:t>
            </w:r>
          </w:p>
        </w:tc>
        <w:tc>
          <w:tcPr>
            <w:tcW w:w="1872" w:type="dxa"/>
            <w:vAlign w:val="center"/>
          </w:tcPr>
          <w:p>
            <w:pPr>
              <w:pStyle w:val="TableText"/>
              <w:spacing w:before="0" w:after="0" w:line="220" w:lineRule="auto"/>
            </w:pPr>
            <w:r>
              <w:rPr>
                <w:sz w:val="17"/>
                <w:szCs w:val="17"/>
              </w:rPr>
              <w:t>0.08</w:t>
            </w:r>
          </w:p>
        </w:tc>
        <w:tc>
          <w:tcPr>
            <w:tcW w:w="1872" w:type="dxa"/>
            <w:vAlign w:val="center"/>
          </w:tcPr>
          <w:p>
            <w:pPr>
              <w:pStyle w:val="TableText"/>
              <w:spacing w:before="0" w:after="0" w:line="220" w:lineRule="auto"/>
            </w:pPr>
            <w:r>
              <w:rPr>
                <w:sz w:val="17"/>
                <w:szCs w:val="17"/>
              </w:rPr>
              <w:t>已转录汇总；原始运行/构象缺失</w:t>
            </w:r>
          </w:p>
        </w:tc>
      </w:tr>
      <w:tr>
        <w:tc>
          <w:tcPr>
            <w:tcW w:w="1872" w:type="dxa"/>
            <w:vAlign w:val="center"/>
          </w:tcPr>
          <w:p>
            <w:pPr>
              <w:pStyle w:val="TableText"/>
              <w:spacing w:before="0" w:after="0" w:line="220" w:lineRule="auto"/>
            </w:pPr>
            <w:r>
              <w:rPr>
                <w:sz w:val="17"/>
                <w:szCs w:val="17"/>
              </w:rPr>
              <w:t>2</w:t>
            </w:r>
          </w:p>
        </w:tc>
        <w:tc>
          <w:tcPr>
            <w:tcW w:w="1872" w:type="dxa"/>
            <w:vAlign w:val="center"/>
          </w:tcPr>
          <w:p>
            <w:pPr>
              <w:pStyle w:val="TableText"/>
              <w:spacing w:before="0" w:after="0" w:line="220" w:lineRule="auto"/>
            </w:pPr>
            <w:r>
              <w:rPr>
                <w:sz w:val="17"/>
                <w:szCs w:val="17"/>
              </w:rPr>
              <w:t>YLSLLQR</w:t>
            </w:r>
          </w:p>
        </w:tc>
        <w:tc>
          <w:tcPr>
            <w:tcW w:w="1872" w:type="dxa"/>
            <w:vAlign w:val="center"/>
          </w:tcPr>
          <w:p>
            <w:pPr>
              <w:pStyle w:val="TableText"/>
              <w:spacing w:before="0" w:after="0" w:line="220" w:lineRule="auto"/>
            </w:pPr>
            <w:r>
              <w:rPr>
                <w:sz w:val="17"/>
                <w:szCs w:val="17"/>
              </w:rPr>
              <w:t>−9.49</w:t>
            </w:r>
          </w:p>
        </w:tc>
        <w:tc>
          <w:tcPr>
            <w:tcW w:w="1872" w:type="dxa"/>
            <w:vAlign w:val="center"/>
          </w:tcPr>
          <w:p>
            <w:pPr>
              <w:pStyle w:val="TableText"/>
              <w:spacing w:before="0" w:after="0" w:line="220" w:lineRule="auto"/>
            </w:pPr>
            <w:r>
              <w:rPr>
                <w:sz w:val="17"/>
                <w:szCs w:val="17"/>
              </w:rPr>
              <w:t>0.05</w:t>
            </w:r>
          </w:p>
        </w:tc>
        <w:tc>
          <w:tcPr>
            <w:tcW w:w="1872" w:type="dxa"/>
            <w:vAlign w:val="center"/>
          </w:tcPr>
          <w:p>
            <w:pPr>
              <w:pStyle w:val="TableText"/>
              <w:spacing w:before="0" w:after="0" w:line="220" w:lineRule="auto"/>
            </w:pPr>
            <w:r>
              <w:rPr>
                <w:sz w:val="17"/>
                <w:szCs w:val="17"/>
              </w:rPr>
              <w:t>同上</w:t>
            </w:r>
          </w:p>
        </w:tc>
      </w:tr>
      <w:tr>
        <w:tc>
          <w:tcPr>
            <w:tcW w:w="1872" w:type="dxa"/>
            <w:vAlign w:val="center"/>
          </w:tcPr>
          <w:p>
            <w:pPr>
              <w:pStyle w:val="TableText"/>
              <w:spacing w:before="0" w:after="0" w:line="220" w:lineRule="auto"/>
            </w:pPr>
            <w:r>
              <w:rPr>
                <w:sz w:val="17"/>
                <w:szCs w:val="17"/>
              </w:rPr>
              <w:t>3</w:t>
            </w:r>
          </w:p>
        </w:tc>
        <w:tc>
          <w:tcPr>
            <w:tcW w:w="1872" w:type="dxa"/>
            <w:vAlign w:val="center"/>
          </w:tcPr>
          <w:p>
            <w:pPr>
              <w:pStyle w:val="TableText"/>
              <w:spacing w:before="0" w:after="0" w:line="220" w:lineRule="auto"/>
            </w:pPr>
            <w:r>
              <w:rPr>
                <w:sz w:val="17"/>
                <w:szCs w:val="17"/>
              </w:rPr>
              <w:t>ALLLHRC</w:t>
            </w:r>
          </w:p>
        </w:tc>
        <w:tc>
          <w:tcPr>
            <w:tcW w:w="1872" w:type="dxa"/>
            <w:vAlign w:val="center"/>
          </w:tcPr>
          <w:p>
            <w:pPr>
              <w:pStyle w:val="TableText"/>
              <w:spacing w:before="0" w:after="0" w:line="220" w:lineRule="auto"/>
            </w:pPr>
            <w:r>
              <w:rPr>
                <w:sz w:val="17"/>
                <w:szCs w:val="17"/>
              </w:rPr>
              <w:t>−9.29</w:t>
            </w:r>
          </w:p>
        </w:tc>
        <w:tc>
          <w:tcPr>
            <w:tcW w:w="1872" w:type="dxa"/>
            <w:vAlign w:val="center"/>
          </w:tcPr>
          <w:p>
            <w:pPr>
              <w:pStyle w:val="TableText"/>
              <w:spacing w:before="0" w:after="0" w:line="220" w:lineRule="auto"/>
            </w:pPr>
            <w:r>
              <w:rPr>
                <w:sz w:val="17"/>
                <w:szCs w:val="17"/>
              </w:rPr>
              <w:t>0.11</w:t>
            </w:r>
          </w:p>
        </w:tc>
        <w:tc>
          <w:tcPr>
            <w:tcW w:w="1872" w:type="dxa"/>
            <w:vAlign w:val="center"/>
          </w:tcPr>
          <w:p>
            <w:pPr>
              <w:pStyle w:val="TableText"/>
              <w:spacing w:before="0" w:after="0" w:line="220" w:lineRule="auto"/>
            </w:pPr>
            <w:r>
              <w:rPr>
                <w:sz w:val="17"/>
                <w:szCs w:val="17"/>
              </w:rPr>
              <w:t>同上</w:t>
            </w:r>
          </w:p>
        </w:tc>
      </w:tr>
      <w:tr>
        <w:tc>
          <w:tcPr>
            <w:tcW w:w="1872" w:type="dxa"/>
            <w:vAlign w:val="center"/>
          </w:tcPr>
          <w:p>
            <w:pPr>
              <w:pStyle w:val="TableText"/>
              <w:spacing w:before="0" w:after="0" w:line="220" w:lineRule="auto"/>
            </w:pPr>
            <w:r>
              <w:rPr>
                <w:sz w:val="17"/>
                <w:szCs w:val="17"/>
              </w:rPr>
              <w:t>4</w:t>
            </w:r>
          </w:p>
        </w:tc>
        <w:tc>
          <w:tcPr>
            <w:tcW w:w="1872" w:type="dxa"/>
            <w:vAlign w:val="center"/>
          </w:tcPr>
          <w:p>
            <w:pPr>
              <w:pStyle w:val="TableText"/>
              <w:spacing w:before="0" w:after="0" w:line="220" w:lineRule="auto"/>
            </w:pPr>
            <w:r>
              <w:rPr>
                <w:sz w:val="17"/>
                <w:szCs w:val="17"/>
              </w:rPr>
              <w:t>FCLHLQLR</w:t>
            </w:r>
          </w:p>
        </w:tc>
        <w:tc>
          <w:tcPr>
            <w:tcW w:w="1872" w:type="dxa"/>
            <w:vAlign w:val="center"/>
          </w:tcPr>
          <w:p>
            <w:pPr>
              <w:pStyle w:val="TableText"/>
              <w:spacing w:before="0" w:after="0" w:line="220" w:lineRule="auto"/>
            </w:pPr>
            <w:r>
              <w:rPr>
                <w:sz w:val="17"/>
                <w:szCs w:val="17"/>
              </w:rPr>
              <w:t>−9.27</w:t>
            </w:r>
          </w:p>
        </w:tc>
        <w:tc>
          <w:tcPr>
            <w:tcW w:w="1872" w:type="dxa"/>
            <w:vAlign w:val="center"/>
          </w:tcPr>
          <w:p>
            <w:pPr>
              <w:pStyle w:val="TableText"/>
              <w:spacing w:before="0" w:after="0" w:line="220" w:lineRule="auto"/>
            </w:pPr>
            <w:r>
              <w:rPr>
                <w:sz w:val="17"/>
                <w:szCs w:val="17"/>
              </w:rPr>
              <w:t>0.09</w:t>
            </w:r>
          </w:p>
        </w:tc>
        <w:tc>
          <w:tcPr>
            <w:tcW w:w="1872" w:type="dxa"/>
            <w:vAlign w:val="center"/>
          </w:tcPr>
          <w:p>
            <w:pPr>
              <w:pStyle w:val="TableText"/>
              <w:spacing w:before="0" w:after="0" w:line="220" w:lineRule="auto"/>
            </w:pPr>
            <w:r>
              <w:rPr>
                <w:sz w:val="17"/>
                <w:szCs w:val="17"/>
              </w:rPr>
              <w:t>同上</w:t>
            </w:r>
          </w:p>
        </w:tc>
      </w:tr>
      <w:tr>
        <w:tc>
          <w:tcPr>
            <w:tcW w:w="1872" w:type="dxa"/>
            <w:vAlign w:val="center"/>
          </w:tcPr>
          <w:p>
            <w:pPr>
              <w:pStyle w:val="TableText"/>
              <w:spacing w:before="0" w:after="0" w:line="220" w:lineRule="auto"/>
            </w:pPr>
            <w:r>
              <w:rPr>
                <w:sz w:val="17"/>
                <w:szCs w:val="17"/>
              </w:rPr>
              <w:t>5</w:t>
            </w:r>
          </w:p>
        </w:tc>
        <w:tc>
          <w:tcPr>
            <w:tcW w:w="1872" w:type="dxa"/>
            <w:vAlign w:val="center"/>
          </w:tcPr>
          <w:p>
            <w:pPr>
              <w:pStyle w:val="TableText"/>
              <w:spacing w:before="0" w:after="0" w:line="220" w:lineRule="auto"/>
            </w:pPr>
            <w:r>
              <w:rPr>
                <w:sz w:val="17"/>
                <w:szCs w:val="17"/>
              </w:rPr>
              <w:t>YHHLLCRR</w:t>
            </w:r>
          </w:p>
        </w:tc>
        <w:tc>
          <w:tcPr>
            <w:tcW w:w="1872" w:type="dxa"/>
            <w:vAlign w:val="center"/>
          </w:tcPr>
          <w:p>
            <w:pPr>
              <w:pStyle w:val="TableText"/>
              <w:spacing w:before="0" w:after="0" w:line="220" w:lineRule="auto"/>
            </w:pPr>
            <w:r>
              <w:rPr>
                <w:sz w:val="17"/>
                <w:szCs w:val="17"/>
              </w:rPr>
              <w:t>−9.03</w:t>
            </w:r>
          </w:p>
        </w:tc>
        <w:tc>
          <w:tcPr>
            <w:tcW w:w="1872" w:type="dxa"/>
            <w:vAlign w:val="center"/>
          </w:tcPr>
          <w:p>
            <w:pPr>
              <w:pStyle w:val="TableText"/>
              <w:spacing w:before="0" w:after="0" w:line="220" w:lineRule="auto"/>
            </w:pPr>
            <w:r>
              <w:rPr>
                <w:sz w:val="17"/>
                <w:szCs w:val="17"/>
              </w:rPr>
              <w:t>0.07</w:t>
            </w:r>
          </w:p>
        </w:tc>
        <w:tc>
          <w:tcPr>
            <w:tcW w:w="1872" w:type="dxa"/>
            <w:vAlign w:val="center"/>
          </w:tcPr>
          <w:p>
            <w:pPr>
              <w:pStyle w:val="TableText"/>
              <w:spacing w:before="0" w:after="0" w:line="220" w:lineRule="auto"/>
            </w:pPr>
            <w:r>
              <w:rPr>
                <w:sz w:val="17"/>
                <w:szCs w:val="17"/>
              </w:rPr>
              <w:t>同上</w:t>
            </w:r>
          </w:p>
        </w:tc>
      </w:tr>
      <w:tr>
        <w:tc>
          <w:tcPr>
            <w:tcW w:w="1872" w:type="dxa"/>
            <w:vAlign w:val="center"/>
          </w:tcPr>
          <w:p>
            <w:pPr>
              <w:pStyle w:val="TableText"/>
              <w:spacing w:before="0" w:after="0" w:line="220" w:lineRule="auto"/>
            </w:pPr>
            <w:r>
              <w:rPr>
                <w:sz w:val="17"/>
                <w:szCs w:val="17"/>
              </w:rPr>
              <w:t>6</w:t>
            </w:r>
          </w:p>
        </w:tc>
        <w:tc>
          <w:tcPr>
            <w:tcW w:w="1872" w:type="dxa"/>
            <w:vAlign w:val="center"/>
          </w:tcPr>
          <w:p>
            <w:pPr>
              <w:pStyle w:val="TableText"/>
              <w:spacing w:before="0" w:after="0" w:line="220" w:lineRule="auto"/>
            </w:pPr>
            <w:r>
              <w:rPr>
                <w:sz w:val="17"/>
                <w:szCs w:val="17"/>
              </w:rPr>
              <w:t>LLHLPKRTT</w:t>
            </w:r>
          </w:p>
        </w:tc>
        <w:tc>
          <w:tcPr>
            <w:tcW w:w="1872" w:type="dxa"/>
            <w:vAlign w:val="center"/>
          </w:tcPr>
          <w:p>
            <w:pPr>
              <w:pStyle w:val="TableText"/>
              <w:spacing w:before="0" w:after="0" w:line="220" w:lineRule="auto"/>
            </w:pPr>
            <w:r>
              <w:rPr>
                <w:sz w:val="17"/>
                <w:szCs w:val="17"/>
              </w:rPr>
              <w:t>−9.01</w:t>
            </w:r>
          </w:p>
        </w:tc>
        <w:tc>
          <w:tcPr>
            <w:tcW w:w="1872" w:type="dxa"/>
            <w:vAlign w:val="center"/>
          </w:tcPr>
          <w:p>
            <w:pPr>
              <w:pStyle w:val="TableText"/>
              <w:spacing w:before="0" w:after="0" w:line="220" w:lineRule="auto"/>
            </w:pPr>
            <w:r>
              <w:rPr>
                <w:sz w:val="17"/>
                <w:szCs w:val="17"/>
              </w:rPr>
              <w:t>0.06</w:t>
            </w:r>
          </w:p>
        </w:tc>
        <w:tc>
          <w:tcPr>
            <w:tcW w:w="1872" w:type="dxa"/>
            <w:vAlign w:val="center"/>
          </w:tcPr>
          <w:p>
            <w:pPr>
              <w:pStyle w:val="TableText"/>
              <w:spacing w:before="0" w:after="0" w:line="220" w:lineRule="auto"/>
            </w:pPr>
            <w:r>
              <w:rPr>
                <w:sz w:val="17"/>
                <w:szCs w:val="17"/>
              </w:rPr>
              <w:t>同上</w:t>
            </w:r>
          </w:p>
        </w:tc>
      </w:tr>
      <w:tr>
        <w:tc>
          <w:tcPr>
            <w:tcW w:w="1872" w:type="dxa"/>
            <w:vAlign w:val="center"/>
          </w:tcPr>
          <w:p>
            <w:pPr>
              <w:pStyle w:val="TableText"/>
              <w:spacing w:before="0" w:after="0" w:line="220" w:lineRule="auto"/>
            </w:pPr>
            <w:r>
              <w:rPr>
                <w:sz w:val="17"/>
                <w:szCs w:val="17"/>
              </w:rPr>
              <w:t>7</w:t>
            </w:r>
          </w:p>
        </w:tc>
        <w:tc>
          <w:tcPr>
            <w:tcW w:w="1872" w:type="dxa"/>
            <w:vAlign w:val="center"/>
          </w:tcPr>
          <w:p>
            <w:pPr>
              <w:pStyle w:val="TableText"/>
              <w:spacing w:before="0" w:after="0" w:line="220" w:lineRule="auto"/>
            </w:pPr>
            <w:r>
              <w:rPr>
                <w:sz w:val="17"/>
                <w:szCs w:val="17"/>
              </w:rPr>
              <w:t>LLHPLRL</w:t>
            </w:r>
          </w:p>
        </w:tc>
        <w:tc>
          <w:tcPr>
            <w:tcW w:w="1872" w:type="dxa"/>
            <w:vAlign w:val="center"/>
          </w:tcPr>
          <w:p>
            <w:pPr>
              <w:pStyle w:val="TableText"/>
              <w:spacing w:before="0" w:after="0" w:line="220" w:lineRule="auto"/>
            </w:pPr>
            <w:r>
              <w:rPr>
                <w:sz w:val="17"/>
                <w:szCs w:val="17"/>
              </w:rPr>
              <w:t>−8.94</w:t>
            </w:r>
          </w:p>
        </w:tc>
        <w:tc>
          <w:tcPr>
            <w:tcW w:w="1872" w:type="dxa"/>
            <w:vAlign w:val="center"/>
          </w:tcPr>
          <w:p>
            <w:pPr>
              <w:pStyle w:val="TableText"/>
              <w:spacing w:before="0" w:after="0" w:line="220" w:lineRule="auto"/>
            </w:pPr>
            <w:r>
              <w:rPr>
                <w:sz w:val="17"/>
                <w:szCs w:val="17"/>
              </w:rPr>
              <w:t>0.10</w:t>
            </w:r>
          </w:p>
        </w:tc>
        <w:tc>
          <w:tcPr>
            <w:tcW w:w="1872" w:type="dxa"/>
            <w:vAlign w:val="center"/>
          </w:tcPr>
          <w:p>
            <w:pPr>
              <w:pStyle w:val="TableText"/>
              <w:spacing w:before="0" w:after="0" w:line="220" w:lineRule="auto"/>
            </w:pPr>
            <w:r>
              <w:rPr>
                <w:sz w:val="17"/>
                <w:szCs w:val="17"/>
              </w:rPr>
              <w:t>同上</w:t>
            </w:r>
          </w:p>
        </w:tc>
      </w:tr>
      <w:tr>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WLLVHLKK</w:t>
            </w:r>
          </w:p>
        </w:tc>
        <w:tc>
          <w:tcPr>
            <w:tcW w:w="1872" w:type="dxa"/>
            <w:vAlign w:val="center"/>
          </w:tcPr>
          <w:p>
            <w:pPr>
              <w:pStyle w:val="TableText"/>
              <w:spacing w:before="0" w:after="0" w:line="220" w:lineRule="auto"/>
            </w:pPr>
            <w:r>
              <w:rPr>
                <w:sz w:val="17"/>
                <w:szCs w:val="17"/>
              </w:rPr>
              <w:t>−8.94</w:t>
            </w:r>
          </w:p>
        </w:tc>
        <w:tc>
          <w:tcPr>
            <w:tcW w:w="1872" w:type="dxa"/>
            <w:vAlign w:val="center"/>
          </w:tcPr>
          <w:p>
            <w:pPr>
              <w:pStyle w:val="TableText"/>
              <w:spacing w:before="0" w:after="0" w:line="220" w:lineRule="auto"/>
            </w:pPr>
            <w:r>
              <w:rPr>
                <w:sz w:val="17"/>
                <w:szCs w:val="17"/>
              </w:rPr>
              <w:t>0.04</w:t>
            </w:r>
          </w:p>
        </w:tc>
        <w:tc>
          <w:tcPr>
            <w:tcW w:w="1872" w:type="dxa"/>
            <w:vAlign w:val="center"/>
          </w:tcPr>
          <w:p>
            <w:pPr>
              <w:pStyle w:val="TableText"/>
              <w:spacing w:before="0" w:after="0" w:line="220" w:lineRule="auto"/>
            </w:pPr>
            <w:r>
              <w:rPr>
                <w:sz w:val="17"/>
                <w:szCs w:val="17"/>
              </w:rPr>
              <w:t>同上</w:t>
            </w:r>
          </w:p>
        </w:tc>
      </w:tr>
      <w:tr>
        <w:tc>
          <w:tcPr>
            <w:tcW w:w="1872" w:type="dxa"/>
            <w:vAlign w:val="center"/>
          </w:tcPr>
          <w:p>
            <w:pPr>
              <w:pStyle w:val="TableText"/>
              <w:spacing w:before="0" w:after="0" w:line="220" w:lineRule="auto"/>
            </w:pPr>
            <w:r>
              <w:rPr>
                <w:sz w:val="17"/>
                <w:szCs w:val="17"/>
              </w:rPr>
              <w:t>9</w:t>
            </w:r>
          </w:p>
        </w:tc>
        <w:tc>
          <w:tcPr>
            <w:tcW w:w="1872" w:type="dxa"/>
            <w:vAlign w:val="center"/>
          </w:tcPr>
          <w:p>
            <w:pPr>
              <w:pStyle w:val="TableText"/>
              <w:spacing w:before="0" w:after="0" w:line="220" w:lineRule="auto"/>
            </w:pPr>
            <w:r>
              <w:rPr>
                <w:sz w:val="17"/>
                <w:szCs w:val="17"/>
              </w:rPr>
              <w:t>LLHPLRC</w:t>
            </w:r>
          </w:p>
        </w:tc>
        <w:tc>
          <w:tcPr>
            <w:tcW w:w="1872" w:type="dxa"/>
            <w:vAlign w:val="center"/>
          </w:tcPr>
          <w:p>
            <w:pPr>
              <w:pStyle w:val="TableText"/>
              <w:spacing w:before="0" w:after="0" w:line="220" w:lineRule="auto"/>
            </w:pPr>
            <w:r>
              <w:rPr>
                <w:sz w:val="17"/>
                <w:szCs w:val="17"/>
              </w:rPr>
              <w:t>−8.91</w:t>
            </w:r>
          </w:p>
        </w:tc>
        <w:tc>
          <w:tcPr>
            <w:tcW w:w="1872" w:type="dxa"/>
            <w:vAlign w:val="center"/>
          </w:tcPr>
          <w:p>
            <w:pPr>
              <w:pStyle w:val="TableText"/>
              <w:spacing w:before="0" w:after="0" w:line="220" w:lineRule="auto"/>
            </w:pPr>
            <w:r>
              <w:rPr>
                <w:sz w:val="17"/>
                <w:szCs w:val="17"/>
              </w:rPr>
              <w:t>0.08</w:t>
            </w:r>
          </w:p>
        </w:tc>
        <w:tc>
          <w:tcPr>
            <w:tcW w:w="1872" w:type="dxa"/>
            <w:vAlign w:val="center"/>
          </w:tcPr>
          <w:p>
            <w:pPr>
              <w:pStyle w:val="TableText"/>
              <w:spacing w:before="0" w:after="0" w:line="220" w:lineRule="auto"/>
            </w:pPr>
            <w:r>
              <w:rPr>
                <w:sz w:val="17"/>
                <w:szCs w:val="17"/>
              </w:rPr>
              <w:t>同上</w:t>
            </w:r>
          </w:p>
        </w:tc>
      </w:tr>
      <w:tr>
        <w:tc>
          <w:tcPr>
            <w:tcW w:w="1872" w:type="dxa"/>
            <w:vAlign w:val="center"/>
          </w:tcPr>
          <w:p>
            <w:pPr>
              <w:pStyle w:val="TableText"/>
              <w:spacing w:before="0" w:after="0" w:line="220" w:lineRule="auto"/>
            </w:pPr>
            <w:r>
              <w:rPr>
                <w:sz w:val="17"/>
                <w:szCs w:val="17"/>
              </w:rPr>
              <w:t>10</w:t>
            </w:r>
          </w:p>
        </w:tc>
        <w:tc>
          <w:tcPr>
            <w:tcW w:w="1872" w:type="dxa"/>
            <w:vAlign w:val="center"/>
          </w:tcPr>
          <w:p>
            <w:pPr>
              <w:pStyle w:val="TableText"/>
              <w:spacing w:before="0" w:after="0" w:line="220" w:lineRule="auto"/>
            </w:pPr>
            <w:r>
              <w:rPr>
                <w:sz w:val="17"/>
                <w:szCs w:val="17"/>
              </w:rPr>
              <w:t>HLLTLKKHV</w:t>
            </w:r>
          </w:p>
        </w:tc>
        <w:tc>
          <w:tcPr>
            <w:tcW w:w="1872" w:type="dxa"/>
            <w:vAlign w:val="center"/>
          </w:tcPr>
          <w:p>
            <w:pPr>
              <w:pStyle w:val="TableText"/>
              <w:spacing w:before="0" w:after="0" w:line="220" w:lineRule="auto"/>
            </w:pPr>
            <w:r>
              <w:rPr>
                <w:sz w:val="17"/>
                <w:szCs w:val="17"/>
              </w:rPr>
              <w:t>−8.88</w:t>
            </w:r>
          </w:p>
        </w:tc>
        <w:tc>
          <w:tcPr>
            <w:tcW w:w="1872" w:type="dxa"/>
            <w:vAlign w:val="center"/>
          </w:tcPr>
          <w:p>
            <w:pPr>
              <w:pStyle w:val="TableText"/>
              <w:spacing w:before="0" w:after="0" w:line="220" w:lineRule="auto"/>
            </w:pPr>
            <w:r>
              <w:rPr>
                <w:sz w:val="17"/>
                <w:szCs w:val="17"/>
              </w:rPr>
              <w:t>0.05</w:t>
            </w:r>
          </w:p>
        </w:tc>
        <w:tc>
          <w:tcPr>
            <w:tcW w:w="1872" w:type="dxa"/>
            <w:vAlign w:val="center"/>
          </w:tcPr>
          <w:p>
            <w:pPr>
              <w:pStyle w:val="TableText"/>
              <w:spacing w:before="0" w:after="0" w:line="220" w:lineRule="auto"/>
            </w:pPr>
            <w:r>
              <w:rPr>
                <w:sz w:val="17"/>
                <w:szCs w:val="17"/>
              </w:rPr>
              <w:t>同上</w:t>
            </w:r>
          </w:p>
        </w:tc>
      </w:tr>
      <w:tr>
        <w:tc>
          <w:tcPr>
            <w:tcW w:w="1872" w:type="dxa"/>
            <w:vAlign w:val="center"/>
          </w:tcPr>
          <w:p>
            <w:pPr>
              <w:pStyle w:val="TableText"/>
              <w:spacing w:before="0" w:after="0" w:line="220" w:lineRule="auto"/>
            </w:pPr>
            <w:r>
              <w:rPr>
                <w:sz w:val="17"/>
                <w:szCs w:val="17"/>
              </w:rPr>
              <w:t>11</w:t>
            </w:r>
          </w:p>
        </w:tc>
        <w:tc>
          <w:tcPr>
            <w:tcW w:w="1872" w:type="dxa"/>
            <w:vAlign w:val="center"/>
          </w:tcPr>
          <w:p>
            <w:pPr>
              <w:pStyle w:val="TableText"/>
              <w:spacing w:before="0" w:after="0" w:line="220" w:lineRule="auto"/>
            </w:pPr>
            <w:r>
              <w:rPr>
                <w:sz w:val="17"/>
                <w:szCs w:val="17"/>
              </w:rPr>
              <w:t>HLPLLHRCC</w:t>
            </w:r>
          </w:p>
        </w:tc>
        <w:tc>
          <w:tcPr>
            <w:tcW w:w="1872" w:type="dxa"/>
            <w:vAlign w:val="center"/>
          </w:tcPr>
          <w:p>
            <w:pPr>
              <w:pStyle w:val="TableText"/>
              <w:spacing w:before="0" w:after="0" w:line="220" w:lineRule="auto"/>
            </w:pPr>
            <w:r>
              <w:rPr>
                <w:sz w:val="17"/>
                <w:szCs w:val="17"/>
              </w:rPr>
              <w:t>−8.35</w:t>
            </w:r>
          </w:p>
        </w:tc>
        <w:tc>
          <w:tcPr>
            <w:tcW w:w="1872" w:type="dxa"/>
            <w:vAlign w:val="center"/>
          </w:tcPr>
          <w:p>
            <w:pPr>
              <w:pStyle w:val="TableText"/>
              <w:spacing w:before="0" w:after="0" w:line="220" w:lineRule="auto"/>
            </w:pPr>
            <w:r>
              <w:rPr>
                <w:sz w:val="17"/>
                <w:szCs w:val="17"/>
              </w:rPr>
              <w:t>0.12</w:t>
            </w:r>
          </w:p>
        </w:tc>
        <w:tc>
          <w:tcPr>
            <w:tcW w:w="1872" w:type="dxa"/>
            <w:vAlign w:val="center"/>
          </w:tcPr>
          <w:p>
            <w:pPr>
              <w:pStyle w:val="TableText"/>
              <w:spacing w:before="0" w:after="0" w:line="220" w:lineRule="auto"/>
            </w:pPr>
            <w:r>
              <w:rPr>
                <w:sz w:val="17"/>
                <w:szCs w:val="17"/>
              </w:rPr>
              <w:t>同上</w:t>
            </w:r>
          </w:p>
        </w:tc>
      </w:tr>
      <w:tr>
        <w:tc>
          <w:tcPr>
            <w:tcW w:w="1872" w:type="dxa"/>
            <w:vAlign w:val="center"/>
          </w:tcPr>
          <w:p>
            <w:pPr>
              <w:pStyle w:val="TableText"/>
              <w:spacing w:before="0" w:after="0" w:line="220" w:lineRule="auto"/>
            </w:pPr>
            <w:r>
              <w:rPr>
                <w:sz w:val="17"/>
                <w:szCs w:val="17"/>
              </w:rPr>
              <w:t>12</w:t>
            </w:r>
          </w:p>
        </w:tc>
        <w:tc>
          <w:tcPr>
            <w:tcW w:w="1872" w:type="dxa"/>
            <w:vAlign w:val="center"/>
          </w:tcPr>
          <w:p>
            <w:pPr>
              <w:pStyle w:val="TableText"/>
              <w:spacing w:before="0" w:after="0" w:line="220" w:lineRule="auto"/>
            </w:pPr>
            <w:r>
              <w:rPr>
                <w:sz w:val="17"/>
                <w:szCs w:val="17"/>
              </w:rPr>
              <w:t>HVLLLRQCA</w:t>
            </w:r>
          </w:p>
        </w:tc>
        <w:tc>
          <w:tcPr>
            <w:tcW w:w="1872" w:type="dxa"/>
            <w:vAlign w:val="center"/>
          </w:tcPr>
          <w:p>
            <w:pPr>
              <w:pStyle w:val="TableText"/>
              <w:spacing w:before="0" w:after="0" w:line="220" w:lineRule="auto"/>
            </w:pPr>
            <w:r>
              <w:rPr>
                <w:sz w:val="17"/>
                <w:szCs w:val="17"/>
              </w:rPr>
              <w:t>−8.25</w:t>
            </w:r>
          </w:p>
        </w:tc>
        <w:tc>
          <w:tcPr>
            <w:tcW w:w="1872" w:type="dxa"/>
            <w:vAlign w:val="center"/>
          </w:tcPr>
          <w:p>
            <w:pPr>
              <w:pStyle w:val="TableText"/>
              <w:spacing w:before="0" w:after="0" w:line="220" w:lineRule="auto"/>
            </w:pPr>
            <w:r>
              <w:rPr>
                <w:sz w:val="17"/>
                <w:szCs w:val="17"/>
              </w:rPr>
              <w:t>0.09</w:t>
            </w:r>
          </w:p>
        </w:tc>
        <w:tc>
          <w:tcPr>
            <w:tcW w:w="1872" w:type="dxa"/>
            <w:vAlign w:val="center"/>
          </w:tcPr>
          <w:p>
            <w:pPr>
              <w:pStyle w:val="TableText"/>
              <w:spacing w:before="0" w:after="0" w:line="220" w:lineRule="auto"/>
            </w:pPr>
            <w:r>
              <w:rPr>
                <w:sz w:val="17"/>
                <w:szCs w:val="17"/>
              </w:rPr>
              <w:t>同上</w:t>
            </w:r>
          </w:p>
        </w:tc>
      </w:tr>
    </w:tbl>
    <w:p>
      <w:pPr>
        <w:spacing w:after="40"/>
      </w:pPr>
    </w:p>
    <w:p>
      <w:pPr>
        <w:pStyle w:val="Figure"/>
        <w:jc w:val="center"/>
        <w:keepNext/>
      </w:pPr>
      <w:r>
        <w:drawing>
          <wp:inline distT="0" distB="0" distL="0" distR="0">
            <wp:extent cx="6150000" cy="3613125"/>
            <wp:effectExtent l="0" t="0" r="0" b="0"/>
            <wp:docPr id="2" name="Figure 2" descr="图2. 来源报告PAS中心对接分数汇总"/>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613125"/>
                    </a:xfrm>
                    <a:prstGeom prst="rect">
                      <a:avLst/>
                    </a:prstGeom>
                  </pic:spPr>
                </pic:pic>
              </a:graphicData>
            </a:graphic>
          </wp:inline>
        </w:drawing>
      </w:r>
    </w:p>
    <w:p>
      <w:pPr>
        <w:pStyle w:val="Normal"/>
      </w:pPr>
      <w:r>
        <w:rPr>
          <w:b/>
        </w:rPr>
        <w:t>图2.</w:t>
      </w:r>
      <w:r>
        <w:t xml:space="preserve"> 针对PDB 4EY6的来源报告Vina均值±SD描述性可视化。数值转录自外部来源记录，未被独立复现。缺失运行定义使SD无法对应已知数量的独立重复；Vina分数不是结合自由能 [51,52]。</w:t>
      </w:r>
    </w:p>
    <w:p>
      <w:pPr>
        <w:pStyle w:val="Normal"/>
      </w:pPr>
      <w:r>
        <w:t>外部叙述还描述了PAS/峡谷接触，但不存在构象或相互作用文件，因此残基层面的接触陈述未被提升为经审计观察。可辩护的结构结果仅限来源不完整的集合内报告排序。</w:t>
      </w:r>
    </w:p>
    <w:p>
      <w:pPr>
        <w:pStyle w:val="Heading3"/>
        <w:keepNext/>
      </w:pPr>
      <w:r>
        <w:t>3.7 证据阶梯仅部分前移</w:t>
      </w:r>
    </w:p>
    <w:p>
      <w:pPr>
        <w:pStyle w:val="Normal"/>
      </w:pPr>
      <w:r>
        <w:t>外部序列清单解决了“没有可合成分子”的实际问题，但未解决链路问题：没有稳定标识将每条序列连接到受试者、组装、证据匹配、预测器行、CHEL/FRS行或更严格子集。对接汇总同样不能替代可复现对接产物。翻译/表达、BBB转运、细胞毒性、金属依赖化学和疾病相关性仍未被检验。</w:t>
      </w:r>
    </w:p>
    <w:p>
      <w:pPr>
        <w:pStyle w:val="Figure"/>
        <w:jc w:val="center"/>
        <w:keepNext/>
      </w:pPr>
      <w:r>
        <w:drawing>
          <wp:inline distT="0" distB="0" distL="0" distR="0">
            <wp:extent cx="6150000" cy="3348333"/>
            <wp:effectExtent l="0" t="0" r="0" b="0"/>
            <wp:docPr id="3" name="Figure 3" descr="图3. 证据阶梯"/>
            <wp:cNvGraphicFramePr>
              <a:graphicFrameLocks noChangeAspect="1"/>
            </wp:cNvGraphicFramePr>
            <a:graphic>
              <a:graphicData uri="http://schemas.openxmlformats.org/drawingml/2006/picture">
                <pic:pic>
                  <pic:nvPicPr>
                    <pic:cNvPr id="0" name="evidence_ladder.png"/>
                    <pic:cNvPicPr/>
                  </pic:nvPicPr>
                  <pic:blipFill>
                    <a:blip r:embed="rId12"/>
                    <a:stretch>
                      <a:fillRect/>
                    </a:stretch>
                  </pic:blipFill>
                  <pic:spPr>
                    <a:xfrm>
                      <a:off x="0" y="0"/>
                      <a:ext cx="6150000" cy="3348333"/>
                    </a:xfrm>
                    <a:prstGeom prst="rect">
                      <a:avLst/>
                    </a:prstGeom>
                  </pic:spPr>
                </pic:pic>
              </a:graphicData>
            </a:graphic>
          </wp:inline>
        </w:drawing>
      </w:r>
    </w:p>
    <w:p>
      <w:pPr>
        <w:pStyle w:val="Normal"/>
      </w:pPr>
      <w:r>
        <w:rPr>
          <w:b/>
        </w:rPr>
        <w:t>图3.</w:t>
      </w:r>
      <w:r>
        <w:t xml:space="preserve"> 整合外部来源记录后的证据阶梯。汇总筛选已达到；12条序列和对接分数属于部分可用的来源报告新增信息。原始链路和对接产物、表达、暴露、表型、机制和因果关系仍未解决或未测试。</w:t>
      </w:r>
    </w:p>
    <w:p>
      <w:pPr>
        <w:pStyle w:val="Heading2"/>
        <w:keepNext/>
      </w:pPr>
      <w:r>
        <w:t>4. 讨论</w:t>
      </w:r>
    </w:p>
    <w:p>
      <w:pPr>
        <w:pStyle w:val="Heading3"/>
        <w:keepNext/>
      </w:pPr>
      <w:r>
        <w:t>4.1 扩展重建的主要贡献</w:t>
      </w:r>
    </w:p>
    <w:p>
      <w:pPr>
        <w:pStyle w:val="Normal"/>
      </w:pPr>
      <w:r>
        <w:t>本次重建具有足够的科学深度，可同时呈现生物学理由与证据瓶颈。主要筛选记录描述了剧烈收缩：牙周炎分支超过1,170万条smORF变为33,786条证据过滤候选、3,518条BBB高分输出、3,299条已评估序列中的923条NTxPred2阳性，最终形成来源报告的12条和8条CHEL/FRS终点计数。外部来源记录整合增加了12条明确的7–9 aa序列及其AChE对接报告排序，使匿名终点计数转化为具体、可合成的假设集合。</w:t>
      </w:r>
    </w:p>
    <w:p>
      <w:pPr>
        <w:pStyle w:val="Normal"/>
      </w:pPr>
      <w:r>
        <w:t>但扩展不能支持更强因果语言。12条序列尚不能逐行追溯至主要漏斗，对接也不能从现有项目复现。因此，核心进展是</w:t>
      </w:r>
      <w:r>
        <w:rPr>
          <w:b/>
        </w:rPr>
        <w:t>保留来源边界的可操作性</w:t>
      </w:r>
      <w:r>
        <w:t>：研究者能看到应合成哪些序列、应尝试复现哪一外部排序、缺少哪些信息以及哪些陈述仍被禁止。</w:t>
      </w:r>
    </w:p>
    <w:p>
      <w:pPr>
        <w:pStyle w:val="Heading3"/>
        <w:keepNext/>
      </w:pPr>
      <w:r>
        <w:t>4.2 与当前smORF和肽发现标准的比较</w:t>
      </w:r>
    </w:p>
    <w:p>
      <w:pPr>
        <w:pStyle w:val="Normal"/>
      </w:pPr>
      <w:r>
        <w:t>当前smORF研究把预测与翻译或蛋白质组证据结合 [1–5]；当代口腔宏蛋白质组采用明确错误控制、分类和谱图保存 [10–12]；有说服力的肽挖掘研究会合成候选并测量功能 [19]。本研究记录与上述标准有三项差距：第一，无法在序列/谱图层面检查证据匹配；第二，缺少参与者和样本映射；第三，两个来源均未提供带锁定版本和数据库的可执行筛选流程。</w:t>
      </w:r>
    </w:p>
    <w:p>
      <w:pPr>
        <w:pStyle w:val="Normal"/>
      </w:pPr>
      <w:r>
        <w:t>外部12条序列仍具有实用价值。确认来源后，可开展精确重复搜索、分类归属、模型适用域评估、合成可行性审查和预测器直接重跑。该集合还呈现短、阳离子、富亮氨酸且组氨酸/半胱氨酸富集的组成模式。这可能反映预期金属结合筛选，也可能反映序列域偏倚、膜活性基序或相关预测器特征。赋予生物学意义之前，需要组成匹配的诱饵序列和替代预测器。</w:t>
      </w:r>
    </w:p>
    <w:p>
      <w:pPr>
        <w:pStyle w:val="Heading3"/>
        <w:keepNext/>
      </w:pPr>
      <w:r>
        <w:t>4.3 AChE/PAS对接随访的解释</w:t>
      </w:r>
    </w:p>
    <w:p>
      <w:pPr>
        <w:pStyle w:val="Normal"/>
      </w:pPr>
      <w:r>
        <w:t>AChE PAS是AD导向假设的合理靶点，因为AChE可加速Aβ装配，PAS定向配体可调节该过程 [23–29]。PDB 4EY6提供具药理学配体的人AChE结构 [27]。因此，来源报告的PAS中心Vina筛选可作为初步结构分流 [51,52]。外部分数范围显示，在所选评分流程下12条均被保留，极端均值相差约1.35 kcal/mol。</w:t>
      </w:r>
    </w:p>
    <w:p>
      <w:pPr>
        <w:pStyle w:val="Normal"/>
      </w:pPr>
      <w:r>
        <w:t>但多项因素阻止将该范围视为结合证据。7–9 aa柔性肽具有大量构象；受体刚性、质子化、端基、肽初始构象、盒位置、exhaustiveness和评分随机性均可改变排序。外部项目没有提供这些细节或任何构象。未说明SD代表模式、种子、重复制备还是其他单位，故不能解释。单一靶标/流程的分数不能证明选择性、PAS相对于其他位点的偏好、催化抑制、Aβ调节或细胞内活性。可复现随访应保存受体和配体制备文件、精确命令、种子、所有分数与构象，以及容器/环境。随后可采用FlexPepDock等柔性精修或肽特异流程检验排序稳定性 [53]。</w:t>
      </w:r>
    </w:p>
    <w:p>
      <w:pPr>
        <w:pStyle w:val="Heading3"/>
        <w:keepNext/>
      </w:pPr>
      <w:r>
        <w:t>4.4 金属结合与短神经活性肽假设</w:t>
      </w:r>
    </w:p>
    <w:p>
      <w:pPr>
        <w:pStyle w:val="Normal"/>
      </w:pPr>
      <w:r>
        <w:t>11条含组氨酸、6条含半胱氨酸，为配位提供了可能基团，但组成或mebipred不能给出结合常数、化学计量、选择性、氧化态、几何或氧化还原行为。Tau片段研究展示了测量路径：Cu(II)配位可与结构变化及Aβ聚集效应联系 [32]，tau26–44则提供短神经活性肽的细胞和生物物理证据 [33]。Curli实验显示细菌淀粉样暴露可改变模型生物中的聚集表型 [34]。这些是实验模板，而不是类比证明。</w:t>
      </w:r>
    </w:p>
    <w:p>
      <w:pPr>
        <w:pStyle w:val="Normal"/>
      </w:pPr>
      <w:r>
        <w:t>最低限度的金属验证应以光谱和量热比较Cu(II)、Fe(II/III)和Zn(II)，估计化学计量和亲和力，并在肽单独、金属单独、打乱序列、组成匹配以及阳性/阴性对照下测量金属依赖ROS和脂质过氧化。效应需在独立合成批次中重复并呈浓度依赖。“促氧化”标签应要求在明确定义的金属条件下氧化增加，而不是仅依赖CHEL高/FRS低预测。</w:t>
      </w:r>
    </w:p>
    <w:p>
      <w:pPr>
        <w:pStyle w:val="Heading3"/>
        <w:keepNext/>
      </w:pPr>
      <w:r>
        <w:t>4.5 牙周炎–AD解释仍属于假设生成</w:t>
      </w:r>
    </w:p>
    <w:p>
      <w:pPr>
        <w:pStyle w:val="Normal"/>
      </w:pPr>
      <w:r>
        <w:t>流行病学记录可提供动机，但不能证明该通路 [35–43]。牙周炎可能与年龄、吸烟、糖尿病、社会经济状况、口腔护理、药物、虚弱和认知下降导致的反向因果相关。近期遗传因果分析是对强机制叙事的重要制衡 [41,42]。特定牙龈卟啉单胞菌研究支持牙龈蛋白酶、炎症、囊泡或感染路径的合理性 [44–50]，但不能转移给未归属的群落序列。</w:t>
      </w:r>
    </w:p>
    <w:p>
      <w:pPr>
        <w:pStyle w:val="Normal"/>
      </w:pPr>
      <w:r>
        <w:t>因此，本研究不声称12条肽是牙周炎特异、牙龈卟啉单胞菌来源、存在于血液或脑，或与AD存在因果关系。唯一队列相关陈述是：主要流程通过标注为牙周炎的分支对它们进行优选。分类归属和队列流行度需要序列—组装—样本映射及合适的受试者层面统计。</w:t>
      </w:r>
    </w:p>
    <w:p>
      <w:pPr>
        <w:pStyle w:val="Heading3"/>
        <w:keepNext/>
      </w:pPr>
      <w:r>
        <w:t>4.6 为什么汇总候选计数不支持推断性组间检验</w:t>
      </w:r>
    </w:p>
    <w:p>
      <w:pPr>
        <w:pStyle w:val="Normal"/>
      </w:pPr>
      <w:r>
        <w:t>外部来源记录草稿使用了肽层面的2×2检验，本研究未保留。来自同一参与者的数百万smORF、跨参与者同源序列、同一组装的候选以及重复精确匹配彼此相关。把每条序列当作独立单位会夸大有效样本量，并可能为微小差异生成很小的p值。适当单位应是参与者或样本，并在处理聚类、重复序列、测序深度、口腔位点和协变量后汇总或建模候选结果。</w:t>
      </w:r>
    </w:p>
    <w:p>
      <w:pPr>
        <w:pStyle w:val="Normal"/>
      </w:pPr>
      <w:r>
        <w:t>有效的健康—牙周炎比较需要参与者×候选或参与者×特征矩阵、预先指定终点、一致分母、重复/同源处理，以及在参与者层面运行的混合模型或置换模型。目前不存在这些行，因此描述性比例是可辩护分析的上限。</w:t>
      </w:r>
    </w:p>
    <w:p>
      <w:pPr>
        <w:pStyle w:val="Heading3"/>
        <w:keepNext/>
      </w:pPr>
      <w:r>
        <w:t>4.7 可重复性优先事项</w:t>
      </w:r>
    </w:p>
    <w:p>
      <w:pPr>
        <w:pStyle w:val="Normal"/>
      </w:pPr>
      <w:r>
        <w:t>最高优先级是重建统一的候选层面表格，包含：序列；稳定ID；基因组坐标；组装；参与者/样本；分组；分类；序列/蛋白质组证据及谱图层面统计；每个预测器的版本、分数、阈值决策和适用性标记；CHEL/FRS值；主集合/严格集合成员；以及与每个对接配体的链接。筛选流程应包含数据库快照、精确命令、锁定环境和校验和。</w:t>
      </w:r>
    </w:p>
    <w:p>
      <w:pPr>
        <w:pStyle w:val="Normal"/>
      </w:pPr>
      <w:r>
        <w:t>对接发布应增加受体登录号和链、缺失残基处理、质子化、端基、电荷、水/辅因子、配体构象、PDBQT、盒中心与大小、exhaustiveness、mode数、energy range、种子、原始日志、所有构象、聚类和相互作用分析代码。外部记录的失败MD叙述在缺少模拟包时无法评估，未纳入本研究结果。只有对接可复现且结构缺口被前瞻处理后，才应启动新的模拟。</w:t>
      </w:r>
    </w:p>
    <w:p>
      <w:pPr>
        <w:pStyle w:val="Heading3"/>
        <w:keepNext/>
      </w:pPr>
      <w:r>
        <w:t>4.8 实验验证路线与停止规则</w:t>
      </w:r>
    </w:p>
    <w:p>
      <w:pPr>
        <w:pStyle w:val="Normal"/>
      </w:pPr>
      <w:r>
        <w:t>分阶段计划可降低成本，并防止下游叙事弥补上游不确定性：</w:t>
      </w:r>
    </w:p>
    <w:p>
      <w:pPr>
        <w:pStyle w:val="Reference"/>
        <w:ind w:left="360" w:hanging="360"/>
      </w:pPr>
      <w:r>
        <w:rPr>
          <w:sz w:val="18"/>
          <w:szCs w:val="18"/>
        </w:rPr>
        <w:t xml:space="preserve">1. </w:t>
      </w:r>
      <w:r>
        <w:rPr>
          <w:b/>
          <w:sz w:val="18"/>
          <w:szCs w:val="18"/>
        </w:rPr>
        <w:t>链路与计算复现：</w:t>
      </w:r>
      <w:r>
        <w:rPr>
          <w:sz w:val="18"/>
          <w:szCs w:val="18"/>
        </w:rPr>
        <w:t xml:space="preserve"> 核实12行，恢复8/12子集，重跑预测器和对接，并测试替代肽构象/流程。</w:t>
      </w:r>
    </w:p>
    <w:p>
      <w:pPr>
        <w:pStyle w:val="Reference"/>
        <w:ind w:left="360" w:hanging="360"/>
      </w:pPr>
      <w:r>
        <w:rPr>
          <w:sz w:val="18"/>
          <w:szCs w:val="18"/>
        </w:rPr>
        <w:t xml:space="preserve">2. </w:t>
      </w:r>
      <w:r>
        <w:rPr>
          <w:b/>
          <w:sz w:val="18"/>
          <w:szCs w:val="18"/>
        </w:rPr>
        <w:t>翻译/表达：</w:t>
      </w:r>
      <w:r>
        <w:rPr>
          <w:sz w:val="18"/>
          <w:szCs w:val="18"/>
        </w:rPr>
        <w:t xml:space="preserve"> 采用队列匹配宏转录组、可行时核糖体测序，或具有肽层面错误发现率控制和分类唯一性的靶向宏蛋白质组。</w:t>
      </w:r>
    </w:p>
    <w:p>
      <w:pPr>
        <w:pStyle w:val="Reference"/>
        <w:ind w:left="360" w:hanging="360"/>
      </w:pPr>
      <w:r>
        <w:rPr>
          <w:sz w:val="18"/>
          <w:szCs w:val="18"/>
        </w:rPr>
        <w:t xml:space="preserve">3. </w:t>
      </w:r>
      <w:r>
        <w:rPr>
          <w:b/>
          <w:sz w:val="18"/>
          <w:szCs w:val="18"/>
        </w:rPr>
        <w:t>化学身份与稳定性：</w:t>
      </w:r>
      <w:r>
        <w:rPr>
          <w:sz w:val="18"/>
          <w:szCs w:val="18"/>
        </w:rPr>
        <w:t xml:space="preserve"> 合成肽并确认纯度/质量；测量血清/蛋白酶稳定性、溶解度、聚集和非特异膜破坏。</w:t>
      </w:r>
    </w:p>
    <w:p>
      <w:pPr>
        <w:pStyle w:val="Reference"/>
        <w:ind w:left="360" w:hanging="360"/>
      </w:pPr>
      <w:r>
        <w:rPr>
          <w:sz w:val="18"/>
          <w:szCs w:val="18"/>
        </w:rPr>
        <w:t xml:space="preserve">4. </w:t>
      </w:r>
      <w:r>
        <w:rPr>
          <w:b/>
          <w:sz w:val="18"/>
          <w:szCs w:val="18"/>
        </w:rPr>
        <w:t>BBB与毒理：</w:t>
      </w:r>
      <w:r>
        <w:rPr>
          <w:sz w:val="18"/>
          <w:szCs w:val="18"/>
        </w:rPr>
        <w:t xml:space="preserve"> 使用通透/转运模型，再实施神经元与非神经元存活、膜完整性及剂量—反应测定；分别评估预测BBB和NTx标签。</w:t>
      </w:r>
    </w:p>
    <w:p>
      <w:pPr>
        <w:pStyle w:val="Reference"/>
        <w:ind w:left="360" w:hanging="360"/>
      </w:pPr>
      <w:r>
        <w:rPr>
          <w:sz w:val="18"/>
          <w:szCs w:val="18"/>
        </w:rPr>
        <w:t xml:space="preserve">5. </w:t>
      </w:r>
      <w:r>
        <w:rPr>
          <w:b/>
          <w:sz w:val="18"/>
          <w:szCs w:val="18"/>
        </w:rPr>
        <w:t>金属化学：</w:t>
      </w:r>
      <w:r>
        <w:rPr>
          <w:sz w:val="18"/>
          <w:szCs w:val="18"/>
        </w:rPr>
        <w:t xml:space="preserve"> 定量Cu/Fe/Zn结合，并在受控化学计量和氧化态下测量金属依赖ROS/脂质过氧化。</w:t>
      </w:r>
    </w:p>
    <w:p>
      <w:pPr>
        <w:pStyle w:val="Reference"/>
        <w:ind w:left="360" w:hanging="360"/>
      </w:pPr>
      <w:r>
        <w:rPr>
          <w:sz w:val="18"/>
          <w:szCs w:val="18"/>
        </w:rPr>
        <w:t xml:space="preserve">6. </w:t>
      </w:r>
      <w:r>
        <w:rPr>
          <w:b/>
          <w:sz w:val="18"/>
          <w:szCs w:val="18"/>
        </w:rPr>
        <w:t>AChE/Aβ测试：</w:t>
      </w:r>
      <w:r>
        <w:rPr>
          <w:sz w:val="18"/>
          <w:szCs w:val="18"/>
        </w:rPr>
        <w:t xml:space="preserve"> 测量AChE/BChE活性、必要时直接结合，以及肽单独和金属条件下Aβ聚集。对接只能指导实验，不能替代实验。</w:t>
      </w:r>
    </w:p>
    <w:p>
      <w:pPr>
        <w:pStyle w:val="Reference"/>
        <w:ind w:left="360" w:hanging="360"/>
      </w:pPr>
      <w:r>
        <w:rPr>
          <w:sz w:val="18"/>
          <w:szCs w:val="18"/>
        </w:rPr>
        <w:t xml:space="preserve">7. </w:t>
      </w:r>
      <w:r>
        <w:rPr>
          <w:b/>
          <w:sz w:val="18"/>
          <w:szCs w:val="18"/>
        </w:rPr>
        <w:t>疾病相关性：</w:t>
      </w:r>
      <w:r>
        <w:rPr>
          <w:sz w:val="18"/>
          <w:szCs w:val="18"/>
        </w:rPr>
        <w:t xml:space="preserve"> 只有身份、暴露、可重复生化活性和生物学重复表型均得到验证的候选，才能进入复杂疾病模型。</w:t>
      </w:r>
    </w:p>
    <w:p>
      <w:pPr>
        <w:pStyle w:val="Normal"/>
      </w:pPr>
      <w:r>
        <w:t>停止规则不可缺少。无法追溯的序列不应进入机制解释；缺少表达证据的肽可保留为合成假设，但不能作为队列生物标志物；无论对接分数如何，未通过可复现金属依赖或毒理学实验的肽均不应被描述为神经毒机制。</w:t>
      </w:r>
    </w:p>
    <w:p>
      <w:pPr>
        <w:pStyle w:val="Heading3"/>
        <w:keepNext/>
      </w:pPr>
      <w:r>
        <w:t>4.9 优势与局限</w:t>
      </w:r>
    </w:p>
    <w:p>
      <w:pPr>
        <w:pStyle w:val="Normal"/>
      </w:pPr>
      <w:r>
        <w:t>优势包括明确分离的证据架构、完整汇总算术、显式分母、拒绝伪重复推断检验、整合具体序列清单、独立序列组成审计、透明对接来源、53条文献的机制背景，以及可复现图件/文档构建。本稿还保留负面边界，而不隐藏材料缺失。</w:t>
      </w:r>
    </w:p>
    <w:p>
      <w:pPr>
        <w:pStyle w:val="Normal"/>
      </w:pPr>
      <w:r>
        <w:t>局限仍具有决定性。主要来源缺少逐行数据和代码；外部序列清单无法审计连接到主要来源12行或更严格8条；对接汇总缺少原始产物且未复现；候选分类、翻译、队列表达、BBB转运、毒性、金属化学、AChE结合/功能、Aβ效应和疾病关联均未测量；登录号关系已解决，但候选—样本和登录号—分组映射仍不可得；主要来源PDF被保留，但未独立逐页解析。增加文字或文献不能消除这些局限。</w:t>
      </w:r>
    </w:p>
    <w:p>
      <w:pPr>
        <w:pStyle w:val="Heading2"/>
        <w:keepNext/>
      </w:pPr>
      <w:r>
        <w:t>5. 结论</w:t>
      </w:r>
    </w:p>
    <w:p>
      <w:pPr>
        <w:pStyle w:val="Normal"/>
      </w:pPr>
      <w:r>
        <w:t>保留来源边界的重建可在不夸大的前提下提高汇总研究的科学用途。主要记录支持一条可审计算术漏斗，终点为12条主集合和8条严格集合计数。单独归档的外部来源记录增加了12条明确的7–9 aa序列及其AChE Vina报告排序；序列组成和分数排序可复现，但筛选链路与对接执行不可复现。因此，当前结果是一套扩展、可操作的假设包，而不是经验证的肽机制。</w:t>
      </w:r>
    </w:p>
    <w:p>
      <w:pPr>
        <w:pStyle w:val="Normal"/>
      </w:pPr>
      <w:r>
        <w:t>科学上下一项不可协商的工作是发布或重建逐行筛选和对接产物，继而开展表达、转运、毒理、金属和AChE/Aβ实验。在此之前，不应提出疾病特异性、靶标结合或因果结论。</w:t>
      </w:r>
    </w:p>
    <w:p>
      <w:pPr>
        <w:pStyle w:val="Heading2"/>
        <w:keepNext/>
      </w:pPr>
      <w:r>
        <w:t>声明</w:t>
      </w:r>
    </w:p>
    <w:p>
      <w:pPr>
        <w:pStyle w:val="Heading3"/>
        <w:keepNext/>
      </w:pPr>
      <w:r>
        <w:t>伦理批准与参与同意</w:t>
      </w:r>
    </w:p>
    <w:p>
      <w:pPr>
        <w:pStyle w:val="Normal"/>
      </w:pPr>
      <w:r>
        <w:t>现有材料描述公共数据衍生序列的汇总二次计算分析，不含可识别参与者信息。本次重建未进行新招募、干预或标本采集。因此，本文不报告新的人类参与者活动，也不指定伦理批准编号。</w:t>
      </w:r>
    </w:p>
    <w:p>
      <w:pPr>
        <w:pStyle w:val="Heading3"/>
        <w:keepNext/>
      </w:pPr>
      <w:r>
        <w:t>出版同意</w:t>
      </w:r>
    </w:p>
    <w:p>
      <w:pPr>
        <w:pStyle w:val="Normal"/>
      </w:pPr>
      <w:r>
        <w:t>不适用；本文不含可识别个体材料。</w:t>
      </w:r>
    </w:p>
    <w:p>
      <w:pPr>
        <w:pStyle w:val="Heading3"/>
        <w:keepNext/>
      </w:pPr>
      <w:r>
        <w:t>数据可用性</w:t>
      </w:r>
    </w:p>
    <w:p>
      <w:pPr>
        <w:pStyle w:val="Normal"/>
      </w:pPr>
      <w:r>
        <w:t>主要记录列出PRJNA678453、PRJEB65451、PXD003151、PXD004319、PXD026727及HOMD/eHOMD。PRJNA678453是包含22名参与者和66份标本的来源队列；PRJEB65451是其衍生的EBI-EMG/MGnify TPA组装项目。外部来源记录提供表3的12条序列，但不含稳定ID、受试者/样本映射、谱图、分类、预测器逐行输出、严格子集标签或主要来源链路。PDB 4EY6为公共结构[27]。原始对接输入、运行、日志和构象不可用。</w:t>
      </w:r>
    </w:p>
    <w:p>
      <w:pPr>
        <w:pStyle w:val="Heading3"/>
        <w:keepNext/>
      </w:pPr>
      <w:r>
        <w:t>代码可用性</w:t>
      </w:r>
    </w:p>
    <w:p>
      <w:pPr>
        <w:pStyle w:val="Normal"/>
      </w:pPr>
      <w:r>
        <w:t>本仓库含文档提取、汇总算术、序列组成检查、图件、双语组装、DOCX打包和质量审计代码；不含原始smORF发现/预测管线，也不含外部对接的可执行复现。因此，代码可复现报告算术和文档层审计，但不能复现缺少输入和执行产物的分析。</w:t>
      </w:r>
    </w:p>
    <w:p>
      <w:pPr>
        <w:pStyle w:val="Heading3"/>
        <w:keepNext/>
      </w:pPr>
      <w:r>
        <w:t>经费</w:t>
      </w:r>
    </w:p>
    <w:p>
      <w:pPr>
        <w:pStyle w:val="Normal"/>
      </w:pPr>
      <w:r>
        <w:t>来源材料中无可用经费信息。</w:t>
      </w:r>
    </w:p>
    <w:p>
      <w:pPr>
        <w:pStyle w:val="Heading3"/>
        <w:keepNext/>
      </w:pPr>
      <w:r>
        <w:t>利益冲突</w:t>
      </w:r>
    </w:p>
    <w:p>
      <w:pPr>
        <w:pStyle w:val="Normal"/>
      </w:pPr>
      <w:r>
        <w:t>来源材料中无可用利益冲突声明。</w:t>
      </w:r>
    </w:p>
    <w:p>
      <w:pPr>
        <w:pStyle w:val="Heading3"/>
        <w:keepNext/>
      </w:pPr>
      <w:r>
        <w:t>作者贡献</w:t>
      </w:r>
    </w:p>
    <w:p>
      <w:pPr>
        <w:pStyle w:val="Normal"/>
      </w:pPr>
      <w:r>
        <w:t>来源材料中无可用作者身份和CRediT贡献信息；作者资格不从文件来源推断。</w:t>
      </w:r>
    </w:p>
    <w:p>
      <w:pPr>
        <w:pStyle w:val="Heading3"/>
        <w:keepNext/>
      </w:pPr>
      <w:r>
        <w:t>生成式人工智能使用</w:t>
      </w:r>
    </w:p>
    <w:p>
      <w:pPr>
        <w:pStyle w:val="Normal"/>
      </w:pPr>
      <w:r>
        <w:t>生成式AI助手用于来源组织、双语起草、确定性检查、图件脚本和语言编辑；未生成新生物学观察，也未独立复现缺失的筛选/对接分析。科学主张被限定于有引文支持的文献和可审计来源记录。</w:t>
      </w:r>
    </w:p>
    <w:p>
      <w:pPr>
        <w:pStyle w:val="Heading2"/>
        <w:keepNext/>
      </w:pPr>
      <w:r>
        <w:t>参考文献</w:t>
      </w:r>
    </w:p>
    <w:p>
      <w:pPr>
        <w:pStyle w:val="Reference"/>
        <w:ind w:left="360" w:hanging="360"/>
      </w:pPr>
      <w:r>
        <w:rPr>
          <w:sz w:val="18"/>
          <w:szCs w:val="18"/>
        </w:rPr>
        <w:t xml:space="preserve">1. Sberro H, Fremin BJ, Zlitni S, et al. Large-scale analyses of human microbiomes reveal thousands of small, novel genes. </w:t>
      </w:r>
      <w:r>
        <w:rPr>
          <w:i/>
          <w:sz w:val="18"/>
          <w:szCs w:val="18"/>
        </w:rPr>
        <w:t>Cell</w:t>
      </w:r>
      <w:r>
        <w:rPr>
          <w:sz w:val="18"/>
          <w:szCs w:val="18"/>
        </w:rPr>
        <w:t>. 2019;178(5):1245–1259.e14. doi:10.1016/j.cell.2019.07.016.</w:t>
      </w:r>
    </w:p>
    <w:p>
      <w:pPr>
        <w:pStyle w:val="Reference"/>
        <w:ind w:left="360" w:hanging="360"/>
      </w:pPr>
      <w:r>
        <w:rPr>
          <w:sz w:val="18"/>
          <w:szCs w:val="18"/>
        </w:rPr>
        <w:t xml:space="preserve">2. Durrant MG, Bhatt AS. Automated prediction and annotation of small open reading frames in microbial genomes. </w:t>
      </w:r>
      <w:r>
        <w:rPr>
          <w:i/>
          <w:sz w:val="18"/>
          <w:szCs w:val="18"/>
        </w:rPr>
        <w:t>Cell Host Microbe</w:t>
      </w:r>
      <w:r>
        <w:rPr>
          <w:sz w:val="18"/>
          <w:szCs w:val="18"/>
        </w:rPr>
        <w:t>. 2021;29(1):121–131.e4. doi:10.1016/j.chom.2020.11.002.</w:t>
      </w:r>
    </w:p>
    <w:p>
      <w:pPr>
        <w:pStyle w:val="Reference"/>
        <w:ind w:left="360" w:hanging="360"/>
      </w:pPr>
      <w:r>
        <w:rPr>
          <w:sz w:val="18"/>
          <w:szCs w:val="18"/>
        </w:rPr>
        <w:t xml:space="preserve">3. Davin ME, Ortís Sunyer J, Delgado LF, et al. High-resolution multi-omics enhances prediction and detection of smORF-encoded proteins in the human gut microbiome. </w:t>
      </w:r>
      <w:r>
        <w:rPr>
          <w:i/>
          <w:sz w:val="18"/>
          <w:szCs w:val="18"/>
        </w:rPr>
        <w:t>Nat Commun</w:t>
      </w:r>
      <w:r>
        <w:rPr>
          <w:sz w:val="18"/>
          <w:szCs w:val="18"/>
        </w:rPr>
        <w:t>. 2026. doi:10.1038/s41467-026-72762-5.</w:t>
      </w:r>
    </w:p>
    <w:p>
      <w:pPr>
        <w:pStyle w:val="Reference"/>
        <w:ind w:left="360" w:hanging="360"/>
      </w:pPr>
      <w:r>
        <w:rPr>
          <w:sz w:val="18"/>
          <w:szCs w:val="18"/>
        </w:rPr>
        <w:t xml:space="preserve">4. Couso JP, Patra P. Short ORFs: finding gems in hidden places. </w:t>
      </w:r>
      <w:r>
        <w:rPr>
          <w:i/>
          <w:sz w:val="18"/>
          <w:szCs w:val="18"/>
        </w:rPr>
        <w:t>Curr Opin Genet Dev</w:t>
      </w:r>
      <w:r>
        <w:rPr>
          <w:sz w:val="18"/>
          <w:szCs w:val="18"/>
        </w:rPr>
        <w:t>. 2017;45:14–21. doi:10.1016/j.gde.2017.04.002.</w:t>
      </w:r>
    </w:p>
    <w:p>
      <w:pPr>
        <w:pStyle w:val="Reference"/>
        <w:ind w:left="360" w:hanging="360"/>
      </w:pPr>
      <w:r>
        <w:rPr>
          <w:sz w:val="18"/>
          <w:szCs w:val="18"/>
        </w:rPr>
        <w:t xml:space="preserve">5. van Heesch S, Wit F, Botter J, et al. The translational landscape of the human heart. </w:t>
      </w:r>
      <w:r>
        <w:rPr>
          <w:i/>
          <w:sz w:val="18"/>
          <w:szCs w:val="18"/>
        </w:rPr>
        <w:t>Cell</w:t>
      </w:r>
      <w:r>
        <w:rPr>
          <w:sz w:val="18"/>
          <w:szCs w:val="18"/>
        </w:rPr>
        <w:t>. 2019;178(1):236–251.e24. doi:10.1016/j.cell.2019.05.010.</w:t>
      </w:r>
    </w:p>
    <w:p>
      <w:pPr>
        <w:pStyle w:val="Reference"/>
        <w:ind w:left="360" w:hanging="360"/>
      </w:pPr>
      <w:r>
        <w:rPr>
          <w:sz w:val="18"/>
          <w:szCs w:val="18"/>
        </w:rPr>
        <w:t xml:space="preserve">6. Belstrøm D, Constancias F, Drautz-Moses DI, et al. Periodontitis associates with species-specific gene expression of the oral microbiota. </w:t>
      </w:r>
      <w:r>
        <w:rPr>
          <w:i/>
          <w:sz w:val="18"/>
          <w:szCs w:val="18"/>
        </w:rPr>
        <w:t>npj Biofilms Microbiomes</w:t>
      </w:r>
      <w:r>
        <w:rPr>
          <w:sz w:val="18"/>
          <w:szCs w:val="18"/>
        </w:rPr>
        <w:t>. 2021;7:76. doi:10.1038/s41522-021-00247-y.</w:t>
      </w:r>
    </w:p>
    <w:p>
      <w:pPr>
        <w:pStyle w:val="Reference"/>
        <w:ind w:left="360" w:hanging="360"/>
      </w:pPr>
      <w:r>
        <w:rPr>
          <w:sz w:val="18"/>
          <w:szCs w:val="18"/>
        </w:rPr>
        <w:t xml:space="preserve">7. Ovsepian A, Kardaras FS, Skoulakis A, Hatzigeorgiou AG. Microbial signatures in human periodontal disease: a metatranscriptome meta-analysis. </w:t>
      </w:r>
      <w:r>
        <w:rPr>
          <w:i/>
          <w:sz w:val="18"/>
          <w:szCs w:val="18"/>
        </w:rPr>
        <w:t>Front Microbiol</w:t>
      </w:r>
      <w:r>
        <w:rPr>
          <w:sz w:val="18"/>
          <w:szCs w:val="18"/>
        </w:rPr>
        <w:t>. 2024;15:1383404. doi:10.3389/fmicb.2024.1383404.</w:t>
      </w:r>
    </w:p>
    <w:p>
      <w:pPr>
        <w:pStyle w:val="Reference"/>
        <w:ind w:left="360" w:hanging="360"/>
      </w:pPr>
      <w:r>
        <w:rPr>
          <w:sz w:val="18"/>
          <w:szCs w:val="18"/>
        </w:rPr>
        <w:t xml:space="preserve">8. Chen T, Yu WH, Izard J, et al. The Human Oral Microbiome Database: a web accessible resource for investigating oral microbe taxonomic and genomic information. </w:t>
      </w:r>
      <w:r>
        <w:rPr>
          <w:i/>
          <w:sz w:val="18"/>
          <w:szCs w:val="18"/>
        </w:rPr>
        <w:t>Database (Oxford)</w:t>
      </w:r>
      <w:r>
        <w:rPr>
          <w:sz w:val="18"/>
          <w:szCs w:val="18"/>
        </w:rPr>
        <w:t>. 2010;2010:baq013. doi:10.1093/database/baq013.</w:t>
      </w:r>
    </w:p>
    <w:p>
      <w:pPr>
        <w:pStyle w:val="Reference"/>
        <w:ind w:left="360" w:hanging="360"/>
      </w:pPr>
      <w:r>
        <w:rPr>
          <w:sz w:val="18"/>
          <w:szCs w:val="18"/>
        </w:rPr>
        <w:t xml:space="preserve">9. Escapa IF, Chen T, Huang Y, et al. New insights into human nostril microbiome from the expanded Human Oral Microbiome Database. </w:t>
      </w:r>
      <w:r>
        <w:rPr>
          <w:i/>
          <w:sz w:val="18"/>
          <w:szCs w:val="18"/>
        </w:rPr>
        <w:t>mSystems</w:t>
      </w:r>
      <w:r>
        <w:rPr>
          <w:sz w:val="18"/>
          <w:szCs w:val="18"/>
        </w:rPr>
        <w:t>. 2018;3(6):e00187-18. doi:10.1128/mSystems.00187-18.</w:t>
      </w:r>
    </w:p>
    <w:p>
      <w:pPr>
        <w:pStyle w:val="Reference"/>
        <w:ind w:left="360" w:hanging="360"/>
      </w:pPr>
      <w:r>
        <w:rPr>
          <w:sz w:val="18"/>
          <w:szCs w:val="18"/>
        </w:rPr>
        <w:t xml:space="preserve">10. Belstrøm D, Jersie-Christensen RR, Lyon D, et al. Metaproteomics of saliva identifies human protein markers specific for individuals with periodontitis and dental caries compared to orally healthy controls. </w:t>
      </w:r>
      <w:r>
        <w:rPr>
          <w:i/>
          <w:sz w:val="18"/>
          <w:szCs w:val="18"/>
        </w:rPr>
        <w:t>PeerJ</w:t>
      </w:r>
      <w:r>
        <w:rPr>
          <w:sz w:val="18"/>
          <w:szCs w:val="18"/>
        </w:rPr>
        <w:t>. 2016;4:e2433. doi:10.7717/peerj.2433.</w:t>
      </w:r>
    </w:p>
    <w:p>
      <w:pPr>
        <w:pStyle w:val="Reference"/>
        <w:ind w:left="360" w:hanging="360"/>
      </w:pPr>
      <w:r>
        <w:rPr>
          <w:sz w:val="18"/>
          <w:szCs w:val="18"/>
        </w:rPr>
        <w:t xml:space="preserve">11. Jiang X, Zhang Y, Wang H, et al. In-depth metaproteomics analysis of oral microbiome for lung cancer. </w:t>
      </w:r>
      <w:r>
        <w:rPr>
          <w:i/>
          <w:sz w:val="18"/>
          <w:szCs w:val="18"/>
        </w:rPr>
        <w:t>Research</w:t>
      </w:r>
      <w:r>
        <w:rPr>
          <w:sz w:val="18"/>
          <w:szCs w:val="18"/>
        </w:rPr>
        <w:t>. 2022;2022:9781578. doi:10.34133/2022/9781578.</w:t>
      </w:r>
    </w:p>
    <w:p>
      <w:pPr>
        <w:pStyle w:val="Reference"/>
        <w:ind w:left="360" w:hanging="360"/>
      </w:pPr>
      <w:r>
        <w:rPr>
          <w:sz w:val="18"/>
          <w:szCs w:val="18"/>
        </w:rPr>
        <w:t xml:space="preserve">12. Yuan J, Sun B, Li M, et al. OSaMPle workflow for salivary metaproteomics analysis reveals dysbiosis in inflammatory bowel disease patients. </w:t>
      </w:r>
      <w:r>
        <w:rPr>
          <w:i/>
          <w:sz w:val="18"/>
          <w:szCs w:val="18"/>
        </w:rPr>
        <w:t>npj Biofilms Microbiomes</w:t>
      </w:r>
      <w:r>
        <w:rPr>
          <w:sz w:val="18"/>
          <w:szCs w:val="18"/>
        </w:rPr>
        <w:t>. 2025;11:63. doi:10.1038/s41522-025-00692-z.</w:t>
      </w:r>
    </w:p>
    <w:p>
      <w:pPr>
        <w:pStyle w:val="Reference"/>
        <w:ind w:left="360" w:hanging="360"/>
      </w:pPr>
      <w:r>
        <w:rPr>
          <w:sz w:val="18"/>
          <w:szCs w:val="18"/>
        </w:rPr>
        <w:t xml:space="preserve">13. Du Z, Ding X, Xu Y, Li Y. UniDL4BioPep: a universal deep learning architecture for binary classification in peptide bioactivity. </w:t>
      </w:r>
      <w:r>
        <w:rPr>
          <w:i/>
          <w:sz w:val="18"/>
          <w:szCs w:val="18"/>
        </w:rPr>
        <w:t>Brief Bioinform</w:t>
      </w:r>
      <w:r>
        <w:rPr>
          <w:sz w:val="18"/>
          <w:szCs w:val="18"/>
        </w:rPr>
        <w:t>. 2023;24(3):bbad135. doi:10.1093/bib/bbad135.</w:t>
      </w:r>
    </w:p>
    <w:p>
      <w:pPr>
        <w:pStyle w:val="Reference"/>
        <w:ind w:left="360" w:hanging="360"/>
      </w:pPr>
      <w:r>
        <w:rPr>
          <w:sz w:val="18"/>
          <w:szCs w:val="18"/>
        </w:rPr>
        <w:t xml:space="preserve">14. Gu ZF, Hao YD, Wang TY, et al. Prediction of blood-brain barrier penetrating peptides based on data augmentation with Augur. </w:t>
      </w:r>
      <w:r>
        <w:rPr>
          <w:i/>
          <w:sz w:val="18"/>
          <w:szCs w:val="18"/>
        </w:rPr>
        <w:t>BMC Biol</w:t>
      </w:r>
      <w:r>
        <w:rPr>
          <w:sz w:val="18"/>
          <w:szCs w:val="18"/>
        </w:rPr>
        <w:t>. 2024;22:86. doi:10.1186/s12915-024-01883-4.</w:t>
      </w:r>
    </w:p>
    <w:p>
      <w:pPr>
        <w:pStyle w:val="Reference"/>
        <w:ind w:left="360" w:hanging="360"/>
      </w:pPr>
      <w:r>
        <w:rPr>
          <w:sz w:val="18"/>
          <w:szCs w:val="18"/>
        </w:rPr>
        <w:t xml:space="preserve">15. Liu X, Zhao Z, Guan J, et al. Prediction of blood-brain barrier-penetrating peptides using B3BPFN. </w:t>
      </w:r>
      <w:r>
        <w:rPr>
          <w:i/>
          <w:sz w:val="18"/>
          <w:szCs w:val="18"/>
        </w:rPr>
        <w:t>Front Mol Biosci</w:t>
      </w:r>
      <w:r>
        <w:rPr>
          <w:sz w:val="18"/>
          <w:szCs w:val="18"/>
        </w:rPr>
        <w:t>. 2026;13:1858506. doi:10.3389/fmolb.2026.1858506.</w:t>
      </w:r>
    </w:p>
    <w:p>
      <w:pPr>
        <w:pStyle w:val="Reference"/>
        <w:ind w:left="360" w:hanging="360"/>
      </w:pPr>
      <w:r>
        <w:rPr>
          <w:sz w:val="18"/>
          <w:szCs w:val="18"/>
        </w:rPr>
        <w:t xml:space="preserve">16. Rathore AS, Jain S, Choudhury S, Raghava GPS. A large language model for predicting neurotoxic peptides and neurotoxins. </w:t>
      </w:r>
      <w:r>
        <w:rPr>
          <w:i/>
          <w:sz w:val="18"/>
          <w:szCs w:val="18"/>
        </w:rPr>
        <w:t>Protein Sci</w:t>
      </w:r>
      <w:r>
        <w:rPr>
          <w:sz w:val="18"/>
          <w:szCs w:val="18"/>
        </w:rPr>
        <w:t>. 2025;34(8):e70200. doi:10.1002/pro.70200.</w:t>
      </w:r>
    </w:p>
    <w:p>
      <w:pPr>
        <w:pStyle w:val="Reference"/>
        <w:ind w:left="360" w:hanging="360"/>
      </w:pPr>
      <w:r>
        <w:rPr>
          <w:sz w:val="18"/>
          <w:szCs w:val="18"/>
        </w:rPr>
        <w:t xml:space="preserve">17. Aptekmann AA, Buongiorno J, Giovannelli D, et al. mebipred: identifying metal-binding potential in protein sequence. </w:t>
      </w:r>
      <w:r>
        <w:rPr>
          <w:i/>
          <w:sz w:val="18"/>
          <w:szCs w:val="18"/>
        </w:rPr>
        <w:t>Bioinformatics</w:t>
      </w:r>
      <w:r>
        <w:rPr>
          <w:sz w:val="18"/>
          <w:szCs w:val="18"/>
        </w:rPr>
        <w:t>. 2022;38(14):3532–3540. doi:10.1093/bioinformatics/btac358.</w:t>
      </w:r>
    </w:p>
    <w:p>
      <w:pPr>
        <w:pStyle w:val="Reference"/>
        <w:ind w:left="360" w:hanging="360"/>
      </w:pPr>
      <w:r>
        <w:rPr>
          <w:sz w:val="18"/>
          <w:szCs w:val="18"/>
        </w:rPr>
        <w:t xml:space="preserve">18. Olsen TH, Yesiltas B, Marin FI, et al. AnOxPePred: using deep learning for the prediction of antioxidative properties of peptides. </w:t>
      </w:r>
      <w:r>
        <w:rPr>
          <w:i/>
          <w:sz w:val="18"/>
          <w:szCs w:val="18"/>
        </w:rPr>
        <w:t>Sci Rep</w:t>
      </w:r>
      <w:r>
        <w:rPr>
          <w:sz w:val="18"/>
          <w:szCs w:val="18"/>
        </w:rPr>
        <w:t>. 2020;10:21471. doi:10.1038/s41598-020-78319-w.</w:t>
      </w:r>
    </w:p>
    <w:p>
      <w:pPr>
        <w:pStyle w:val="Reference"/>
        <w:ind w:left="360" w:hanging="360"/>
      </w:pPr>
      <w:r>
        <w:rPr>
          <w:sz w:val="18"/>
          <w:szCs w:val="18"/>
        </w:rPr>
        <w:t xml:space="preserve">19. Torres MDT, Brooks EF, Cesaro A, et al. Mining human microbiomes reveals an untapped source of peptide antibiotics. </w:t>
      </w:r>
      <w:r>
        <w:rPr>
          <w:i/>
          <w:sz w:val="18"/>
          <w:szCs w:val="18"/>
        </w:rPr>
        <w:t>Cell</w:t>
      </w:r>
      <w:r>
        <w:rPr>
          <w:sz w:val="18"/>
          <w:szCs w:val="18"/>
        </w:rPr>
        <w:t>. 2024;187(19):5453–5467.e15. doi:10.1016/j.cell.2024.07.027.</w:t>
      </w:r>
    </w:p>
    <w:p>
      <w:pPr>
        <w:pStyle w:val="Reference"/>
        <w:ind w:left="360" w:hanging="360"/>
      </w:pPr>
      <w:r>
        <w:rPr>
          <w:sz w:val="18"/>
          <w:szCs w:val="18"/>
        </w:rPr>
        <w:t xml:space="preserve">20. Scheltens P, De Strooper B, Kivipelto M, et al. Alzheimer’s disease. </w:t>
      </w:r>
      <w:r>
        <w:rPr>
          <w:i/>
          <w:sz w:val="18"/>
          <w:szCs w:val="18"/>
        </w:rPr>
        <w:t>Lancet</w:t>
      </w:r>
      <w:r>
        <w:rPr>
          <w:sz w:val="18"/>
          <w:szCs w:val="18"/>
        </w:rPr>
        <w:t>. 2021;397(10284):1577–1590. doi:10.1016/S0140-6736(20)32205-4.</w:t>
      </w:r>
    </w:p>
    <w:p>
      <w:pPr>
        <w:pStyle w:val="Reference"/>
        <w:ind w:left="360" w:hanging="360"/>
      </w:pPr>
      <w:r>
        <w:rPr>
          <w:sz w:val="18"/>
          <w:szCs w:val="18"/>
        </w:rPr>
        <w:t xml:space="preserve">21. Selkoe DJ, Hardy J. The amyloid hypothesis of Alzheimer’s disease at 25 years. </w:t>
      </w:r>
      <w:r>
        <w:rPr>
          <w:i/>
          <w:sz w:val="18"/>
          <w:szCs w:val="18"/>
        </w:rPr>
        <w:t>EMBO Mol Med</w:t>
      </w:r>
      <w:r>
        <w:rPr>
          <w:sz w:val="18"/>
          <w:szCs w:val="18"/>
        </w:rPr>
        <w:t>. 2016;8(6):595–608. doi:10.15252/emmm.201606210.</w:t>
      </w:r>
    </w:p>
    <w:p>
      <w:pPr>
        <w:pStyle w:val="Reference"/>
        <w:ind w:left="360" w:hanging="360"/>
      </w:pPr>
      <w:r>
        <w:rPr>
          <w:sz w:val="18"/>
          <w:szCs w:val="18"/>
        </w:rPr>
        <w:t xml:space="preserve">22. Hampel H, Mesulam MM, Cuello AC, et al. The cholinergic system in the pathophysiology and treatment of Alzheimer’s disease. </w:t>
      </w:r>
      <w:r>
        <w:rPr>
          <w:i/>
          <w:sz w:val="18"/>
          <w:szCs w:val="18"/>
        </w:rPr>
        <w:t>Brain</w:t>
      </w:r>
      <w:r>
        <w:rPr>
          <w:sz w:val="18"/>
          <w:szCs w:val="18"/>
        </w:rPr>
        <w:t>. 2018;141(7):1917–1933. doi:10.1093/brain/awy132.</w:t>
      </w:r>
    </w:p>
    <w:p>
      <w:pPr>
        <w:pStyle w:val="Reference"/>
        <w:ind w:left="360" w:hanging="360"/>
      </w:pPr>
      <w:r>
        <w:rPr>
          <w:sz w:val="18"/>
          <w:szCs w:val="18"/>
        </w:rPr>
        <w:t xml:space="preserve">23. Inestrosa NC, Alvarez A, Pérez CA, et al. Acetylcholinesterase accelerates assembly of amyloid-β-peptides into Alzheimer’s fibrils. </w:t>
      </w:r>
      <w:r>
        <w:rPr>
          <w:i/>
          <w:sz w:val="18"/>
          <w:szCs w:val="18"/>
        </w:rPr>
        <w:t>Neuron</w:t>
      </w:r>
      <w:r>
        <w:rPr>
          <w:sz w:val="18"/>
          <w:szCs w:val="18"/>
        </w:rPr>
        <w:t>. 1996;16(4):881–891. doi:10.1016/s0896-6273(00)80108-7.</w:t>
      </w:r>
    </w:p>
    <w:p>
      <w:pPr>
        <w:pStyle w:val="Reference"/>
        <w:ind w:left="360" w:hanging="360"/>
      </w:pPr>
      <w:r>
        <w:rPr>
          <w:sz w:val="18"/>
          <w:szCs w:val="18"/>
        </w:rPr>
        <w:t xml:space="preserve">24. De Ferrari GV, Canales MA, Shin I, et al. A structural motif of acetylcholinesterase that promotes amyloid β-peptide fibril formation. </w:t>
      </w:r>
      <w:r>
        <w:rPr>
          <w:i/>
          <w:sz w:val="18"/>
          <w:szCs w:val="18"/>
        </w:rPr>
        <w:t>Biochemistry</w:t>
      </w:r>
      <w:r>
        <w:rPr>
          <w:sz w:val="18"/>
          <w:szCs w:val="18"/>
        </w:rPr>
        <w:t>. 2001;40(35):10447–10457. doi:10.1021/bi0101392.</w:t>
      </w:r>
    </w:p>
    <w:p>
      <w:pPr>
        <w:pStyle w:val="Reference"/>
        <w:ind w:left="360" w:hanging="360"/>
      </w:pPr>
      <w:r>
        <w:rPr>
          <w:sz w:val="18"/>
          <w:szCs w:val="18"/>
        </w:rPr>
        <w:t xml:space="preserve">25. Bartolini M, Bertucci C, Cavrini V, Andrisano V. β-Amyloid aggregation induced by human acetylcholinesterase: inhibition studies. </w:t>
      </w:r>
      <w:r>
        <w:rPr>
          <w:i/>
          <w:sz w:val="18"/>
          <w:szCs w:val="18"/>
        </w:rPr>
        <w:t>Biochem Pharmacol</w:t>
      </w:r>
      <w:r>
        <w:rPr>
          <w:sz w:val="18"/>
          <w:szCs w:val="18"/>
        </w:rPr>
        <w:t>. 2003;65(3):407–416. doi:10.1016/s0006-2952(02)01514-9.</w:t>
      </w:r>
    </w:p>
    <w:p>
      <w:pPr>
        <w:pStyle w:val="Reference"/>
        <w:ind w:left="360" w:hanging="360"/>
      </w:pPr>
      <w:r>
        <w:rPr>
          <w:sz w:val="18"/>
          <w:szCs w:val="18"/>
        </w:rPr>
        <w:t xml:space="preserve">26. Kryger G, Silman I, Sussman JL. Structure of acetylcholinesterase complexed with E2020 (Aricept). </w:t>
      </w:r>
      <w:r>
        <w:rPr>
          <w:i/>
          <w:sz w:val="18"/>
          <w:szCs w:val="18"/>
        </w:rPr>
        <w:t>Structure</w:t>
      </w:r>
      <w:r>
        <w:rPr>
          <w:sz w:val="18"/>
          <w:szCs w:val="18"/>
        </w:rPr>
        <w:t>. 1999;7(3):297–307. doi:10.1016/s0969-2126(99)80040-9.</w:t>
      </w:r>
    </w:p>
    <w:p>
      <w:pPr>
        <w:pStyle w:val="Reference"/>
        <w:ind w:left="360" w:hanging="360"/>
      </w:pPr>
      <w:r>
        <w:rPr>
          <w:sz w:val="18"/>
          <w:szCs w:val="18"/>
        </w:rPr>
        <w:t xml:space="preserve">27. Cheung J, Rudolph MJ, Burshteyn F, et al. Structures of human acetylcholinesterase in complex with pharmacologically important ligands. </w:t>
      </w:r>
      <w:r>
        <w:rPr>
          <w:i/>
          <w:sz w:val="18"/>
          <w:szCs w:val="18"/>
        </w:rPr>
        <w:t>J Med Chem</w:t>
      </w:r>
      <w:r>
        <w:rPr>
          <w:sz w:val="18"/>
          <w:szCs w:val="18"/>
        </w:rPr>
        <w:t>. 2012;55(23):10282–10286. doi:10.1021/jm300871x.</w:t>
      </w:r>
    </w:p>
    <w:p>
      <w:pPr>
        <w:pStyle w:val="Reference"/>
        <w:ind w:left="360" w:hanging="360"/>
      </w:pPr>
      <w:r>
        <w:rPr>
          <w:sz w:val="18"/>
          <w:szCs w:val="18"/>
        </w:rPr>
        <w:t xml:space="preserve">28. Atanasova M, Dimitrov I, Ivanov S. Molecular dynamics simulations of acetylcholinesterase–beta-amyloid peptide complex. </w:t>
      </w:r>
      <w:r>
        <w:rPr>
          <w:i/>
          <w:sz w:val="18"/>
          <w:szCs w:val="18"/>
        </w:rPr>
        <w:t>Cybern Inf Technol</w:t>
      </w:r>
      <w:r>
        <w:rPr>
          <w:sz w:val="18"/>
          <w:szCs w:val="18"/>
        </w:rPr>
        <w:t>. 2020;20(6):140–154. doi:10.2478/cait-2020-0068.</w:t>
      </w:r>
    </w:p>
    <w:p>
      <w:pPr>
        <w:pStyle w:val="Reference"/>
        <w:ind w:left="360" w:hanging="360"/>
      </w:pPr>
      <w:r>
        <w:rPr>
          <w:sz w:val="18"/>
          <w:szCs w:val="18"/>
        </w:rPr>
        <w:t xml:space="preserve">29. Lushchekina SV, Kots ED, Novichkova DA, et al. Role of acetylcholinesterase in β-amyloid aggregation studied by accelerated molecular dynamics. </w:t>
      </w:r>
      <w:r>
        <w:rPr>
          <w:i/>
          <w:sz w:val="18"/>
          <w:szCs w:val="18"/>
        </w:rPr>
        <w:t>BioNanoScience</w:t>
      </w:r>
      <w:r>
        <w:rPr>
          <w:sz w:val="18"/>
          <w:szCs w:val="18"/>
        </w:rPr>
        <w:t>. 2017;7:396–402. doi:10.1007/s12668-016-0375-x.</w:t>
      </w:r>
    </w:p>
    <w:p>
      <w:pPr>
        <w:pStyle w:val="Reference"/>
        <w:ind w:left="360" w:hanging="360"/>
      </w:pPr>
      <w:r>
        <w:rPr>
          <w:sz w:val="18"/>
          <w:szCs w:val="18"/>
        </w:rPr>
        <w:t xml:space="preserve">30. Bush AI. The metal theory of Alzheimer’s disease. </w:t>
      </w:r>
      <w:r>
        <w:rPr>
          <w:i/>
          <w:sz w:val="18"/>
          <w:szCs w:val="18"/>
        </w:rPr>
        <w:t>J Alzheimers Dis</w:t>
      </w:r>
      <w:r>
        <w:rPr>
          <w:sz w:val="18"/>
          <w:szCs w:val="18"/>
        </w:rPr>
        <w:t>. 2013;33 Suppl 1:S277–S281. doi:10.3233/JAD-2012-129011.</w:t>
      </w:r>
    </w:p>
    <w:p>
      <w:pPr>
        <w:pStyle w:val="Reference"/>
        <w:ind w:left="360" w:hanging="360"/>
      </w:pPr>
      <w:r>
        <w:rPr>
          <w:sz w:val="18"/>
          <w:szCs w:val="18"/>
        </w:rPr>
        <w:t xml:space="preserve">31. Lei P, Ayton S, Bush AI. The essential elements of Alzheimer’s disease. </w:t>
      </w:r>
      <w:r>
        <w:rPr>
          <w:i/>
          <w:sz w:val="18"/>
          <w:szCs w:val="18"/>
        </w:rPr>
        <w:t>J Biol Chem</w:t>
      </w:r>
      <w:r>
        <w:rPr>
          <w:sz w:val="18"/>
          <w:szCs w:val="18"/>
        </w:rPr>
        <w:t>. 2021;296:100105. doi:10.1074/jbc.REV120.008207.</w:t>
      </w:r>
    </w:p>
    <w:p>
      <w:pPr>
        <w:pStyle w:val="Reference"/>
        <w:ind w:left="360" w:hanging="360"/>
      </w:pPr>
      <w:r>
        <w:rPr>
          <w:sz w:val="18"/>
          <w:szCs w:val="18"/>
        </w:rPr>
        <w:t xml:space="preserve">32. Di Natale G, Bellia F, Sciacca MFM, et al. Tau-peptide fragments and their copper(II) complexes: effects on amyloid-β aggregation. </w:t>
      </w:r>
      <w:r>
        <w:rPr>
          <w:i/>
          <w:sz w:val="18"/>
          <w:szCs w:val="18"/>
        </w:rPr>
        <w:t>Inorg Chim Acta</w:t>
      </w:r>
      <w:r>
        <w:rPr>
          <w:sz w:val="18"/>
          <w:szCs w:val="18"/>
        </w:rPr>
        <w:t>. 2018;472:82–92. doi:10.1016/j.ica.2017.09.061.</w:t>
      </w:r>
    </w:p>
    <w:p>
      <w:pPr>
        <w:pStyle w:val="Reference"/>
        <w:ind w:left="360" w:hanging="360"/>
      </w:pPr>
      <w:r>
        <w:rPr>
          <w:sz w:val="18"/>
          <w:szCs w:val="18"/>
        </w:rPr>
        <w:t xml:space="preserve">33. Perini G, Ciasca G, Minelli E, et al. Dynamic structural determinants underlie the neurotoxicity of the N-terminal tau 26–44 peptide. </w:t>
      </w:r>
      <w:r>
        <w:rPr>
          <w:i/>
          <w:sz w:val="18"/>
          <w:szCs w:val="18"/>
        </w:rPr>
        <w:t>Int J Biol Macromol</w:t>
      </w:r>
      <w:r>
        <w:rPr>
          <w:sz w:val="18"/>
          <w:szCs w:val="18"/>
        </w:rPr>
        <w:t>. 2019;141:278–289. doi:10.1016/j.ijbiomac.2019.08.220.</w:t>
      </w:r>
    </w:p>
    <w:p>
      <w:pPr>
        <w:pStyle w:val="Reference"/>
        <w:ind w:left="360" w:hanging="360"/>
      </w:pPr>
      <w:r>
        <w:rPr>
          <w:sz w:val="18"/>
          <w:szCs w:val="18"/>
        </w:rPr>
        <w:t xml:space="preserve">34. Chen SG, Stribinskis V, Rane MJ, et al. Exposure to the functional bacterial amyloid protein curli enhances alpha-synuclein aggregation. </w:t>
      </w:r>
      <w:r>
        <w:rPr>
          <w:i/>
          <w:sz w:val="18"/>
          <w:szCs w:val="18"/>
        </w:rPr>
        <w:t>Sci Rep</w:t>
      </w:r>
      <w:r>
        <w:rPr>
          <w:sz w:val="18"/>
          <w:szCs w:val="18"/>
        </w:rPr>
        <w:t>. 2016;6:34477. doi:10.1038/srep34477.</w:t>
      </w:r>
    </w:p>
    <w:p>
      <w:pPr>
        <w:pStyle w:val="Reference"/>
        <w:ind w:left="360" w:hanging="360"/>
      </w:pPr>
      <w:r>
        <w:rPr>
          <w:sz w:val="18"/>
          <w:szCs w:val="18"/>
        </w:rPr>
        <w:t xml:space="preserve">35. Larvin H, Gao C, Kang J, et al. The impact of study factors in the association of periodontal disease and cognitive disorders. </w:t>
      </w:r>
      <w:r>
        <w:rPr>
          <w:i/>
          <w:sz w:val="18"/>
          <w:szCs w:val="18"/>
        </w:rPr>
        <w:t>Age Ageing</w:t>
      </w:r>
      <w:r>
        <w:rPr>
          <w:sz w:val="18"/>
          <w:szCs w:val="18"/>
        </w:rPr>
        <w:t>. 2023;52(2):afad015. doi:10.1093/ageing/afad015.</w:t>
      </w:r>
    </w:p>
    <w:p>
      <w:pPr>
        <w:pStyle w:val="Reference"/>
        <w:ind w:left="360" w:hanging="360"/>
      </w:pPr>
      <w:r>
        <w:rPr>
          <w:sz w:val="18"/>
          <w:szCs w:val="18"/>
        </w:rPr>
        <w:t xml:space="preserve">36. Kaliamoorthy S, Nagarajan M, Sethuraman V, et al. Association of Alzheimer’s disease and periodontitis. </w:t>
      </w:r>
      <w:r>
        <w:rPr>
          <w:i/>
          <w:sz w:val="18"/>
          <w:szCs w:val="18"/>
        </w:rPr>
        <w:t>Med Pharm Rep</w:t>
      </w:r>
      <w:r>
        <w:rPr>
          <w:sz w:val="18"/>
          <w:szCs w:val="18"/>
        </w:rPr>
        <w:t>. 2022;95(2):144–151. doi:10.15386/mpr-2278.</w:t>
      </w:r>
    </w:p>
    <w:p>
      <w:pPr>
        <w:pStyle w:val="Reference"/>
        <w:ind w:left="360" w:hanging="360"/>
      </w:pPr>
      <w:r>
        <w:rPr>
          <w:sz w:val="18"/>
          <w:szCs w:val="18"/>
        </w:rPr>
        <w:t xml:space="preserve">37. Liu S, Dashper SG, Zhao R. Association between oral bacteria and Alzheimer’s disease. </w:t>
      </w:r>
      <w:r>
        <w:rPr>
          <w:i/>
          <w:sz w:val="18"/>
          <w:szCs w:val="18"/>
        </w:rPr>
        <w:t>J Alzheimers Dis</w:t>
      </w:r>
      <w:r>
        <w:rPr>
          <w:sz w:val="18"/>
          <w:szCs w:val="18"/>
        </w:rPr>
        <w:t>. 2023;91(1):129–150. doi:10.3233/JAD-220627.</w:t>
      </w:r>
    </w:p>
    <w:p>
      <w:pPr>
        <w:pStyle w:val="Reference"/>
        <w:ind w:left="360" w:hanging="360"/>
      </w:pPr>
      <w:r>
        <w:rPr>
          <w:sz w:val="18"/>
          <w:szCs w:val="18"/>
        </w:rPr>
        <w:t xml:space="preserve">38. Kim J, Han DH. Periodontitis as a risk factor for dementia. </w:t>
      </w:r>
      <w:r>
        <w:rPr>
          <w:i/>
          <w:sz w:val="18"/>
          <w:szCs w:val="18"/>
        </w:rPr>
        <w:t>J Evid Based Dent Pract</w:t>
      </w:r>
      <w:r>
        <w:rPr>
          <w:sz w:val="18"/>
          <w:szCs w:val="18"/>
        </w:rPr>
        <w:t>. 2025;25:102094. doi:10.1016/j.jebdp.2025.102094.</w:t>
      </w:r>
    </w:p>
    <w:p>
      <w:pPr>
        <w:pStyle w:val="Reference"/>
        <w:ind w:left="360" w:hanging="360"/>
      </w:pPr>
      <w:r>
        <w:rPr>
          <w:sz w:val="18"/>
          <w:szCs w:val="18"/>
        </w:rPr>
        <w:t xml:space="preserve">39. Ide M, Harris M, Stevens A, et al. Periodontitis and cognitive decline in Alzheimer’s disease. </w:t>
      </w:r>
      <w:r>
        <w:rPr>
          <w:i/>
          <w:sz w:val="18"/>
          <w:szCs w:val="18"/>
        </w:rPr>
        <w:t>PLoS One</w:t>
      </w:r>
      <w:r>
        <w:rPr>
          <w:sz w:val="18"/>
          <w:szCs w:val="18"/>
        </w:rPr>
        <w:t>. 2016;11(3):e0151081. doi:10.1371/journal.pone.0151081.</w:t>
      </w:r>
    </w:p>
    <w:p>
      <w:pPr>
        <w:pStyle w:val="Reference"/>
        <w:ind w:left="360" w:hanging="360"/>
      </w:pPr>
      <w:r>
        <w:rPr>
          <w:sz w:val="18"/>
          <w:szCs w:val="18"/>
        </w:rPr>
        <w:t xml:space="preserve">40. Jiang Z, Shi Y, Zhao W, et al. Association between chronic periodontitis and the risk of Alzheimer’s disease. </w:t>
      </w:r>
      <w:r>
        <w:rPr>
          <w:i/>
          <w:sz w:val="18"/>
          <w:szCs w:val="18"/>
        </w:rPr>
        <w:t>BMC Oral Health</w:t>
      </w:r>
      <w:r>
        <w:rPr>
          <w:sz w:val="18"/>
          <w:szCs w:val="18"/>
        </w:rPr>
        <w:t>. 2021;21:466. doi:10.1186/s12903-021-01827-2.</w:t>
      </w:r>
    </w:p>
    <w:p>
      <w:pPr>
        <w:pStyle w:val="Reference"/>
        <w:ind w:left="360" w:hanging="360"/>
      </w:pPr>
      <w:r>
        <w:rPr>
          <w:sz w:val="18"/>
          <w:szCs w:val="18"/>
        </w:rPr>
        <w:t xml:space="preserve">41. Hu C, Li H, Huang L, et al. Periodontal disease and risk of Alzheimer’s disease: a two-sample Mendelian randomization. </w:t>
      </w:r>
      <w:r>
        <w:rPr>
          <w:i/>
          <w:sz w:val="18"/>
          <w:szCs w:val="18"/>
        </w:rPr>
        <w:t>Brain Behav</w:t>
      </w:r>
      <w:r>
        <w:rPr>
          <w:sz w:val="18"/>
          <w:szCs w:val="18"/>
        </w:rPr>
        <w:t>. 2024;14(4):e3486. doi:10.1002/brb3.3486.</w:t>
      </w:r>
    </w:p>
    <w:p>
      <w:pPr>
        <w:pStyle w:val="Reference"/>
        <w:ind w:left="360" w:hanging="360"/>
      </w:pPr>
      <w:r>
        <w:rPr>
          <w:sz w:val="18"/>
          <w:szCs w:val="18"/>
        </w:rPr>
        <w:t xml:space="preserve">42. Zhao Y, Zhang C, Chang X, et al. Causal association between periodontitis and systemic diseases: a systematic review and meta-analysis of Mendelian randomization studies. </w:t>
      </w:r>
      <w:r>
        <w:rPr>
          <w:i/>
          <w:sz w:val="18"/>
          <w:szCs w:val="18"/>
        </w:rPr>
        <w:t>BMC Oral Health</w:t>
      </w:r>
      <w:r>
        <w:rPr>
          <w:sz w:val="18"/>
          <w:szCs w:val="18"/>
        </w:rPr>
        <w:t>. 2026;26:383. doi:10.1186/s12903-026-07725-9.</w:t>
      </w:r>
    </w:p>
    <w:p>
      <w:pPr>
        <w:pStyle w:val="Reference"/>
        <w:ind w:left="360" w:hanging="360"/>
      </w:pPr>
      <w:r>
        <w:rPr>
          <w:sz w:val="18"/>
          <w:szCs w:val="18"/>
        </w:rPr>
        <w:t xml:space="preserve">43. Chalmers JC, Hernandez-Kapila YL. The role of the oral microbiome, host response, and periodontal disease treatment in Alzheimer’s disease: a primer. </w:t>
      </w:r>
      <w:r>
        <w:rPr>
          <w:i/>
          <w:sz w:val="18"/>
          <w:szCs w:val="18"/>
        </w:rPr>
        <w:t>Periodontol 2000</w:t>
      </w:r>
      <w:r>
        <w:rPr>
          <w:sz w:val="18"/>
          <w:szCs w:val="18"/>
        </w:rPr>
        <w:t>. 2025;98(1):220–227. doi:10.1111/prd.12631.</w:t>
      </w:r>
    </w:p>
    <w:p>
      <w:pPr>
        <w:pStyle w:val="Reference"/>
        <w:ind w:left="360" w:hanging="360"/>
      </w:pPr>
      <w:r>
        <w:rPr>
          <w:sz w:val="18"/>
          <w:szCs w:val="18"/>
        </w:rPr>
        <w:t xml:space="preserve">44. Dominy SS, Lynch C, Ermini F, et al. </w:t>
      </w:r>
      <w:r>
        <w:rPr>
          <w:i/>
          <w:sz w:val="18"/>
          <w:szCs w:val="18"/>
        </w:rPr>
        <w:t>Porphyromonas gingivalis</w:t>
      </w:r>
      <w:r>
        <w:rPr>
          <w:sz w:val="18"/>
          <w:szCs w:val="18"/>
        </w:rPr>
        <w:t xml:space="preserve"> in Alzheimer’s disease brains. </w:t>
      </w:r>
      <w:r>
        <w:rPr>
          <w:i/>
          <w:sz w:val="18"/>
          <w:szCs w:val="18"/>
        </w:rPr>
        <w:t>Sci Adv</w:t>
      </w:r>
      <w:r>
        <w:rPr>
          <w:sz w:val="18"/>
          <w:szCs w:val="18"/>
        </w:rPr>
        <w:t>. 2019;5(1):eaau3333. doi:10.1126/sciadv.aau3333.</w:t>
      </w:r>
    </w:p>
    <w:p>
      <w:pPr>
        <w:pStyle w:val="Reference"/>
        <w:ind w:left="360" w:hanging="360"/>
      </w:pPr>
      <w:r>
        <w:rPr>
          <w:sz w:val="18"/>
          <w:szCs w:val="18"/>
        </w:rPr>
        <w:t xml:space="preserve">45. Poole S, Singhrao SK, Kesavalu L, et al. Determining the presence of </w:t>
      </w:r>
      <w:r>
        <w:rPr>
          <w:i/>
          <w:sz w:val="18"/>
          <w:szCs w:val="18"/>
        </w:rPr>
        <w:t>Porphyromonas gingivalis</w:t>
      </w:r>
      <w:r>
        <w:rPr>
          <w:sz w:val="18"/>
          <w:szCs w:val="18"/>
        </w:rPr>
        <w:t xml:space="preserve"> in Alzheimer’s disease brain. </w:t>
      </w:r>
      <w:r>
        <w:rPr>
          <w:i/>
          <w:sz w:val="18"/>
          <w:szCs w:val="18"/>
        </w:rPr>
        <w:t>J Alzheimers Dis</w:t>
      </w:r>
      <w:r>
        <w:rPr>
          <w:sz w:val="18"/>
          <w:szCs w:val="18"/>
        </w:rPr>
        <w:t>. 2013;33(3):665–678. doi:10.3233/JAD-2012-121149.</w:t>
      </w:r>
    </w:p>
    <w:p>
      <w:pPr>
        <w:pStyle w:val="Reference"/>
        <w:ind w:left="360" w:hanging="360"/>
      </w:pPr>
      <w:r>
        <w:rPr>
          <w:sz w:val="18"/>
          <w:szCs w:val="18"/>
        </w:rPr>
        <w:t xml:space="preserve">46. Ilievski V, Zuchowska PK, Green SJ, et al. Chronic oral application of a periodontal pathogen results in brain inflammation, neurodegeneration and amyloid beta production in wild type mice. </w:t>
      </w:r>
      <w:r>
        <w:rPr>
          <w:i/>
          <w:sz w:val="18"/>
          <w:szCs w:val="18"/>
        </w:rPr>
        <w:t>PLoS One</w:t>
      </w:r>
      <w:r>
        <w:rPr>
          <w:sz w:val="18"/>
          <w:szCs w:val="18"/>
        </w:rPr>
        <w:t>. 2018;13(10):e0204941. doi:10.1371/journal.pone.0204941.</w:t>
      </w:r>
    </w:p>
    <w:p>
      <w:pPr>
        <w:pStyle w:val="Reference"/>
        <w:ind w:left="360" w:hanging="360"/>
      </w:pPr>
      <w:r>
        <w:rPr>
          <w:sz w:val="18"/>
          <w:szCs w:val="18"/>
        </w:rPr>
        <w:t xml:space="preserve">47. Ho MH, Chen CH, Goodwin JS, et al. Functional advantages of </w:t>
      </w:r>
      <w:r>
        <w:rPr>
          <w:i/>
          <w:sz w:val="18"/>
          <w:szCs w:val="18"/>
        </w:rPr>
        <w:t>Porphyromonas gingivalis</w:t>
      </w:r>
      <w:r>
        <w:rPr>
          <w:sz w:val="18"/>
          <w:szCs w:val="18"/>
        </w:rPr>
        <w:t xml:space="preserve"> vesicles. </w:t>
      </w:r>
      <w:r>
        <w:rPr>
          <w:i/>
          <w:sz w:val="18"/>
          <w:szCs w:val="18"/>
        </w:rPr>
        <w:t>PLoS One</w:t>
      </w:r>
      <w:r>
        <w:rPr>
          <w:sz w:val="18"/>
          <w:szCs w:val="18"/>
        </w:rPr>
        <w:t>. 2015;10(4):e0123448. doi:10.1371/journal.pone.0123448.</w:t>
      </w:r>
    </w:p>
    <w:p>
      <w:pPr>
        <w:pStyle w:val="Reference"/>
        <w:ind w:left="360" w:hanging="360"/>
      </w:pPr>
      <w:r>
        <w:rPr>
          <w:sz w:val="18"/>
          <w:szCs w:val="18"/>
        </w:rPr>
        <w:t xml:space="preserve">48. Guo Y, Nguyen KA, Potempa J. Dichotomy of gingipains action as virulence factors. </w:t>
      </w:r>
      <w:r>
        <w:rPr>
          <w:i/>
          <w:sz w:val="18"/>
          <w:szCs w:val="18"/>
        </w:rPr>
        <w:t>Periodontol 2000</w:t>
      </w:r>
      <w:r>
        <w:rPr>
          <w:sz w:val="18"/>
          <w:szCs w:val="18"/>
        </w:rPr>
        <w:t>. 2010;54(1):15–44. doi:10.1111/j.1600-0757.2010.00377.x.</w:t>
      </w:r>
    </w:p>
    <w:p>
      <w:pPr>
        <w:pStyle w:val="Reference"/>
        <w:ind w:left="360" w:hanging="360"/>
      </w:pPr>
      <w:r>
        <w:rPr>
          <w:sz w:val="18"/>
          <w:szCs w:val="18"/>
        </w:rPr>
        <w:t xml:space="preserve">49. Haditsch U, Roth T, Rodriguez L, et al. Alzheimer’s disease-like neurodegeneration in </w:t>
      </w:r>
      <w:r>
        <w:rPr>
          <w:i/>
          <w:sz w:val="18"/>
          <w:szCs w:val="18"/>
        </w:rPr>
        <w:t>Porphyromonas gingivalis</w:t>
      </w:r>
      <w:r>
        <w:rPr>
          <w:sz w:val="18"/>
          <w:szCs w:val="18"/>
        </w:rPr>
        <w:t xml:space="preserve"> infected neurons with persistent expression of active gingipains. </w:t>
      </w:r>
      <w:r>
        <w:rPr>
          <w:i/>
          <w:sz w:val="18"/>
          <w:szCs w:val="18"/>
        </w:rPr>
        <w:t>J Alzheimers Dis</w:t>
      </w:r>
      <w:r>
        <w:rPr>
          <w:sz w:val="18"/>
          <w:szCs w:val="18"/>
        </w:rPr>
        <w:t>. 2020;75(4):1361–1376. doi:10.3233/JAD-200393.</w:t>
      </w:r>
    </w:p>
    <w:p>
      <w:pPr>
        <w:pStyle w:val="Reference"/>
        <w:ind w:left="360" w:hanging="360"/>
      </w:pPr>
      <w:r>
        <w:rPr>
          <w:sz w:val="18"/>
          <w:szCs w:val="18"/>
        </w:rPr>
        <w:t xml:space="preserve">50. Nara PL, Sindelar D, Penn MS, et al. </w:t>
      </w:r>
      <w:r>
        <w:rPr>
          <w:i/>
          <w:sz w:val="18"/>
          <w:szCs w:val="18"/>
        </w:rPr>
        <w:t>Porphyromonas gingivalis</w:t>
      </w:r>
      <w:r>
        <w:rPr>
          <w:sz w:val="18"/>
          <w:szCs w:val="18"/>
        </w:rPr>
        <w:t xml:space="preserve"> outer membrane vesicles as the major driver of and explanation for neuropathogenesis. </w:t>
      </w:r>
      <w:r>
        <w:rPr>
          <w:i/>
          <w:sz w:val="18"/>
          <w:szCs w:val="18"/>
        </w:rPr>
        <w:t>J Alzheimers Dis</w:t>
      </w:r>
      <w:r>
        <w:rPr>
          <w:sz w:val="18"/>
          <w:szCs w:val="18"/>
        </w:rPr>
        <w:t>. 2021;82(4):1417–1450. doi:10.3233/JAD-210448.</w:t>
      </w:r>
    </w:p>
    <w:p>
      <w:pPr>
        <w:pStyle w:val="Reference"/>
        <w:ind w:left="360" w:hanging="360"/>
      </w:pPr>
      <w:r>
        <w:rPr>
          <w:sz w:val="18"/>
          <w:szCs w:val="18"/>
        </w:rPr>
        <w:t xml:space="preserve">51. Trott O, Olson AJ. AutoDock Vina: improving the speed and accuracy of docking with a new scoring function. </w:t>
      </w:r>
      <w:r>
        <w:rPr>
          <w:i/>
          <w:sz w:val="18"/>
          <w:szCs w:val="18"/>
        </w:rPr>
        <w:t>J Comput Chem</w:t>
      </w:r>
      <w:r>
        <w:rPr>
          <w:sz w:val="18"/>
          <w:szCs w:val="18"/>
        </w:rPr>
        <w:t>. 2010;31(2):455–461. doi:10.1002/jcc.21334.</w:t>
      </w:r>
    </w:p>
    <w:p>
      <w:pPr>
        <w:pStyle w:val="Reference"/>
        <w:ind w:left="360" w:hanging="360"/>
      </w:pPr>
      <w:r>
        <w:rPr>
          <w:sz w:val="18"/>
          <w:szCs w:val="18"/>
        </w:rPr>
        <w:t xml:space="preserve">52. Eberhardt J, Santos-Martins D, Tillack AF, Forli S. AutoDock Vina 1.2.0: new docking methods, expanded force field, and Python bindings. </w:t>
      </w:r>
      <w:r>
        <w:rPr>
          <w:i/>
          <w:sz w:val="18"/>
          <w:szCs w:val="18"/>
        </w:rPr>
        <w:t>J Chem Inf Model</w:t>
      </w:r>
      <w:r>
        <w:rPr>
          <w:sz w:val="18"/>
          <w:szCs w:val="18"/>
        </w:rPr>
        <w:t>. 2021;61(8):3891–3898. doi:10.1021/acs.jcim.1c00203.</w:t>
      </w:r>
    </w:p>
    <w:p>
      <w:pPr>
        <w:pStyle w:val="Reference"/>
        <w:ind w:left="360" w:hanging="360"/>
      </w:pPr>
      <w:r>
        <w:rPr>
          <w:sz w:val="18"/>
          <w:szCs w:val="18"/>
        </w:rPr>
        <w:t xml:space="preserve">53. London N, Raveh B, Cohen E, et al. Rosetta FlexPepDock web server—high resolution modeling of peptide–protein interactions. </w:t>
      </w:r>
      <w:r>
        <w:rPr>
          <w:i/>
          <w:sz w:val="18"/>
          <w:szCs w:val="18"/>
        </w:rPr>
        <w:t>Nucleic Acids Res</w:t>
      </w:r>
      <w:r>
        <w:rPr>
          <w:sz w:val="18"/>
          <w:szCs w:val="18"/>
        </w:rPr>
        <w:t>. 2011;39:W249–W253. doi:10.1093/nar/gkr326.</w:t>
      </w:r>
    </w:p>
    <w:sectPr>
      <w:pgSz w:w="11906" w:h="16838"/>
      <w:pgMar w:top="1134" w:right="1134" w:bottom="1134" w:left="1134" w:header="600" w:footer="600" w:gutter="0"/>
      <w:cols w:space="720"/>
      <w:docGrid w:linePitch="312"/>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2"/>
        <w:szCs w:val="22"/>
        <w:lang w:val="en-US" w:eastAsia="zh-CN"/>
      </w:rPr>
    </w:rPrDefault>
    <w:pPrDefault>
      <w:pPr>
        <w:spacing w:after="120" w:line="276" w:lineRule="auto"/>
        <w:jc w:val="both"/>
      </w:pPr>
    </w:pPrDefault>
  </w:docDefaults>
  <w:style w:type="paragraph" w:default="1" w:styleId="Normal">
    <w:name w:val="Normal"/>
    <w:qFormat/>
    <w:pPr>
      <w:widowControl/>
    </w:pPr>
  </w:style>
  <w:style w:type="paragraph" w:styleId="Heading1">
    <w:name w:val="heading 1"/>
    <w:basedOn w:val="Normal"/>
    <w:next w:val="Normal"/>
    <w:qFormat/>
    <w:pPr>
      <w:keepNext/>
      <w:keepLines/>
      <w:spacing w:before="240" w:after="180"/>
      <w:jc w:val="center"/>
      <w:outlineLvl w:val="0"/>
    </w:pPr>
    <w:rPr>
      <w:rFonts w:ascii="Arial" w:hAnsi="Arial" w:eastAsia="黑体"/>
      <w:b/>
      <w:color w:val="17365D"/>
      <w:sz w:val="36"/>
      <w:szCs w:val="36"/>
    </w:rPr>
  </w:style>
  <w:style w:type="paragraph" w:styleId="Heading2">
    <w:name w:val="heading 2"/>
    <w:basedOn w:val="Normal"/>
    <w:next w:val="Normal"/>
    <w:qFormat/>
    <w:pPr>
      <w:keepNext/>
      <w:keepLines/>
      <w:spacing w:before="280" w:after="140"/>
      <w:outlineLvl w:val="1"/>
    </w:pPr>
    <w:rPr>
      <w:rFonts w:ascii="Arial" w:hAnsi="Arial" w:eastAsia="黑体"/>
      <w:b/>
      <w:color w:val="17365D"/>
      <w:sz w:val="30"/>
      <w:szCs w:val="30"/>
    </w:rPr>
  </w:style>
  <w:style w:type="paragraph" w:styleId="Heading3">
    <w:name w:val="heading 3"/>
    <w:basedOn w:val="Normal"/>
    <w:next w:val="Normal"/>
    <w:qFormat/>
    <w:pPr>
      <w:keepNext/>
      <w:spacing w:before="220" w:after="100"/>
      <w:outlineLvl w:val="2"/>
    </w:pPr>
    <w:rPr>
      <w:rFonts w:ascii="Arial" w:hAnsi="Arial" w:eastAsia="黑体"/>
      <w:b/>
      <w:color w:val="2F5597"/>
      <w:sz w:val="26"/>
      <w:szCs w:val="26"/>
    </w:rPr>
  </w:style>
  <w:style w:type="paragraph" w:styleId="Heading4">
    <w:name w:val="heading 4"/>
    <w:basedOn w:val="Normal"/>
    <w:next w:val="Normal"/>
    <w:qFormat/>
    <w:pPr>
      <w:keepNext/>
      <w:spacing w:before="180" w:after="80"/>
      <w:outlineLvl w:val="3"/>
    </w:pPr>
    <w:rPr>
      <w:rFonts w:ascii="Arial" w:hAnsi="Arial" w:eastAsia="黑体"/>
      <w:b/>
      <w:color w:val="365F91"/>
      <w:sz w:val="23"/>
      <w:szCs w:val="23"/>
    </w:rPr>
  </w:style>
  <w:style w:type="paragraph" w:styleId="Note">
    <w:name w:val="Note"/>
    <w:basedOn w:val="Normal"/>
    <w:pPr>
      <w:spacing w:after="80"/>
      <w:jc w:val="left"/>
    </w:pPr>
    <w:rPr>
      <w:color w:val="5B6573"/>
      <w:i/>
      <w:sz w:val="19"/>
      <w:szCs w:val="19"/>
    </w:rPr>
  </w:style>
  <w:style w:type="paragraph" w:styleId="Keywords">
    <w:name w:val="Keywords"/>
    <w:basedOn w:val="Normal"/>
    <w:pPr>
      <w:spacing w:after="160"/>
    </w:pPr>
    <w:rPr>
      <w:sz w:val="20"/>
      <w:szCs w:val="20"/>
    </w:rPr>
  </w:style>
  <w:style w:type="paragraph" w:styleId="Caption">
    <w:name w:val="Caption"/>
    <w:basedOn w:val="Normal"/>
    <w:pPr>
      <w:keepNext/>
      <w:spacing w:before="60" w:after="120"/>
      <w:jc w:val="left"/>
    </w:pPr>
    <w:rPr>
      <w:i/>
      <w:sz w:val="18"/>
      <w:szCs w:val="18"/>
    </w:rPr>
  </w:style>
  <w:style w:type="paragraph" w:styleId="Figure">
    <w:name w:val="Figure"/>
    <w:basedOn w:val="Normal"/>
    <w:pPr>
      <w:spacing w:before="120" w:after="60"/>
      <w:jc w:val="center"/>
    </w:pPr>
  </w:style>
  <w:style w:type="paragraph" w:styleId="Reference">
    <w:name w:val="Reference"/>
    <w:basedOn w:val="Normal"/>
    <w:pPr>
      <w:spacing w:after="60" w:line="220" w:lineRule="auto"/>
      <w:jc w:val="left"/>
    </w:pPr>
    <w:rPr>
      <w:sz w:val="18"/>
      <w:szCs w:val="18"/>
    </w:rPr>
  </w:style>
  <w:style w:type="paragraph" w:styleId="ListParagraph">
    <w:name w:val="List Paragraph"/>
    <w:basedOn w:val="Normal"/>
    <w:pPr>
      <w:spacing w:after="60"/>
    </w:pPr>
  </w:style>
  <w:style w:type="paragraph" w:styleId="TableText">
    <w:name w:val="Table Text"/>
    <w:basedOn w:val="Normal"/>
    <w:pPr>
      <w:spacing w:after="0"/>
      <w:jc w:val="left"/>
    </w:pPr>
    <w:rPr>
      <w:sz w:val="17"/>
      <w:szCs w:val="17"/>
    </w:rPr>
  </w:style>
  <w:style w:type="table" w:styleId="TableGrid">
    <w:name w:val="Table Grid"/>
    <w:tblPr>
      <w:tblBorders>
        <w:top w:val="single" w:sz="4" w:color="9AA6B2"/>
        <w:left w:val="single" w:sz="4" w:color="9AA6B2"/>
        <w:bottom w:val="single" w:sz="4" w:color="9AA6B2"/>
        <w:right w:val="single" w:sz="4" w:color="9AA6B2"/>
        <w:insideH w:val="single" w:sz="4" w:color="9AA6B2"/>
        <w:insideV w:val="single" w:sz="4" w:color="9AA6B2"/>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深度学习引导的牙周炎队列口腔微肽多模型优选</dc:title>
  <dcterms:created xsi:type="dcterms:W3CDTF">2026-08-17T00:00:00Z</dcterms:created>
  <dcterms:modified xsi:type="dcterms:W3CDTF">2026-08-17T00:00:00Z</dcterms:modified>
</cp:coreProperties>
</file>