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Pr>
          <w:noProof/>
          <w:vanish/>
          <w:sz w:val="2"/>
        </w:rPr>
      </w:pPr>
      <w:r>
        <w:rPr>
          <w:noProof/>
          <w:vanish/>
          <w:sz w:val="2"/>
        </w:rPr>
        <w:fldChar w:fldCharType="begin"/>
      </w:r>
      <w:r>
        <w:rPr>
          <w:noProof/>
          <w:vanish/>
          <w:sz w:val="2"/>
        </w:rPr>
        <w:instrText xml:space="preserve"> ADDIN ZOTERO_PREF &lt;data data-version="3" zotero-version="7.0.11"&gt;&lt;session id="cb7f11f8ce3d4586b1c03ba43b8406df"/&gt;&lt;style id="http://www.zotero.org/styles/vancouver" locale="en-US" hasBibliography="1" bibliographyStyleHasBeenSet="1"/&gt;&lt;prefs&gt;&lt;pref name="fieldType" value="Field"/&gt;&lt;pref name="automaticJournalAbbreviations" value="true"/&gt;&lt;pref name="noteType" value="0"/&gt;&lt;/prefs&gt;&lt;/data&gt;</w:instrText>
      </w:r>
      <w:r>
        <w:rPr>
          <w:noProof/>
          <w:vanish/>
          <w:sz w:val="2"/>
        </w:rPr>
        <w:fldChar w:fldCharType="end"/>
      </w:r>
    </w:p>
    <w:p>
      <w:pPr>
        <w:pStyle w:val="Heading1"/>
        <w:keepNext/>
      </w:pPr>
      <w:r>
        <w:t>Deep-learning screening, molecular docking and molecular dynamics of periodontitis oral micropeptides targeting human acetylcholinesterase</w:t>
      </w:r>
    </w:p>
    <w:p>
      <w:pPr>
        <w:pStyle w:val="Heading2"/>
        <w:keepNext/>
      </w:pPr>
      <w:r>
        <w:t>Abstract</w:t>
      </w:r>
    </w:p>
    <w:p>
      <w:pPr>
        <w:pStyle w:val="Normal"/>
      </w:pPr>
      <w:r>
        <w:t>Periodontitis has been tied to Alzheimer’s disease (AD) in clinical and experimental work, yet a peptide-level ligand that could act on a synaptic enzyme is still missing. Small open reading frames (sORFs) were predicted with EMBOSS getorf from PRJNA678453 metagenome-assembled genomes (24 healthy and 26 periodontitis samples) and scored with UniDL4BioPep. Twelve 7–9-residue peptides were docked into human acetylcholinesterase (AChE). Apo AChE and three complexes were then run for 100-ns molecular dynamics (MD). The healthy-labelled library (11,269,961 sequences) and the periodontitis-labelled library (11,721,988 sequences) were both passed through 22 UniDL4BioPep classifiers at ≥0.80. Only the periodontitis branch was then matched to oral genomic and metaproteomic catalogues. Hits on the blood–brain-barrier peptide head numbered 1,095,861 (9.72%) in the healthy library and 1,125,832 (9.60%) in the periodontitis library. Intersection with 33,786 unique, catalogue-supported peptides left 3,518 sequences; NTxPred2, mebipred and AnOxPePred then reduced that list to twelve explicit peptides. All twelve are 7–9 residues, carry a net positive charge at pH 7.4, and are leucine-rich.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periodontitis; micropeptide;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rPr>
          <w:noProof/>
        </w:rPr>
        <w:fldChar w:fldCharType="begin"/>
      </w:r>
      <w:r>
        <w:rPr>
          <w:noProof/>
        </w:rPr>
        <w:instrText xml:space="preserve"> ADDIN ZOTERO_ITEM CSL_CITATION {"citationID":"3884c4ca","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rPr>
          <w:noProof/>
        </w:rPr>
        <w:fldChar w:fldCharType="separate"/>
      </w:r>
      <w:r>
        <w:rPr>
          <w:noProof/>
        </w:rPr>
        <w:t>[1]</w:t>
      </w:r>
      <w:r>
        <w:rPr>
          <w:noProof/>
        </w:rPr>
        <w:fldChar w:fldCharType="end"/>
      </w:r>
      <w:r>
        <w:t xml:space="preserve">. Sequential cleavage of APP by β- and γ-secretases releases Aβ40 and Aβ42; soluble oligomers injure synapses; familial APP/PSEN mutations change peptide length and amount </w:t>
      </w:r>
      <w:r>
        <w:rPr>
          <w:noProof/>
        </w:rPr>
        <w:fldChar w:fldCharType="begin"/>
      </w:r>
      <w:r>
        <w:rPr>
          <w:noProof/>
        </w:rPr>
        <w:instrText xml:space="preserve"> ADDIN ZOTERO_ITEM CSL_CITATION {"citationID":"d82d35a8","properties":{"formattedCitation":"[2]","plainCitation":"[2]","dontUpdate":false,"noteIndex":0},"citationItems":[{"id":2,"uris":["http://zotero.org/users/local/items/selkoe2016amyloid"],"itemData":{"id":2,"type":"article-journal","title":"The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rPr>
          <w:noProof/>
        </w:rPr>
        <w:fldChar w:fldCharType="separate"/>
      </w:r>
      <w:r>
        <w:rPr>
          <w:noProof/>
        </w:rPr>
        <w:t>[2]</w:t>
      </w:r>
      <w:r>
        <w:rPr>
          <w:noProof/>
        </w:rPr>
        <w:fldChar w:fldCharType="end"/>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rPr>
          <w:noProof/>
        </w:rPr>
        <w:fldChar w:fldCharType="begin"/>
      </w:r>
      <w:r>
        <w:rPr>
          <w:noProof/>
        </w:rPr>
        <w:instrText xml:space="preserve"> ADDIN ZOTERO_ITEM CSL_CITATION {"citationID":"f1d0c99d","properties":{"formattedCitation":"[3]","plainCitation":"[3]","dontUpdate":false,"noteIndex":0},"citationItems":[{"id":3,"uris":["http://zotero.org/users/local/items/hampel2018cholinergic"],"itemData":{"id":3,"type":"article-journal","title":"The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[3]</w:t>
      </w:r>
      <w:r>
        <w:rPr>
          <w:noProof/>
        </w:rPr>
        <w:fldChar w:fldCharType="end"/>
      </w:r>
      <w:r>
        <w:t xml:space="preserve">. Catalysis is only part of the enzyme’s role. AChE accelerates Aβ fibril growth through the peripheral anionic site (PAS), and AChE–Aβ particles are more toxic than free peptide </w:t>
      </w:r>
      <w:r>
        <w:rPr>
          <w:noProof/>
        </w:rPr>
        <w:fldChar w:fldCharType="begin"/>
      </w:r>
      <w:r>
        <w:rPr>
          <w:noProof/>
        </w:rPr>
        <w:instrText xml:space="preserve"> ADDIN ZOTERO_ITEM CSL_CITATION {"citationID":"df520b55","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{"citationID":"76a9a859","properties":{"formattedCitation":"[5]","plainCitation":"[5]","dontUpdate":false,"noteIndex":0},"citationItems":[{"id":5,"uris":["http://zotero.org/users/local/items/deferrari2001motif"],"itemData":{"id":5,"type":"article-journal","title":"A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PAS-directed small molecules can block AChE-induced aggregation in biochemical assays </w:t>
      </w:r>
      <w:r>
        <w:rPr>
          <w:noProof/>
        </w:rPr>
        <w:fldChar w:fldCharType="begin"/>
      </w:r>
      <w:r>
        <w:rPr>
          <w:noProof/>
        </w:rPr>
        <w:instrText xml:space="preserve"> ADDIN ZOTERO_ITEM CSL_CITATION {"citationID":"d6799f45","properties":{"formattedCitation":"[6]","plainCitation":"[6]","dontUpdate":false,"noteIndex":0},"citationItems":[{"id":6,"uris":["http://zotero.org/users/local/items/bartolini2003pas"],"itemData":{"id":6,"type":"article-journal","title":"$\\beta$-Amyloid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rPr>
          <w:noProof/>
        </w:rPr>
        <w:fldChar w:fldCharType="begin"/>
      </w:r>
      <w:r>
        <w:rPr>
          <w:noProof/>
        </w:rPr>
        <w:instrText xml:space="preserve"> ADDIN ZOTERO_ITEM CSL_CITATION {"citationID":"ec2dd580","properties":{"formattedCitation":"[7]","plainCitation":"[7]","dontUpdate":false,"noteIndex":0},"citationItems":[{"id":7,"uris":["http://zotero.org/users/local/items/chalmers2025primer"],"itemData":{"id":7,"type":"article-journal","title":"The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rPr>
          <w:noProof/>
        </w:rPr>
        <w:fldChar w:fldCharType="separate"/>
      </w:r>
      <w:r>
        <w:rPr>
          <w:noProof/>
        </w:rPr>
        <w:t>[7]</w:t>
      </w:r>
      <w:r>
        <w:rPr>
          <w:noProof/>
        </w:rPr>
        <w:fldChar w:fldCharType="end"/>
      </w:r>
      <w:r>
        <w:t xml:space="preserve">. Oral activity is species- and site-specific, so 16S abundance cannot stand in for a molecular ligand </w:t>
      </w:r>
      <w:r>
        <w:rPr>
          <w:noProof/>
        </w:rPr>
        <w:fldChar w:fldCharType="begin"/>
      </w:r>
      <w:r>
        <w:rPr>
          <w:noProof/>
        </w:rPr>
        <w:instrText xml:space="preserve"> ADDIN ZOTERO_ITEM CSL_CITATION {"citationID":"efd2d550","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xml:space="preserve">. Meta-analyses report associations between periodontal disease and cognitive disorders, although effect sizes move with case definitions </w:t>
      </w:r>
      <w:r>
        <w:rPr>
          <w:noProof/>
        </w:rPr>
        <w:fldChar w:fldCharType="begin"/>
      </w:r>
      <w:r>
        <w:rPr>
          <w:noProof/>
        </w:rPr>
        <w:instrText xml:space="preserve"> ADDIN ZOTERO_ITEM CSL_CITATION {"citationID":"b0889318","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rPr>
          <w:noProof/>
        </w:rPr>
        <w:fldChar w:fldCharType="separate"/>
      </w:r>
      <w:r>
        <w:rPr>
          <w:noProof/>
        </w:rPr>
        <w:t>[9]</w:t>
      </w:r>
      <w:r>
        <w:rPr>
          <w:noProof/>
        </w:rPr>
        <w:fldChar w:fldCharType="end"/>
      </w:r>
      <w:r>
        <w:t xml:space="preserve">. In an AD cohort, periodontitis tracked later decline </w:t>
      </w:r>
      <w:r>
        <w:rPr>
          <w:noProof/>
        </w:rPr>
        <w:fldChar w:fldCharType="begin"/>
      </w:r>
      <w:r>
        <w:rPr>
          <w:noProof/>
        </w:rPr>
        <w:instrText xml:space="preserve"> ADDIN ZOTERO_ITEM CSL_CITATION {"citationID":"cd2db724","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[10]</w:t>
      </w:r>
      <w:r>
        <w:rPr>
          <w:noProof/>
        </w:rPr>
        <w:fldChar w:fldCharType="end"/>
      </w:r>
      <w:r>
        <w:t xml:space="preserve">. A two-sample Mendelian randomization analysis did not support a genetic causal effect of periodontal disease on AD </w:t>
      </w:r>
      <w:r>
        <w:rPr>
          <w:noProof/>
        </w:rPr>
        <w:fldChar w:fldCharType="begin"/>
      </w:r>
      <w:r>
        <w:rPr>
          <w:noProof/>
        </w:rPr>
        <w:instrText xml:space="preserve"> ADDIN ZOTERO_ITEM CSL_CITATION {"citationID":"28e1e675","properties":{"formattedCitation":"[11]","plainCitation":"[11]","dontUpdate":false,"noteIndex":0},"citationItems":[{"id":11,"uris":["http://zotero.org/users/local/items/hu2024mendelian"],"itemData":{"id":11,"type":"article-journal","title":"Periodontal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rPr>
          <w:noProof/>
        </w:rPr>
        <w:fldChar w:fldCharType="begin"/>
      </w:r>
      <w:r>
        <w:rPr>
          <w:noProof/>
        </w:rPr>
        <w:instrText xml:space="preserve"> ADDIN ZOTERO_ITEM CSL_CITATION {"citationID":"0cc04e39","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The organism and gingipains have been reported in AD brains </w:t>
      </w:r>
      <w:r>
        <w:rPr>
          <w:noProof/>
        </w:rPr>
        <w:fldChar w:fldCharType="begin"/>
      </w:r>
      <w:r>
        <w:rPr>
          <w:noProof/>
        </w:rPr>
        <w:instrText xml:space="preserve"> ADDIN ZOTERO_ITEM CSL_CITATION {"citationID":"0b35fdd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and repeated oral infection in mice produces neuroinflammation and Aβ-related changes </w:t>
      </w:r>
      <w:r>
        <w:rPr>
          <w:noProof/>
        </w:rPr>
        <w:fldChar w:fldCharType="begin"/>
      </w:r>
      <w:r>
        <w:rPr>
          <w:noProof/>
        </w:rPr>
        <w:instrText xml:space="preserve"> ADDIN ZOTERO_ITEM CSL_CITATION {"citationID":"eacc6db7","properties":{"formattedCitation":"[15]","plainCitation":"[15]","dontUpdate":false,"noteIndex":0},"citationItems":[{"id":15,"uris":["http://zotero.org/users/local/items/ilievski2018oral"],"itemData":{"id":15,"type":"article-journal","title":"Chronic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Those observations justify looking at oral products. They do not, by themselves, name a peptide that occupies AChE.</w:t>
      </w:r>
    </w:p>
    <w:p>
      <w:pPr>
        <w:pStyle w:val="BodyText"/>
      </w:pPr>
      <w:r>
        <w:t xml:space="preserve">Microbiome smORFs encode a large pool of uncharted small proteins </w:t>
      </w:r>
      <w:r>
        <w:rPr>
          <w:noProof/>
        </w:rPr>
        <w:fldChar w:fldCharType="begin"/>
      </w:r>
      <w:r>
        <w:rPr>
          <w:noProof/>
        </w:rPr>
        <w:instrText xml:space="preserve"> ADDIN ZOTERO_ITEM CSL_CITATION {"citationID":"a00ab7f4","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rPr>
          <w:noProof/>
        </w:rPr>
        <w:fldChar w:fldCharType="separate"/>
      </w:r>
      <w:r>
        <w:rPr>
          <w:noProof/>
        </w:rPr>
        <w:t>[16–17]</w:t>
      </w:r>
      <w:r>
        <w:rPr>
          <w:noProof/>
        </w:rPr>
        <w:fldChar w:fldCharType="end"/>
      </w:r>
      <w:r>
        <w:t xml:space="preserve">. Mining of human microbiomes for peptide antibiotics first scored millions of translated open reading frames and then applied experimental filters </w:t>
      </w:r>
      <w:r>
        <w:rPr>
          <w:noProof/>
        </w:rPr>
        <w:fldChar w:fldCharType="begin"/>
      </w:r>
      <w:r>
        <w:rPr>
          <w:noProof/>
        </w:rPr>
        <w:instrText xml:space="preserve"> ADDIN ZOTERO_ITEM CSL_CITATION {"citationID":"9eefdd7f","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supplies more than twenty binary bioactivity heads on ESM-2 embeddings </w:t>
      </w:r>
      <w:r>
        <w:rPr>
          <w:noProof/>
        </w:rPr>
        <w:fldChar w:fldCharType="begin"/>
      </w:r>
      <w:r>
        <w:rPr>
          <w:noProof/>
        </w:rPr>
        <w:instrText xml:space="preserve"> ADDIN ZOTERO_ITEM CSL_CITATION {"citationID":"cfa37ea6","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rPr>
          <w:noProof/>
        </w:rPr>
        <w:fldChar w:fldCharType="begin"/>
      </w:r>
      <w:r>
        <w:rPr>
          <w:noProof/>
        </w:rPr>
        <w:instrText xml:space="preserve"> ADDIN ZOTERO_ITEM CSL_CITATION {"citationID":"07e6af59","properties":{"formattedCitation":"[20]","plainCitation":"[20]","dontUpdate":false,"noteIndex":0},"citationItems":[{"id":20,"uris":["http://zotero.org/users/local/items/lushchekina2017amd"],"itemData":{"id":20,"type":"article-journal","title":"Role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AChE–Aβ trajectory remains bound, with the main residence at residues 344–361 </w:t>
      </w:r>
      <w:r>
        <w:rPr>
          <w:noProof/>
        </w:rPr>
        <w:fldChar w:fldCharType="begin"/>
      </w:r>
      <w:r>
        <w:rPr>
          <w:noProof/>
        </w:rPr>
        <w:instrText xml:space="preserve"> ADDIN ZOTERO_ITEM CSL_CITATION {"citationID":"4c2a3236","properties":{"formattedCitation":"[21]","plainCitation":"[21]","dontUpdate":false,"noteIndex":0},"citationItems":[{"id":21,"uris":["http://zotero.org/users/local/items/atanasova2020md"],"itemData":{"id":21,"type":"article-journal","title":"Molecular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PDB 4EY6 gives a 2.40 Å human AChE frame for docking </w:t>
      </w:r>
      <w:r>
        <w:rPr>
          <w:noProof/>
        </w:rPr>
        <w:fldChar w:fldCharType="begin"/>
      </w:r>
      <w:r>
        <w:rPr>
          <w:noProof/>
        </w:rPr>
        <w:instrText xml:space="preserve"> ADDIN ZOTERO_ITEM CSL_CITATION {"citationID":"d1509fbe","properties":{"formattedCitation":"[22]","plainCitation":"[22]","dontUpdate":false,"noteIndex":0},"citationItems":[{"id":22,"uris":["http://zotero.org/users/local/items/cheung2012ache"],"itemData":{"id":22,"type":"article-journal","title":"Structures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aromatic gorge that joins the catalytic triad to the PAS was mapped on </w:t>
      </w:r>
      <w:r>
        <w:rPr>
          <w:i/>
        </w:rPr>
        <w:t>Torpedo</w:t>
      </w:r>
      <w:r>
        <w:t xml:space="preserve"> AChE </w:t>
      </w:r>
      <w:r>
        <w:rPr>
          <w:noProof/>
        </w:rPr>
        <w:fldChar w:fldCharType="begin"/>
      </w:r>
      <w:r>
        <w:rPr>
          <w:noProof/>
        </w:rPr>
        <w:instrText xml:space="preserve"> ADDIN ZOTERO_ITEM CSL_CITATION {"citationID":"0ed48b7f","properties":{"formattedCitation":"[23]","plainCitation":"[23]","dontUpdate":false,"noteIndex":0},"citationItems":[{"id":23,"uris":["http://zotero.org/users/local/items/kryger1999e2020"],"itemData":{"id":23,"type":"article-journal","title":"Structure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[23]</w:t>
      </w:r>
      <w:r>
        <w:rPr>
          <w:noProof/>
        </w:rPr>
        <w:fldChar w:fldCharType="end"/>
      </w:r>
      <w:r>
        <w:t>. What remains missing is a peptide-level ligand drawn from oral smORFs and tested on that same PAS.</w:t>
      </w:r>
    </w:p>
    <w:p>
      <w:pPr>
        <w:pStyle w:val="BodyText"/>
      </w:pPr>
      <w:r>
        <w:t>Here we called sORFs with EMBOSS getorf from PRJNA678453 MAGs (24 healthy and 26 periodontitis samples), scored both libraries with 22 UniDL4BioPep heads, matched the periodontitis branch to oral genomic and metaproteomic catalogues, and reduced the list with NTxPred2, mebipred and AnOxPePred. Twelve 7–9-aa peptides were docked into human AChE. Three complexes, together with apo enzyme, were simulated for 100 ns, tracking peptide residence at the PAS with the fold closed.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 and sORF prediction</w:t>
      </w:r>
    </w:p>
    <w:p>
      <w:pPr>
        <w:pStyle w:val="BodyText"/>
      </w:pPr>
      <w:r>
        <w:t xml:space="preserve">The public source is PRJNA678453, paired oral metagenomes and metatranscriptomes from periodontitis and orally healthy donors </w:t>
      </w:r>
      <w:r>
        <w:rPr>
          <w:noProof/>
        </w:rPr>
        <w:fldChar w:fldCharType="begin"/>
      </w:r>
      <w:r>
        <w:rPr>
          <w:noProof/>
        </w:rPr>
        <w:instrText xml:space="preserve"> ADDIN ZOTERO_ITEM CSL_CITATION {"citationID":"8d0a7b70","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rPr>
          <w:noProof/>
        </w:rPr>
        <w:fldChar w:fldCharType="separate"/>
      </w:r>
      <w:r>
        <w:rPr>
          <w:noProof/>
        </w:rPr>
        <w:t>[8]</w:t>
      </w:r>
      <w:r>
        <w:rPr>
          <w:noProof/>
        </w:rP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rPr>
          <w:noProof/>
        </w:rPr>
        <w:fldChar w:fldCharType="begin"/>
      </w:r>
      <w:r>
        <w:rPr>
          <w:noProof/>
        </w:rPr>
        <w:instrText xml:space="preserve"> ADDIN ZOTERO_ITEM CSL_CITATION {"citationID":"70edb2f4","properties":{"formattedCitation":"[24]","plainCitation":"[24]","dontUpdate":false,"noteIndex":0},"citationItems":[{"id":24,"uris":["http://zotero.org/users/local/items/rice2000emboss"],"itemData":{"id":24,"type":"article-journal","title":"EMBOSS: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rPr>
          <w:noProof/>
        </w:rPr>
        <w:fldChar w:fldCharType="separate"/>
      </w:r>
      <w:r>
        <w:rPr>
          <w:noProof/>
        </w:rPr>
        <w:t>[24]</w:t>
      </w:r>
      <w:r>
        <w:rPr>
          <w:noProof/>
        </w:rP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rPr>
          <w:noProof/>
        </w:rPr>
        <w:fldChar w:fldCharType="begin"/>
      </w:r>
      <w:r>
        <w:rPr>
          <w:noProof/>
        </w:rPr>
        <w:instrText xml:space="preserve"> ADDIN ZOTERO_ITEM CSL_CITATION {"citationID":"98d9e43a","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[18–19]</w:t>
      </w:r>
      <w:r>
        <w:rPr>
          <w:noProof/>
        </w:rP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rPr>
          <w:noProof/>
        </w:rPr>
        <w:fldChar w:fldCharType="begin"/>
      </w:r>
      <w:r>
        <w:rPr>
          <w:noProof/>
        </w:rPr>
        <w:instrText xml:space="preserve"> ADDIN ZOTERO_ITEM CSL_CITATION {"citationID":"ba4673a3","properties":{"formattedCitation":"[25]","plainCitation":"[25]","dontUpdate":false,"noteIndex":0},"citationItems":[{"id":25,"uris":["http://zotero.org/users/local/items/gu2024bbb"],"itemData":{"id":25,"type":"article-journal","title":"Prediction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[25]</w:t>
      </w:r>
      <w:r>
        <w:rPr>
          <w:noProof/>
        </w:rPr>
        <w:fldChar w:fldCharType="end"/>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rPr>
          <w:noProof/>
        </w:rPr>
        <w:fldChar w:fldCharType="begin"/>
      </w:r>
      <w:r>
        <w:rPr>
          <w:noProof/>
        </w:rPr>
        <w:instrText xml:space="preserve"> ADDIN ZOTERO_ITEM CSL_CITATION {"citationID":"9ba68089","properties":{"formattedCitation":"[26–27]","plainCitation":"[26–27]","dontUpdate":false,"noteIndex":0},"citationItems":[{"id":26,"uris":["http://zotero.org/users/local/items/chen2010homd"],"itemData":{"id":26,"type":"article-journal","title":"The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rPr>
          <w:noProof/>
        </w:rPr>
        <w:fldChar w:fldCharType="separate"/>
      </w:r>
      <w:r>
        <w:rPr>
          <w:noProof/>
        </w:rPr>
        <w:t>[26–27]</w:t>
      </w:r>
      <w:r>
        <w:rPr>
          <w:noProof/>
        </w:rPr>
        <w:fldChar w:fldCharType="end"/>
      </w:r>
      <w:r>
        <w:t xml:space="preserve">. Salivary metaproteomes record peptides inside their own false-discovery framework </w:t>
      </w:r>
      <w:r>
        <w:rPr>
          <w:noProof/>
        </w:rPr>
        <w:fldChar w:fldCharType="begin"/>
      </w:r>
      <w:r>
        <w:rPr>
          <w:noProof/>
        </w:rPr>
        <w:instrText xml:space="preserve"> ADDIN ZOTERO_ITEM CSL_CITATION {"citationID":"0145a9b7","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rPr>
          <w:noProof/>
        </w:rPr>
        <w:fldChar w:fldCharType="separate"/>
      </w:r>
      <w:r>
        <w:rPr>
          <w:noProof/>
        </w:rPr>
        <w:t>[28]</w:t>
      </w:r>
      <w:r>
        <w:rPr>
          <w:noProof/>
        </w:rPr>
        <w:fldChar w:fldCharType="end"/>
      </w:r>
      <w:r>
        <w:t xml:space="preserve">. Further oral metaproteomic sets add sequence observations from other clinical contexts </w:t>
      </w:r>
      <w:r>
        <w:rPr>
          <w:noProof/>
        </w:rPr>
        <w:fldChar w:fldCharType="begin"/>
      </w:r>
      <w:r>
        <w:rPr>
          <w:noProof/>
        </w:rPr>
        <w:instrText xml:space="preserve"> ADDIN ZOTERO_ITEM CSL_CITATION {"citationID":"0da2fd7c","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[29–30]</w:t>
      </w:r>
      <w:r>
        <w:rPr>
          <w:noProof/>
        </w:rP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rPr>
          <w:noProof/>
        </w:rPr>
        <w:fldChar w:fldCharType="begin"/>
      </w:r>
      <w:r>
        <w:rPr>
          <w:noProof/>
        </w:rPr>
        <w:instrText xml:space="preserve"> ADDIN ZOTERO_ITEM CSL_CITATION {"citationID":"23677540","properties":{"formattedCitation":"[31]","plainCitation":"[31]","dontUpdate":false,"noteIndex":0},"citationItems":[{"id":31,"uris":["http://zotero.org/users/local/items/rathore2025ntxpred2"],"itemData":{"id":31,"type":"article-journal","title":"A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rPr>
          <w:noProof/>
        </w:rPr>
        <w:fldChar w:fldCharType="separate"/>
      </w:r>
      <w:r>
        <w:rPr>
          <w:noProof/>
        </w:rPr>
        <w:t>[31]</w:t>
      </w:r>
      <w:r>
        <w:rPr>
          <w:noProof/>
        </w:rP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rPr>
          <w:noProof/>
        </w:rPr>
        <w:fldChar w:fldCharType="begin"/>
      </w:r>
      <w:r>
        <w:rPr>
          <w:noProof/>
        </w:rPr>
        <w:instrText xml:space="preserve"> ADDIN ZOTERO_ITEM CSL_CITATION {"citationID":"74c45f65","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rPr>
          <w:noProof/>
        </w:rPr>
        <w:fldChar w:fldCharType="separate"/>
      </w:r>
      <w:r>
        <w:rPr>
          <w:noProof/>
        </w:rPr>
        <w:t>[32]</w:t>
      </w:r>
      <w:r>
        <w:rPr>
          <w:noProof/>
        </w:rP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rPr>
          <w:noProof/>
        </w:rPr>
        <w:fldChar w:fldCharType="begin"/>
      </w:r>
      <w:r>
        <w:rPr>
          <w:noProof/>
        </w:rPr>
        <w:instrText xml:space="preserve"> ADDIN ZOTERO_ITEM CSL_CITATION {"citationID":"56ae7ac6","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[33]</w:t>
      </w:r>
      <w:r>
        <w:rPr>
          <w:noProof/>
        </w:rPr>
        <w:fldChar w:fldCharType="end"/>
      </w:r>
      <w:r>
        <w:t xml:space="preserve">. Positives were taken from BIOPEP-UWM and from antioxidant-peptide papers; each sequence is labelled FRS, chelator, or both. Reported FRS performance exceeds a k-NN baseline; the chelator head is weaker because that training subset is small. Both heads emit a score in </w:t>
      </w:r>
      <w:r>
        <w:t>[0, 1]</w:t>
      </w:r>
      <w:r>
        <w:t xml:space="preserve">.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rPr>
          <w:noProof/>
        </w:rPr>
        <w:fldChar w:fldCharType="begin"/>
      </w:r>
      <w:r>
        <w:rPr>
          <w:noProof/>
        </w:rPr>
        <w:instrText xml:space="preserve"> ADDIN ZOTERO_ITEM CSL_CITATION {"citationID":"2d42d989","properties":{"formattedCitation":"[22]","plainCitation":"[22]","dontUpdate":false,"noteIndex":0},"citationItems":[{"id":22,"uris":["http://zotero.org/users/local/items/cheung2012ache"],"itemData":{"id":22,"type":"article-journal","title":"Structures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The twelve ligands ALLLHRC, FCLHLQLR, FLLHTTR, HLLTLKKHV, HLPLLHRCC, HVLLLRQCA, LLHLPKRTT, LLHPLRC, LLHPLRL, WLLVHLKK, YHHLLCRR and YLSLLQR were docked with AutoDock Vina, exhaustiveness 32 </w:t>
      </w:r>
      <w:r>
        <w:rPr>
          <w:noProof/>
        </w:rPr>
        <w:fldChar w:fldCharType="begin"/>
      </w:r>
      <w:r>
        <w:rPr>
          <w:noProof/>
        </w:rPr>
        <w:instrText xml:space="preserve"> ADDIN ZOTERO_ITEM CSL_CITATION {"citationID":"05f3de6d","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rPr>
          <w:noProof/>
        </w:rPr>
        <w:fldChar w:fldCharType="begin"/>
      </w:r>
      <w:r>
        <w:rPr>
          <w:noProof/>
        </w:rPr>
        <w:instrText xml:space="preserve"> ADDIN ZOTERO_ITEM CSL_CITATION {"citationID":"3369c2eb","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rPr>
          <w:noProof/>
        </w:rPr>
        <w:fldChar w:fldCharType="separate"/>
      </w:r>
      <w:r>
        <w:rPr>
          <w:noProof/>
        </w:rPr>
        <w:t>[36–37]</w:t>
      </w:r>
      <w:r>
        <w:rPr>
          <w:noProof/>
        </w:rPr>
        <w:fldChar w:fldCharType="end"/>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rPr>
          <w:noProof/>
        </w:rPr>
        <w:fldChar w:fldCharType="begin"/>
      </w:r>
      <w:r>
        <w:rPr>
          <w:noProof/>
        </w:rPr>
        <w:instrText xml:space="preserve"> ADDIN ZOTERO_ITEM CSL_CITATION {"citationID":"2dbc7426","properties":{"formattedCitation":"[21]","plainCitation":"[21]","dontUpdate":false,"noteIndex":0},"citationItems":[{"id":21,"uris":["http://zotero.org/users/local/items/atanasova2020md"],"itemData":{"id":21,"type":"article-journal","title":"Molecular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1,236,442</w:t>
            </w:r>
          </w:p>
        </w:tc>
        <w:tc>
          <w:tcPr>
            <w:tcW w:w="2340" w:type="dxa"/>
            <w:vAlign w:val="center"/>
          </w:tcPr>
          <w:p>
            <w:pPr>
              <w:pStyle w:val="TableText"/>
              <w:spacing w:before="0" w:after="0" w:line="240" w:lineRule="auto"/>
            </w:pPr>
            <w:r>
              <w:rPr>
                <w:sz w:val="20"/>
                <w:szCs w:val="20"/>
              </w:rPr>
              <w:t>10.55</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139,056</w:t>
            </w:r>
          </w:p>
        </w:tc>
        <w:tc>
          <w:tcPr>
            <w:tcW w:w="2340" w:type="dxa"/>
            <w:vAlign w:val="center"/>
          </w:tcPr>
          <w:p>
            <w:pPr>
              <w:pStyle w:val="TableText"/>
              <w:spacing w:before="0" w:after="0" w:line="240" w:lineRule="auto"/>
            </w:pPr>
            <w:r>
              <w:rPr>
                <w:sz w:val="20"/>
                <w:szCs w:val="20"/>
              </w:rPr>
              <w:t>1.19</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1,831,185</w:t>
            </w:r>
          </w:p>
        </w:tc>
        <w:tc>
          <w:tcPr>
            <w:tcW w:w="2340" w:type="dxa"/>
            <w:vAlign w:val="center"/>
          </w:tcPr>
          <w:p>
            <w:pPr>
              <w:pStyle w:val="TableText"/>
              <w:spacing w:before="0" w:after="0" w:line="240" w:lineRule="auto"/>
            </w:pPr>
            <w:r>
              <w:rPr>
                <w:sz w:val="20"/>
                <w:szCs w:val="20"/>
              </w:rPr>
              <w:t>15.62</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3,100,811</w:t>
            </w:r>
          </w:p>
        </w:tc>
        <w:tc>
          <w:tcPr>
            <w:tcW w:w="2340" w:type="dxa"/>
            <w:vAlign w:val="center"/>
          </w:tcPr>
          <w:p>
            <w:pPr>
              <w:pStyle w:val="TableText"/>
              <w:spacing w:before="0" w:after="0" w:line="240" w:lineRule="auto"/>
            </w:pPr>
            <w:r>
              <w:rPr>
                <w:sz w:val="20"/>
                <w:szCs w:val="20"/>
              </w:rPr>
              <w:t>26.45</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10,302,093</w:t>
            </w:r>
          </w:p>
        </w:tc>
        <w:tc>
          <w:tcPr>
            <w:tcW w:w="2340" w:type="dxa"/>
            <w:vAlign w:val="center"/>
          </w:tcPr>
          <w:p>
            <w:pPr>
              <w:pStyle w:val="TableText"/>
              <w:spacing w:before="0" w:after="0" w:line="240" w:lineRule="auto"/>
            </w:pPr>
            <w:r>
              <w:rPr>
                <w:sz w:val="20"/>
                <w:szCs w:val="20"/>
              </w:rPr>
              <w:t>87.89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695,608</w:t>
            </w:r>
          </w:p>
        </w:tc>
        <w:tc>
          <w:tcPr>
            <w:tcW w:w="2340" w:type="dxa"/>
            <w:vAlign w:val="center"/>
          </w:tcPr>
          <w:p>
            <w:pPr>
              <w:pStyle w:val="TableText"/>
              <w:spacing w:before="0" w:after="0" w:line="240" w:lineRule="auto"/>
            </w:pPr>
            <w:r>
              <w:rPr>
                <w:sz w:val="20"/>
                <w:szCs w:val="20"/>
              </w:rPr>
              <w:t>5.93</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2,010,724</w:t>
            </w:r>
          </w:p>
        </w:tc>
        <w:tc>
          <w:tcPr>
            <w:tcW w:w="2340" w:type="dxa"/>
            <w:vAlign w:val="center"/>
          </w:tcPr>
          <w:p>
            <w:pPr>
              <w:pStyle w:val="TableText"/>
              <w:spacing w:before="0" w:after="0" w:line="240" w:lineRule="auto"/>
            </w:pPr>
            <w:r>
              <w:rPr>
                <w:sz w:val="20"/>
                <w:szCs w:val="20"/>
              </w:rPr>
              <w:t>17.15</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4,491,507</w:t>
            </w:r>
          </w:p>
        </w:tc>
        <w:tc>
          <w:tcPr>
            <w:tcW w:w="2340" w:type="dxa"/>
            <w:vAlign w:val="center"/>
          </w:tcPr>
          <w:p>
            <w:pPr>
              <w:pStyle w:val="TableText"/>
              <w:spacing w:before="0" w:after="0" w:line="240" w:lineRule="auto"/>
            </w:pPr>
            <w:r>
              <w:rPr>
                <w:sz w:val="20"/>
                <w:szCs w:val="20"/>
              </w:rPr>
              <w:t>38.32</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2,357,718</w:t>
            </w:r>
          </w:p>
        </w:tc>
        <w:tc>
          <w:tcPr>
            <w:tcW w:w="2340" w:type="dxa"/>
            <w:vAlign w:val="center"/>
          </w:tcPr>
          <w:p>
            <w:pPr>
              <w:pStyle w:val="TableText"/>
              <w:spacing w:before="0" w:after="0" w:line="240" w:lineRule="auto"/>
            </w:pPr>
            <w:r>
              <w:rPr>
                <w:sz w:val="20"/>
                <w:szCs w:val="20"/>
              </w:rPr>
              <w:t>20.11</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2,015,652</w:t>
            </w:r>
          </w:p>
        </w:tc>
        <w:tc>
          <w:tcPr>
            <w:tcW w:w="2340" w:type="dxa"/>
            <w:vAlign w:val="center"/>
          </w:tcPr>
          <w:p>
            <w:pPr>
              <w:pStyle w:val="TableText"/>
              <w:spacing w:before="0" w:after="0" w:line="240" w:lineRule="auto"/>
            </w:pPr>
            <w:r>
              <w:rPr>
                <w:sz w:val="20"/>
                <w:szCs w:val="20"/>
              </w:rPr>
              <w:t>17.20</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843,977</w:t>
            </w:r>
          </w:p>
        </w:tc>
        <w:tc>
          <w:tcPr>
            <w:tcW w:w="2340" w:type="dxa"/>
            <w:vAlign w:val="center"/>
          </w:tcPr>
          <w:p>
            <w:pPr>
              <w:pStyle w:val="TableText"/>
              <w:spacing w:before="0" w:after="0" w:line="240" w:lineRule="auto"/>
            </w:pPr>
            <w:r>
              <w:rPr>
                <w:sz w:val="20"/>
                <w:szCs w:val="20"/>
              </w:rPr>
              <w:t>7.20</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2,666,759</w:t>
            </w:r>
          </w:p>
        </w:tc>
        <w:tc>
          <w:tcPr>
            <w:tcW w:w="2340" w:type="dxa"/>
            <w:vAlign w:val="center"/>
          </w:tcPr>
          <w:p>
            <w:pPr>
              <w:pStyle w:val="TableText"/>
              <w:spacing w:before="0" w:after="0" w:line="240" w:lineRule="auto"/>
            </w:pPr>
            <w:r>
              <w:rPr>
                <w:sz w:val="20"/>
                <w:szCs w:val="20"/>
              </w:rPr>
              <w:t>22.75</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9.60</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5,462,493</w:t>
            </w:r>
          </w:p>
        </w:tc>
        <w:tc>
          <w:tcPr>
            <w:tcW w:w="2340" w:type="dxa"/>
            <w:vAlign w:val="center"/>
          </w:tcPr>
          <w:p>
            <w:pPr>
              <w:pStyle w:val="TableText"/>
              <w:spacing w:before="0" w:after="0" w:line="240" w:lineRule="auto"/>
            </w:pPr>
            <w:r>
              <w:rPr>
                <w:sz w:val="20"/>
                <w:szCs w:val="20"/>
              </w:rPr>
              <w:t>46.60</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1,714,373</w:t>
            </w:r>
          </w:p>
        </w:tc>
        <w:tc>
          <w:tcPr>
            <w:tcW w:w="2340" w:type="dxa"/>
            <w:vAlign w:val="center"/>
          </w:tcPr>
          <w:p>
            <w:pPr>
              <w:pStyle w:val="TableText"/>
              <w:spacing w:before="0" w:after="0" w:line="240" w:lineRule="auto"/>
            </w:pPr>
            <w:r>
              <w:rPr>
                <w:sz w:val="20"/>
                <w:szCs w:val="20"/>
              </w:rPr>
              <w:t>14.63</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2,597,877</w:t>
            </w:r>
          </w:p>
        </w:tc>
        <w:tc>
          <w:tcPr>
            <w:tcW w:w="2340" w:type="dxa"/>
            <w:vAlign w:val="center"/>
          </w:tcPr>
          <w:p>
            <w:pPr>
              <w:pStyle w:val="TableText"/>
              <w:spacing w:before="0" w:after="0" w:line="240" w:lineRule="auto"/>
            </w:pPr>
            <w:r>
              <w:rPr>
                <w:sz w:val="20"/>
                <w:szCs w:val="20"/>
              </w:rPr>
              <w:t>22.16</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2,960,118</w:t>
            </w:r>
          </w:p>
        </w:tc>
        <w:tc>
          <w:tcPr>
            <w:tcW w:w="2340" w:type="dxa"/>
            <w:vAlign w:val="center"/>
          </w:tcPr>
          <w:p>
            <w:pPr>
              <w:pStyle w:val="TableText"/>
              <w:spacing w:before="0" w:after="0" w:line="240" w:lineRule="auto"/>
            </w:pPr>
            <w:r>
              <w:rPr>
                <w:sz w:val="20"/>
                <w:szCs w:val="20"/>
              </w:rPr>
              <w:t>25.25</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3,275,203</w:t>
            </w:r>
          </w:p>
        </w:tc>
        <w:tc>
          <w:tcPr>
            <w:tcW w:w="2340" w:type="dxa"/>
            <w:vAlign w:val="center"/>
          </w:tcPr>
          <w:p>
            <w:pPr>
              <w:pStyle w:val="TableText"/>
              <w:spacing w:before="0" w:after="0" w:line="240" w:lineRule="auto"/>
            </w:pPr>
            <w:r>
              <w:rPr>
                <w:sz w:val="20"/>
                <w:szCs w:val="20"/>
              </w:rPr>
              <w:t>27.94</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1,714,299</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2,521,106</w:t>
            </w:r>
          </w:p>
        </w:tc>
        <w:tc>
          <w:tcPr>
            <w:tcW w:w="2340" w:type="dxa"/>
            <w:vAlign w:val="center"/>
          </w:tcPr>
          <w:p>
            <w:pPr>
              <w:pStyle w:val="TableText"/>
              <w:spacing w:before="0" w:after="0" w:line="240" w:lineRule="auto"/>
            </w:pPr>
            <w:r>
              <w:rPr>
                <w:sz w:val="20"/>
                <w:szCs w:val="20"/>
              </w:rPr>
              <w:t>21.51</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1,713,798</w:t>
            </w:r>
          </w:p>
        </w:tc>
        <w:tc>
          <w:tcPr>
            <w:tcW w:w="2340" w:type="dxa"/>
            <w:vAlign w:val="center"/>
          </w:tcPr>
          <w:p>
            <w:pPr>
              <w:pStyle w:val="TableText"/>
              <w:spacing w:before="0" w:after="0" w:line="240" w:lineRule="auto"/>
            </w:pPr>
            <w:r>
              <w:rPr>
                <w:sz w:val="20"/>
                <w:szCs w:val="20"/>
              </w:rPr>
              <w:t>14.62</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925,627</w:t>
            </w:r>
          </w:p>
        </w:tc>
        <w:tc>
          <w:tcPr>
            <w:tcW w:w="2340"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No.</w:t>
            </w:r>
          </w:p>
        </w:tc>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1</w:t>
            </w:r>
          </w:p>
        </w:tc>
        <w:tc>
          <w:tcPr>
            <w:tcW w:w="2340" w:type="dxa"/>
            <w:vAlign w:val="center"/>
          </w:tcPr>
          <w:p>
            <w:pPr>
              <w:pStyle w:val="TableText"/>
              <w:spacing w:before="0" w:after="0" w:line="240" w:lineRule="auto"/>
            </w:pPr>
            <w:r>
              <w:rPr>
                <w:sz w:val="20"/>
                <w:szCs w:val="20"/>
              </w:rPr>
              <w:t>ACE inhibitory</w:t>
            </w:r>
          </w:p>
        </w:tc>
        <w:tc>
          <w:tcPr>
            <w:tcW w:w="2340" w:type="dxa"/>
            <w:vAlign w:val="center"/>
          </w:tcPr>
          <w:p>
            <w:pPr>
              <w:pStyle w:val="TableText"/>
              <w:spacing w:before="0" w:after="0" w:line="240" w:lineRule="auto"/>
            </w:pPr>
            <w:r>
              <w:rPr>
                <w:sz w:val="20"/>
                <w:szCs w:val="20"/>
              </w:rPr>
              <w:t>1,237,451</w:t>
            </w:r>
          </w:p>
        </w:tc>
        <w:tc>
          <w:tcPr>
            <w:tcW w:w="2340" w:type="dxa"/>
            <w:vAlign w:val="center"/>
          </w:tcPr>
          <w:p>
            <w:pPr>
              <w:pStyle w:val="TableText"/>
              <w:spacing w:before="0" w:after="0" w:line="240" w:lineRule="auto"/>
            </w:pPr>
            <w:r>
              <w:rPr>
                <w:sz w:val="20"/>
                <w:szCs w:val="20"/>
              </w:rPr>
              <w:t>10.98</w:t>
            </w:r>
          </w:p>
        </w:tc>
      </w:tr>
      <w:tr>
        <w:tc>
          <w:tcPr>
            <w:tcW w:w="2340" w:type="dxa"/>
            <w:vAlign w:val="center"/>
          </w:tcPr>
          <w:p>
            <w:pPr>
              <w:pStyle w:val="TableText"/>
              <w:spacing w:before="0" w:after="0" w:line="240" w:lineRule="auto"/>
            </w:pPr>
            <w:r>
              <w:rPr>
                <w:sz w:val="20"/>
                <w:szCs w:val="20"/>
              </w:rPr>
              <w:t>2</w:t>
            </w:r>
          </w:p>
        </w:tc>
        <w:tc>
          <w:tcPr>
            <w:tcW w:w="2340" w:type="dxa"/>
            <w:vAlign w:val="center"/>
          </w:tcPr>
          <w:p>
            <w:pPr>
              <w:pStyle w:val="TableText"/>
              <w:spacing w:before="0" w:after="0" w:line="240" w:lineRule="auto"/>
            </w:pPr>
            <w:r>
              <w:rPr>
                <w:sz w:val="20"/>
                <w:szCs w:val="20"/>
              </w:rPr>
              <w:t>DPP-IV inhibitory</w:t>
            </w:r>
          </w:p>
        </w:tc>
        <w:tc>
          <w:tcPr>
            <w:tcW w:w="2340" w:type="dxa"/>
            <w:vAlign w:val="center"/>
          </w:tcPr>
          <w:p>
            <w:pPr>
              <w:pStyle w:val="TableText"/>
              <w:spacing w:before="0" w:after="0" w:line="240" w:lineRule="auto"/>
            </w:pPr>
            <w:r>
              <w:rPr>
                <w:sz w:val="20"/>
                <w:szCs w:val="20"/>
              </w:rPr>
              <w:t>131,426</w:t>
            </w:r>
          </w:p>
        </w:tc>
        <w:tc>
          <w:tcPr>
            <w:tcW w:w="2340" w:type="dxa"/>
            <w:vAlign w:val="center"/>
          </w:tcPr>
          <w:p>
            <w:pPr>
              <w:pStyle w:val="TableText"/>
              <w:spacing w:before="0" w:after="0" w:line="240" w:lineRule="auto"/>
            </w:pPr>
            <w:r>
              <w:rPr>
                <w:sz w:val="20"/>
                <w:szCs w:val="20"/>
              </w:rPr>
              <w:t>1.17</w:t>
            </w:r>
          </w:p>
        </w:tc>
      </w:tr>
      <w:tr>
        <w:tc>
          <w:tcPr>
            <w:tcW w:w="2340" w:type="dxa"/>
            <w:vAlign w:val="center"/>
          </w:tcPr>
          <w:p>
            <w:pPr>
              <w:pStyle w:val="TableText"/>
              <w:spacing w:before="0" w:after="0" w:line="240" w:lineRule="auto"/>
            </w:pPr>
            <w:r>
              <w:rPr>
                <w:sz w:val="20"/>
                <w:szCs w:val="20"/>
              </w:rPr>
              <w:t>3</w:t>
            </w:r>
          </w:p>
        </w:tc>
        <w:tc>
          <w:tcPr>
            <w:tcW w:w="2340" w:type="dxa"/>
            <w:vAlign w:val="center"/>
          </w:tcPr>
          <w:p>
            <w:pPr>
              <w:pStyle w:val="TableText"/>
              <w:spacing w:before="0" w:after="0" w:line="240" w:lineRule="auto"/>
            </w:pPr>
            <w:r>
              <w:rPr>
                <w:sz w:val="20"/>
                <w:szCs w:val="20"/>
              </w:rPr>
              <w:t>Bitter</w:t>
            </w:r>
          </w:p>
        </w:tc>
        <w:tc>
          <w:tcPr>
            <w:tcW w:w="2340" w:type="dxa"/>
            <w:vAlign w:val="center"/>
          </w:tcPr>
          <w:p>
            <w:pPr>
              <w:pStyle w:val="TableText"/>
              <w:spacing w:before="0" w:after="0" w:line="240" w:lineRule="auto"/>
            </w:pPr>
            <w:r>
              <w:rPr>
                <w:sz w:val="20"/>
                <w:szCs w:val="20"/>
              </w:rPr>
              <w:t>1,840,368</w:t>
            </w:r>
          </w:p>
        </w:tc>
        <w:tc>
          <w:tcPr>
            <w:tcW w:w="2340" w:type="dxa"/>
            <w:vAlign w:val="center"/>
          </w:tcPr>
          <w:p>
            <w:pPr>
              <w:pStyle w:val="TableText"/>
              <w:spacing w:before="0" w:after="0" w:line="240" w:lineRule="auto"/>
            </w:pPr>
            <w:r>
              <w:rPr>
                <w:sz w:val="20"/>
                <w:szCs w:val="20"/>
              </w:rPr>
              <w:t>16.33</w:t>
            </w:r>
          </w:p>
        </w:tc>
      </w:tr>
      <w:tr>
        <w:tc>
          <w:tcPr>
            <w:tcW w:w="2340" w:type="dxa"/>
            <w:vAlign w:val="center"/>
          </w:tcPr>
          <w:p>
            <w:pPr>
              <w:pStyle w:val="TableText"/>
              <w:spacing w:before="0" w:after="0" w:line="240" w:lineRule="auto"/>
            </w:pPr>
            <w:r>
              <w:rPr>
                <w:sz w:val="20"/>
                <w:szCs w:val="20"/>
              </w:rPr>
              <w:t>4</w:t>
            </w:r>
          </w:p>
        </w:tc>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3,094,287</w:t>
            </w:r>
          </w:p>
        </w:tc>
        <w:tc>
          <w:tcPr>
            <w:tcW w:w="2340" w:type="dxa"/>
            <w:vAlign w:val="center"/>
          </w:tcPr>
          <w:p>
            <w:pPr>
              <w:pStyle w:val="TableText"/>
              <w:spacing w:before="0" w:after="0" w:line="240" w:lineRule="auto"/>
            </w:pPr>
            <w:r>
              <w:rPr>
                <w:sz w:val="20"/>
                <w:szCs w:val="20"/>
              </w:rPr>
              <w:t>27.46</w:t>
            </w:r>
          </w:p>
        </w:tc>
      </w:tr>
      <w:tr>
        <w:tc>
          <w:tcPr>
            <w:tcW w:w="2340" w:type="dxa"/>
            <w:vAlign w:val="center"/>
          </w:tcPr>
          <w:p>
            <w:pPr>
              <w:pStyle w:val="TableText"/>
              <w:spacing w:before="0" w:after="0" w:line="240" w:lineRule="auto"/>
            </w:pPr>
            <w:r>
              <w:rPr>
                <w:sz w:val="20"/>
                <w:szCs w:val="20"/>
              </w:rPr>
              <w:t>5</w:t>
            </w:r>
          </w:p>
        </w:tc>
        <w:tc>
          <w:tcPr>
            <w:tcW w:w="2340" w:type="dxa"/>
            <w:vAlign w:val="center"/>
          </w:tcPr>
          <w:p>
            <w:pPr>
              <w:pStyle w:val="TableText"/>
              <w:spacing w:before="0" w:after="0" w:line="240" w:lineRule="auto"/>
            </w:pPr>
            <w:r>
              <w:rPr>
                <w:sz w:val="20"/>
                <w:szCs w:val="20"/>
              </w:rPr>
              <w:t>Antimicrobial</w:t>
            </w:r>
          </w:p>
        </w:tc>
        <w:tc>
          <w:tcPr>
            <w:tcW w:w="2340" w:type="dxa"/>
            <w:vAlign w:val="center"/>
          </w:tcPr>
          <w:p>
            <w:pPr>
              <w:pStyle w:val="TableText"/>
              <w:spacing w:before="0" w:after="0" w:line="240" w:lineRule="auto"/>
            </w:pPr>
            <w:r>
              <w:rPr>
                <w:sz w:val="20"/>
                <w:szCs w:val="20"/>
              </w:rPr>
              <w:t>9,882,657</w:t>
            </w:r>
          </w:p>
        </w:tc>
        <w:tc>
          <w:tcPr>
            <w:tcW w:w="2340" w:type="dxa"/>
            <w:vAlign w:val="center"/>
          </w:tcPr>
          <w:p>
            <w:pPr>
              <w:pStyle w:val="TableText"/>
              <w:spacing w:before="0" w:after="0" w:line="240" w:lineRule="auto"/>
            </w:pPr>
            <w:r>
              <w:rPr>
                <w:sz w:val="20"/>
                <w:szCs w:val="20"/>
              </w:rPr>
              <w:t>87.69</w:t>
            </w:r>
          </w:p>
        </w:tc>
      </w:tr>
      <w:tr>
        <w:tc>
          <w:tcPr>
            <w:tcW w:w="2340" w:type="dxa"/>
            <w:vAlign w:val="center"/>
          </w:tcPr>
          <w:p>
            <w:pPr>
              <w:pStyle w:val="TableText"/>
              <w:spacing w:before="0" w:after="0" w:line="240" w:lineRule="auto"/>
            </w:pPr>
            <w:r>
              <w:rPr>
                <w:sz w:val="20"/>
                <w:szCs w:val="20"/>
              </w:rPr>
              <w:t>6</w:t>
            </w:r>
          </w:p>
        </w:tc>
        <w:tc>
          <w:tcPr>
            <w:tcW w:w="2340" w:type="dxa"/>
            <w:vAlign w:val="center"/>
          </w:tcPr>
          <w:p>
            <w:pPr>
              <w:pStyle w:val="TableText"/>
              <w:spacing w:before="0" w:after="0" w:line="240" w:lineRule="auto"/>
            </w:pPr>
            <w:r>
              <w:rPr>
                <w:sz w:val="20"/>
                <w:szCs w:val="20"/>
              </w:rPr>
              <w:t>Antimalarial (alternative)</w:t>
            </w:r>
          </w:p>
        </w:tc>
        <w:tc>
          <w:tcPr>
            <w:tcW w:w="2340" w:type="dxa"/>
            <w:vAlign w:val="center"/>
          </w:tcPr>
          <w:p>
            <w:pPr>
              <w:pStyle w:val="TableText"/>
              <w:spacing w:before="0" w:after="0" w:line="240" w:lineRule="auto"/>
            </w:pPr>
            <w:r>
              <w:rPr>
                <w:sz w:val="20"/>
                <w:szCs w:val="20"/>
              </w:rPr>
              <w:t>703,632</w:t>
            </w:r>
          </w:p>
        </w:tc>
        <w:tc>
          <w:tcPr>
            <w:tcW w:w="2340" w:type="dxa"/>
            <w:vAlign w:val="center"/>
          </w:tcPr>
          <w:p>
            <w:pPr>
              <w:pStyle w:val="TableText"/>
              <w:spacing w:before="0" w:after="0" w:line="240" w:lineRule="auto"/>
            </w:pPr>
            <w:r>
              <w:rPr>
                <w:sz w:val="20"/>
                <w:szCs w:val="20"/>
              </w:rPr>
              <w:t>6.24</w:t>
            </w:r>
          </w:p>
        </w:tc>
      </w:tr>
      <w:tr>
        <w:tc>
          <w:tcPr>
            <w:tcW w:w="2340" w:type="dxa"/>
            <w:vAlign w:val="center"/>
          </w:tcPr>
          <w:p>
            <w:pPr>
              <w:pStyle w:val="TableText"/>
              <w:spacing w:before="0" w:after="0" w:line="240" w:lineRule="auto"/>
            </w:pPr>
            <w:r>
              <w:rPr>
                <w:sz w:val="20"/>
                <w:szCs w:val="20"/>
              </w:rPr>
              <w:t>7</w:t>
            </w:r>
          </w:p>
        </w:tc>
        <w:tc>
          <w:tcPr>
            <w:tcW w:w="2340" w:type="dxa"/>
            <w:vAlign w:val="center"/>
          </w:tcPr>
          <w:p>
            <w:pPr>
              <w:pStyle w:val="TableText"/>
              <w:spacing w:before="0" w:after="0" w:line="240" w:lineRule="auto"/>
            </w:pPr>
            <w:r>
              <w:rPr>
                <w:sz w:val="20"/>
                <w:szCs w:val="20"/>
              </w:rPr>
              <w:t>Antimalarial (main)</w:t>
            </w:r>
          </w:p>
        </w:tc>
        <w:tc>
          <w:tcPr>
            <w:tcW w:w="2340" w:type="dxa"/>
            <w:vAlign w:val="center"/>
          </w:tcPr>
          <w:p>
            <w:pPr>
              <w:pStyle w:val="TableText"/>
              <w:spacing w:before="0" w:after="0" w:line="240" w:lineRule="auto"/>
            </w:pPr>
            <w:r>
              <w:rPr>
                <w:sz w:val="20"/>
                <w:szCs w:val="20"/>
              </w:rPr>
              <w:t>1,954,667</w:t>
            </w:r>
          </w:p>
        </w:tc>
        <w:tc>
          <w:tcPr>
            <w:tcW w:w="2340" w:type="dxa"/>
            <w:vAlign w:val="center"/>
          </w:tcPr>
          <w:p>
            <w:pPr>
              <w:pStyle w:val="TableText"/>
              <w:spacing w:before="0" w:after="0" w:line="240" w:lineRule="auto"/>
            </w:pPr>
            <w:r>
              <w:rPr>
                <w:sz w:val="20"/>
                <w:szCs w:val="20"/>
              </w:rPr>
              <w:t>17.34</w:t>
            </w:r>
          </w:p>
        </w:tc>
      </w:tr>
      <w:tr>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4,161,825</w:t>
            </w:r>
          </w:p>
        </w:tc>
        <w:tc>
          <w:tcPr>
            <w:tcW w:w="2340" w:type="dxa"/>
            <w:vAlign w:val="center"/>
          </w:tcPr>
          <w:p>
            <w:pPr>
              <w:pStyle w:val="TableText"/>
              <w:spacing w:before="0" w:after="0" w:line="240" w:lineRule="auto"/>
            </w:pPr>
            <w:r>
              <w:rPr>
                <w:sz w:val="20"/>
                <w:szCs w:val="20"/>
              </w:rPr>
              <w:t>36.93</w:t>
            </w:r>
          </w:p>
        </w:tc>
      </w:tr>
      <w:tr>
        <w:tc>
          <w:tcPr>
            <w:tcW w:w="2340" w:type="dxa"/>
            <w:vAlign w:val="center"/>
          </w:tcPr>
          <w:p>
            <w:pPr>
              <w:pStyle w:val="TableText"/>
              <w:spacing w:before="0" w:after="0" w:line="240" w:lineRule="auto"/>
            </w:pPr>
            <w:r>
              <w:rPr>
                <w:sz w:val="20"/>
                <w:szCs w:val="20"/>
              </w:rPr>
              <w:t>9</w:t>
            </w:r>
          </w:p>
        </w:tc>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2,404,084</w:t>
            </w:r>
          </w:p>
        </w:tc>
        <w:tc>
          <w:tcPr>
            <w:tcW w:w="2340" w:type="dxa"/>
            <w:vAlign w:val="center"/>
          </w:tcPr>
          <w:p>
            <w:pPr>
              <w:pStyle w:val="TableText"/>
              <w:spacing w:before="0" w:after="0" w:line="240" w:lineRule="auto"/>
            </w:pPr>
            <w:r>
              <w:rPr>
                <w:sz w:val="20"/>
                <w:szCs w:val="20"/>
              </w:rPr>
              <w:t>21.33</w:t>
            </w:r>
          </w:p>
        </w:tc>
      </w:tr>
      <w:tr>
        <w:tc>
          <w:tcPr>
            <w:tcW w:w="2340" w:type="dxa"/>
            <w:vAlign w:val="center"/>
          </w:tcPr>
          <w:p>
            <w:pPr>
              <w:pStyle w:val="TableText"/>
              <w:spacing w:before="0" w:after="0" w:line="240" w:lineRule="auto"/>
            </w:pPr>
            <w:r>
              <w:rPr>
                <w:sz w:val="20"/>
                <w:szCs w:val="20"/>
              </w:rPr>
              <w:t>10</w:t>
            </w:r>
          </w:p>
        </w:tc>
        <w:tc>
          <w:tcPr>
            <w:tcW w:w="2340" w:type="dxa"/>
            <w:vAlign w:val="center"/>
          </w:tcPr>
          <w:p>
            <w:pPr>
              <w:pStyle w:val="TableText"/>
              <w:spacing w:before="0" w:after="0" w:line="240" w:lineRule="auto"/>
            </w:pPr>
            <w:r>
              <w:rPr>
                <w:sz w:val="20"/>
                <w:szCs w:val="20"/>
              </w:rPr>
              <w:t>Anticancer (alternative)</w:t>
            </w:r>
          </w:p>
        </w:tc>
        <w:tc>
          <w:tcPr>
            <w:tcW w:w="2340" w:type="dxa"/>
            <w:vAlign w:val="center"/>
          </w:tcPr>
          <w:p>
            <w:pPr>
              <w:pStyle w:val="TableText"/>
              <w:spacing w:before="0" w:after="0" w:line="240" w:lineRule="auto"/>
            </w:pPr>
            <w:r>
              <w:rPr>
                <w:sz w:val="20"/>
                <w:szCs w:val="20"/>
              </w:rPr>
              <w:t>1,979,643</w:t>
            </w:r>
          </w:p>
        </w:tc>
        <w:tc>
          <w:tcPr>
            <w:tcW w:w="2340" w:type="dxa"/>
            <w:vAlign w:val="center"/>
          </w:tcPr>
          <w:p>
            <w:pPr>
              <w:pStyle w:val="TableText"/>
              <w:spacing w:before="0" w:after="0" w:line="240" w:lineRule="auto"/>
            </w:pPr>
            <w:r>
              <w:rPr>
                <w:sz w:val="20"/>
                <w:szCs w:val="20"/>
              </w:rPr>
              <w:t>17.57</w:t>
            </w:r>
          </w:p>
        </w:tc>
      </w:tr>
      <w:tr>
        <w:tc>
          <w:tcPr>
            <w:tcW w:w="2340" w:type="dxa"/>
            <w:vAlign w:val="center"/>
          </w:tcPr>
          <w:p>
            <w:pPr>
              <w:pStyle w:val="TableText"/>
              <w:spacing w:before="0" w:after="0" w:line="240" w:lineRule="auto"/>
            </w:pPr>
            <w:r>
              <w:rPr>
                <w:sz w:val="20"/>
                <w:szCs w:val="20"/>
              </w:rPr>
              <w:t>11</w:t>
            </w:r>
          </w:p>
        </w:tc>
        <w:tc>
          <w:tcPr>
            <w:tcW w:w="2340" w:type="dxa"/>
            <w:vAlign w:val="center"/>
          </w:tcPr>
          <w:p>
            <w:pPr>
              <w:pStyle w:val="TableText"/>
              <w:spacing w:before="0" w:after="0" w:line="240" w:lineRule="auto"/>
            </w:pPr>
            <w:r>
              <w:rPr>
                <w:sz w:val="20"/>
                <w:szCs w:val="20"/>
              </w:rPr>
              <w:t>Anti-MRSA</w:t>
            </w:r>
          </w:p>
        </w:tc>
        <w:tc>
          <w:tcPr>
            <w:tcW w:w="2340" w:type="dxa"/>
            <w:vAlign w:val="center"/>
          </w:tcPr>
          <w:p>
            <w:pPr>
              <w:pStyle w:val="TableText"/>
              <w:spacing w:before="0" w:after="0" w:line="240" w:lineRule="auto"/>
            </w:pPr>
            <w:r>
              <w:rPr>
                <w:sz w:val="20"/>
                <w:szCs w:val="20"/>
              </w:rPr>
              <w:t>769,955</w:t>
            </w:r>
          </w:p>
        </w:tc>
        <w:tc>
          <w:tcPr>
            <w:tcW w:w="2340" w:type="dxa"/>
            <w:vAlign w:val="center"/>
          </w:tcPr>
          <w:p>
            <w:pPr>
              <w:pStyle w:val="TableText"/>
              <w:spacing w:before="0" w:after="0" w:line="240" w:lineRule="auto"/>
            </w:pPr>
            <w:r>
              <w:rPr>
                <w:sz w:val="20"/>
                <w:szCs w:val="20"/>
              </w:rPr>
              <w:t>6.83</w:t>
            </w:r>
          </w:p>
        </w:tc>
      </w:tr>
      <w:tr>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TTCA</w:t>
            </w:r>
          </w:p>
        </w:tc>
        <w:tc>
          <w:tcPr>
            <w:tcW w:w="2340" w:type="dxa"/>
            <w:vAlign w:val="center"/>
          </w:tcPr>
          <w:p>
            <w:pPr>
              <w:pStyle w:val="TableText"/>
              <w:spacing w:before="0" w:after="0" w:line="240" w:lineRule="auto"/>
            </w:pPr>
            <w:r>
              <w:rPr>
                <w:sz w:val="20"/>
                <w:szCs w:val="20"/>
              </w:rPr>
              <w:t>2,618,849</w:t>
            </w:r>
          </w:p>
        </w:tc>
        <w:tc>
          <w:tcPr>
            <w:tcW w:w="2340" w:type="dxa"/>
            <w:vAlign w:val="center"/>
          </w:tcPr>
          <w:p>
            <w:pPr>
              <w:pStyle w:val="TableText"/>
              <w:spacing w:before="0" w:after="0" w:line="240" w:lineRule="auto"/>
            </w:pPr>
            <w:r>
              <w:rPr>
                <w:sz w:val="20"/>
                <w:szCs w:val="20"/>
              </w:rPr>
              <w:t>23.24</w:t>
            </w:r>
          </w:p>
        </w:tc>
      </w:tr>
      <w:tr>
        <w:tc>
          <w:tcPr>
            <w:tcW w:w="2340" w:type="dxa"/>
            <w:vAlign w:val="center"/>
          </w:tcPr>
          <w:p>
            <w:pPr>
              <w:pStyle w:val="TableText"/>
              <w:spacing w:before="0" w:after="0" w:line="240" w:lineRule="auto"/>
            </w:pPr>
            <w:r>
              <w:rPr>
                <w:sz w:val="20"/>
                <w:szCs w:val="20"/>
              </w:rPr>
              <w:t>13</w:t>
            </w:r>
          </w:p>
        </w:tc>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1,095,861</w:t>
            </w:r>
          </w:p>
        </w:tc>
        <w:tc>
          <w:tcPr>
            <w:tcW w:w="2340" w:type="dxa"/>
            <w:vAlign w:val="center"/>
          </w:tcPr>
          <w:p>
            <w:pPr>
              <w:pStyle w:val="TableText"/>
              <w:spacing w:before="0" w:after="0" w:line="240" w:lineRule="auto"/>
            </w:pPr>
            <w:r>
              <w:rPr>
                <w:sz w:val="20"/>
                <w:szCs w:val="20"/>
              </w:rPr>
              <w:t>9.72</w:t>
            </w:r>
          </w:p>
        </w:tc>
      </w:tr>
      <w:tr>
        <w:tc>
          <w:tcPr>
            <w:tcW w:w="2340" w:type="dxa"/>
            <w:vAlign w:val="center"/>
          </w:tcPr>
          <w:p>
            <w:pPr>
              <w:pStyle w:val="TableText"/>
              <w:spacing w:before="0" w:after="0" w:line="240" w:lineRule="auto"/>
            </w:pPr>
            <w:r>
              <w:rPr>
                <w:sz w:val="20"/>
                <w:szCs w:val="20"/>
              </w:rPr>
              <w:t>14</w:t>
            </w:r>
          </w:p>
        </w:tc>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5,517,278</w:t>
            </w:r>
          </w:p>
        </w:tc>
        <w:tc>
          <w:tcPr>
            <w:tcW w:w="2340" w:type="dxa"/>
            <w:vAlign w:val="center"/>
          </w:tcPr>
          <w:p>
            <w:pPr>
              <w:pStyle w:val="TableText"/>
              <w:spacing w:before="0" w:after="0" w:line="240" w:lineRule="auto"/>
            </w:pPr>
            <w:r>
              <w:rPr>
                <w:sz w:val="20"/>
                <w:szCs w:val="20"/>
              </w:rPr>
              <w:t>48.96</w:t>
            </w:r>
          </w:p>
        </w:tc>
      </w:tr>
      <w:tr>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NeuroPred</w:t>
            </w:r>
          </w:p>
        </w:tc>
        <w:tc>
          <w:tcPr>
            <w:tcW w:w="2340" w:type="dxa"/>
            <w:vAlign w:val="center"/>
          </w:tcPr>
          <w:p>
            <w:pPr>
              <w:pStyle w:val="TableText"/>
              <w:spacing w:before="0" w:after="0" w:line="240" w:lineRule="auto"/>
            </w:pPr>
            <w:r>
              <w:rPr>
                <w:sz w:val="20"/>
                <w:szCs w:val="20"/>
              </w:rPr>
              <w:t>1,690,436</w:t>
            </w:r>
          </w:p>
        </w:tc>
        <w:tc>
          <w:tcPr>
            <w:tcW w:w="2340" w:type="dxa"/>
            <w:vAlign w:val="center"/>
          </w:tcPr>
          <w:p>
            <w:pPr>
              <w:pStyle w:val="TableText"/>
              <w:spacing w:before="0" w:after="0" w:line="240" w:lineRule="auto"/>
            </w:pPr>
            <w:r>
              <w:rPr>
                <w:sz w:val="20"/>
                <w:szCs w:val="20"/>
              </w:rPr>
              <w:t>15.00</w:t>
            </w:r>
          </w:p>
        </w:tc>
      </w:tr>
      <w:tr>
        <w:tc>
          <w:tcPr>
            <w:tcW w:w="2340" w:type="dxa"/>
            <w:vAlign w:val="center"/>
          </w:tcPr>
          <w:p>
            <w:pPr>
              <w:pStyle w:val="TableText"/>
              <w:spacing w:before="0" w:after="0" w:line="240" w:lineRule="auto"/>
            </w:pPr>
            <w:r>
              <w:rPr>
                <w:sz w:val="20"/>
                <w:szCs w:val="20"/>
              </w:rPr>
              <w:t>16</w:t>
            </w:r>
          </w:p>
        </w:tc>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2,658,234</w:t>
            </w:r>
          </w:p>
        </w:tc>
        <w:tc>
          <w:tcPr>
            <w:tcW w:w="2340" w:type="dxa"/>
            <w:vAlign w:val="center"/>
          </w:tcPr>
          <w:p>
            <w:pPr>
              <w:pStyle w:val="TableText"/>
              <w:spacing w:before="0" w:after="0" w:line="240" w:lineRule="auto"/>
            </w:pPr>
            <w:r>
              <w:rPr>
                <w:sz w:val="20"/>
                <w:szCs w:val="20"/>
              </w:rPr>
              <w:t>23.59</w:t>
            </w:r>
          </w:p>
        </w:tc>
      </w:tr>
      <w:tr>
        <w:tc>
          <w:tcPr>
            <w:tcW w:w="2340" w:type="dxa"/>
            <w:vAlign w:val="center"/>
          </w:tcPr>
          <w:p>
            <w:pPr>
              <w:pStyle w:val="TableText"/>
              <w:spacing w:before="0" w:after="0" w:line="240" w:lineRule="auto"/>
            </w:pPr>
            <w:r>
              <w:rPr>
                <w:sz w:val="20"/>
                <w:szCs w:val="20"/>
              </w:rPr>
              <w:t>17</w:t>
            </w:r>
          </w:p>
        </w:tc>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3,128,057</w:t>
            </w:r>
          </w:p>
        </w:tc>
        <w:tc>
          <w:tcPr>
            <w:tcW w:w="2340" w:type="dxa"/>
            <w:vAlign w:val="center"/>
          </w:tcPr>
          <w:p>
            <w:pPr>
              <w:pStyle w:val="TableText"/>
              <w:spacing w:before="0" w:after="0" w:line="240" w:lineRule="auto"/>
            </w:pPr>
            <w:r>
              <w:rPr>
                <w:sz w:val="20"/>
                <w:szCs w:val="20"/>
              </w:rPr>
              <w:t>27.76</w:t>
            </w:r>
          </w:p>
        </w:tc>
      </w:tr>
      <w:tr>
        <w:tc>
          <w:tcPr>
            <w:tcW w:w="2340" w:type="dxa"/>
            <w:vAlign w:val="center"/>
          </w:tcPr>
          <w:p>
            <w:pPr>
              <w:pStyle w:val="TableText"/>
              <w:spacing w:before="0" w:after="0" w:line="240" w:lineRule="auto"/>
            </w:pPr>
            <w:r>
              <w:rPr>
                <w:sz w:val="20"/>
                <w:szCs w:val="20"/>
              </w:rPr>
              <w:t>18</w:t>
            </w:r>
          </w:p>
        </w:tc>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3,362,295</w:t>
            </w:r>
          </w:p>
        </w:tc>
        <w:tc>
          <w:tcPr>
            <w:tcW w:w="2340" w:type="dxa"/>
            <w:vAlign w:val="center"/>
          </w:tcPr>
          <w:p>
            <w:pPr>
              <w:pStyle w:val="TableText"/>
              <w:spacing w:before="0" w:after="0" w:line="240" w:lineRule="auto"/>
            </w:pPr>
            <w:r>
              <w:rPr>
                <w:sz w:val="20"/>
                <w:szCs w:val="20"/>
              </w:rPr>
              <w:t>29.83</w:t>
            </w:r>
          </w:p>
        </w:tc>
      </w:tr>
      <w:tr>
        <w:tc>
          <w:tcPr>
            <w:tcW w:w="2340" w:type="dxa"/>
            <w:vAlign w:val="center"/>
          </w:tcPr>
          <w:p>
            <w:pPr>
              <w:pStyle w:val="TableText"/>
              <w:spacing w:before="0" w:after="0" w:line="240" w:lineRule="auto"/>
            </w:pPr>
            <w:r>
              <w:rPr>
                <w:sz w:val="20"/>
                <w:szCs w:val="20"/>
              </w:rPr>
              <w:t>19</w:t>
            </w:r>
          </w:p>
        </w:tc>
        <w:tc>
          <w:tcPr>
            <w:tcW w:w="2340" w:type="dxa"/>
            <w:vAlign w:val="center"/>
          </w:tcPr>
          <w:p>
            <w:pPr>
              <w:pStyle w:val="TableText"/>
              <w:spacing w:before="0" w:after="0" w:line="240" w:lineRule="auto"/>
            </w:pPr>
            <w:r>
              <w:rPr>
                <w:sz w:val="20"/>
                <w:szCs w:val="20"/>
              </w:rPr>
              <w:t>Toxicity</w:t>
            </w:r>
          </w:p>
        </w:tc>
        <w:tc>
          <w:tcPr>
            <w:tcW w:w="2340" w:type="dxa"/>
            <w:vAlign w:val="center"/>
          </w:tcPr>
          <w:p>
            <w:pPr>
              <w:pStyle w:val="TableText"/>
              <w:spacing w:before="0" w:after="0" w:line="240" w:lineRule="auto"/>
            </w:pPr>
            <w:r>
              <w:rPr>
                <w:sz w:val="20"/>
                <w:szCs w:val="20"/>
              </w:rPr>
              <w:t>1,725,268</w:t>
            </w:r>
          </w:p>
        </w:tc>
        <w:tc>
          <w:tcPr>
            <w:tcW w:w="2340" w:type="dxa"/>
            <w:vAlign w:val="center"/>
          </w:tcPr>
          <w:p>
            <w:pPr>
              <w:pStyle w:val="TableText"/>
              <w:spacing w:before="0" w:after="0" w:line="240" w:lineRule="auto"/>
            </w:pPr>
            <w:r>
              <w:rPr>
                <w:sz w:val="20"/>
                <w:szCs w:val="20"/>
              </w:rPr>
              <w:t>15.31</w:t>
            </w:r>
          </w:p>
        </w:tc>
      </w:tr>
      <w:tr>
        <w:tc>
          <w:tcPr>
            <w:tcW w:w="2340" w:type="dxa"/>
            <w:vAlign w:val="center"/>
          </w:tcPr>
          <w:p>
            <w:pPr>
              <w:pStyle w:val="TableText"/>
              <w:spacing w:before="0" w:after="0" w:line="240" w:lineRule="auto"/>
            </w:pPr>
            <w:r>
              <w:rPr>
                <w:sz w:val="20"/>
                <w:szCs w:val="20"/>
              </w:rPr>
              <w:t>20</w:t>
            </w:r>
          </w:p>
        </w:tc>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2,643,538</w:t>
            </w:r>
          </w:p>
        </w:tc>
        <w:tc>
          <w:tcPr>
            <w:tcW w:w="2340" w:type="dxa"/>
            <w:vAlign w:val="center"/>
          </w:tcPr>
          <w:p>
            <w:pPr>
              <w:pStyle w:val="TableText"/>
              <w:spacing w:before="0" w:after="0" w:line="240" w:lineRule="auto"/>
            </w:pPr>
            <w:r>
              <w:rPr>
                <w:sz w:val="20"/>
                <w:szCs w:val="20"/>
              </w:rPr>
              <w:t>23.46</w:t>
            </w:r>
          </w:p>
        </w:tc>
      </w:tr>
      <w:tr>
        <w:tc>
          <w:tcPr>
            <w:tcW w:w="2340" w:type="dxa"/>
            <w:vAlign w:val="center"/>
          </w:tcPr>
          <w:p>
            <w:pPr>
              <w:pStyle w:val="TableText"/>
              <w:spacing w:before="0" w:after="0" w:line="240" w:lineRule="auto"/>
            </w:pPr>
            <w:r>
              <w:rPr>
                <w:sz w:val="20"/>
                <w:szCs w:val="20"/>
              </w:rPr>
              <w:t>21</w:t>
            </w:r>
          </w:p>
        </w:tc>
        <w:tc>
          <w:tcPr>
            <w:tcW w:w="2340" w:type="dxa"/>
            <w:vAlign w:val="center"/>
          </w:tcPr>
          <w:p>
            <w:pPr>
              <w:pStyle w:val="TableText"/>
              <w:spacing w:before="0" w:after="0" w:line="240" w:lineRule="auto"/>
            </w:pPr>
            <w:r>
              <w:rPr>
                <w:sz w:val="20"/>
                <w:szCs w:val="20"/>
              </w:rPr>
              <w:t>Allergenicity</w:t>
            </w:r>
          </w:p>
        </w:tc>
        <w:tc>
          <w:tcPr>
            <w:tcW w:w="2340" w:type="dxa"/>
            <w:vAlign w:val="center"/>
          </w:tcPr>
          <w:p>
            <w:pPr>
              <w:pStyle w:val="TableText"/>
              <w:spacing w:before="0" w:after="0" w:line="240" w:lineRule="auto"/>
            </w:pPr>
            <w:r>
              <w:rPr>
                <w:sz w:val="20"/>
                <w:szCs w:val="20"/>
              </w:rPr>
              <w:t>1,635,019</w:t>
            </w:r>
          </w:p>
        </w:tc>
        <w:tc>
          <w:tcPr>
            <w:tcW w:w="2340" w:type="dxa"/>
            <w:vAlign w:val="center"/>
          </w:tcPr>
          <w:p>
            <w:pPr>
              <w:pStyle w:val="TableText"/>
              <w:spacing w:before="0" w:after="0" w:line="240" w:lineRule="auto"/>
            </w:pPr>
            <w:r>
              <w:rPr>
                <w:sz w:val="20"/>
                <w:szCs w:val="20"/>
              </w:rPr>
              <w:t>14.51</w:t>
            </w:r>
          </w:p>
        </w:tc>
      </w:tr>
      <w:tr>
        <w:tc>
          <w:tcPr>
            <w:tcW w:w="2340" w:type="dxa"/>
            <w:vAlign w:val="center"/>
          </w:tcPr>
          <w:p>
            <w:pPr>
              <w:pStyle w:val="TableText"/>
              <w:spacing w:before="0" w:after="0" w:line="240" w:lineRule="auto"/>
            </w:pPr>
            <w:r>
              <w:rPr>
                <w:sz w:val="20"/>
                <w:szCs w:val="20"/>
              </w:rPr>
              <w:t>22</w:t>
            </w:r>
          </w:p>
        </w:tc>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1,029,770</w:t>
            </w:r>
          </w:p>
        </w:tc>
        <w:tc>
          <w:tcPr>
            <w:tcW w:w="2340"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Task</w:t>
            </w:r>
          </w:p>
        </w:tc>
        <w:tc>
          <w:tcPr>
            <w:tcW w:w="2340" w:type="dxa"/>
            <w:tcBorders>
              <w:bottom w:val="single" w:sz="8" w:space="0" w:color="000000"/>
            </w:tcBorders>
            <w:vAlign w:val="center"/>
          </w:tcPr>
          <w:p>
            <w:pPr>
              <w:pStyle w:val="TableText"/>
              <w:spacing w:before="0" w:after="0" w:line="240" w:lineRule="auto"/>
            </w:pPr>
            <w:r>
              <w:rPr>
                <w:sz w:val="20"/>
                <w:szCs w:val="20"/>
              </w:rPr>
              <w:t>Healthy %</w:t>
            </w:r>
          </w:p>
        </w:tc>
        <w:tc>
          <w:tcPr>
            <w:tcW w:w="2340" w:type="dxa"/>
            <w:tcBorders>
              <w:bottom w:val="single" w:sz="8" w:space="0" w:color="000000"/>
            </w:tcBorders>
            <w:vAlign w:val="center"/>
          </w:tcPr>
          <w:p>
            <w:pPr>
              <w:pStyle w:val="TableText"/>
              <w:spacing w:before="0" w:after="0" w:line="240" w:lineRule="auto"/>
            </w:pPr>
            <w:r>
              <w:rPr>
                <w:sz w:val="20"/>
                <w:szCs w:val="20"/>
              </w:rPr>
              <w:t>Periodontitis %</w:t>
            </w:r>
          </w:p>
        </w:tc>
        <w:tc>
          <w:tcPr>
            <w:tcW w:w="2340" w:type="dxa"/>
            <w:tcBorders>
              <w:bottom w:val="single" w:sz="8" w:space="0" w:color="000000"/>
            </w:tcBorders>
            <w:vAlign w:val="center"/>
          </w:tcPr>
          <w:p>
            <w:pPr>
              <w:pStyle w:val="TableText"/>
              <w:spacing w:before="0" w:after="0" w:line="240" w:lineRule="auto"/>
            </w:pPr>
            <w:r>
              <w:rPr>
                <w:sz w:val="20"/>
                <w:szCs w:val="20"/>
              </w:rPr>
              <w:t>Δ pp</w:t>
            </w:r>
          </w:p>
        </w:tc>
      </w:tr>
      <w:tr>
        <w:tc>
          <w:tcPr>
            <w:tcW w:w="2340" w:type="dxa"/>
            <w:vAlign w:val="center"/>
          </w:tcPr>
          <w:p>
            <w:pPr>
              <w:pStyle w:val="TableText"/>
              <w:spacing w:before="0" w:after="0" w:line="240" w:lineRule="auto"/>
            </w:pPr>
            <w:r>
              <w:rPr>
                <w:sz w:val="20"/>
                <w:szCs w:val="20"/>
              </w:rPr>
              <w:t>Quorum sensing</w:t>
            </w:r>
          </w:p>
        </w:tc>
        <w:tc>
          <w:tcPr>
            <w:tcW w:w="2340" w:type="dxa"/>
            <w:vAlign w:val="center"/>
          </w:tcPr>
          <w:p>
            <w:pPr>
              <w:pStyle w:val="TableText"/>
              <w:spacing w:before="0" w:after="0" w:line="240" w:lineRule="auto"/>
            </w:pPr>
            <w:r>
              <w:rPr>
                <w:sz w:val="20"/>
                <w:szCs w:val="20"/>
              </w:rPr>
              <w:t>36.93</w:t>
            </w:r>
          </w:p>
        </w:tc>
        <w:tc>
          <w:tcPr>
            <w:tcW w:w="2340" w:type="dxa"/>
            <w:vAlign w:val="center"/>
          </w:tcPr>
          <w:p>
            <w:pPr>
              <w:pStyle w:val="TableText"/>
              <w:spacing w:before="0" w:after="0" w:line="240" w:lineRule="auto"/>
            </w:pPr>
            <w:r>
              <w:rPr>
                <w:sz w:val="20"/>
                <w:szCs w:val="20"/>
              </w:rPr>
              <w:t>38.32</w:t>
            </w:r>
          </w:p>
        </w:tc>
        <w:tc>
          <w:tcPr>
            <w:tcW w:w="2340" w:type="dxa"/>
            <w:vAlign w:val="center"/>
          </w:tcPr>
          <w:p>
            <w:pPr>
              <w:pStyle w:val="TableText"/>
              <w:spacing w:before="0" w:after="0" w:line="240" w:lineRule="auto"/>
            </w:pPr>
            <w:r>
              <w:rPr>
                <w:sz w:val="20"/>
                <w:szCs w:val="20"/>
              </w:rPr>
              <w:t>+1.39</w:t>
            </w:r>
          </w:p>
        </w:tc>
      </w:tr>
      <w:tr>
        <w:tc>
          <w:tcPr>
            <w:tcW w:w="2340" w:type="dxa"/>
            <w:vAlign w:val="center"/>
          </w:tcPr>
          <w:p>
            <w:pPr>
              <w:pStyle w:val="TableText"/>
              <w:spacing w:before="0" w:after="0" w:line="240" w:lineRule="auto"/>
            </w:pPr>
            <w:r>
              <w:rPr>
                <w:sz w:val="20"/>
                <w:szCs w:val="20"/>
              </w:rPr>
              <w:t>Umami</w:t>
            </w:r>
          </w:p>
        </w:tc>
        <w:tc>
          <w:tcPr>
            <w:tcW w:w="2340" w:type="dxa"/>
            <w:vAlign w:val="center"/>
          </w:tcPr>
          <w:p>
            <w:pPr>
              <w:pStyle w:val="TableText"/>
              <w:spacing w:before="0" w:after="0" w:line="240" w:lineRule="auto"/>
            </w:pPr>
            <w:r>
              <w:rPr>
                <w:sz w:val="20"/>
                <w:szCs w:val="20"/>
              </w:rPr>
              <w:t>27.46</w:t>
            </w:r>
          </w:p>
        </w:tc>
        <w:tc>
          <w:tcPr>
            <w:tcW w:w="2340" w:type="dxa"/>
            <w:vAlign w:val="center"/>
          </w:tcPr>
          <w:p>
            <w:pPr>
              <w:pStyle w:val="TableText"/>
              <w:spacing w:before="0" w:after="0" w:line="240" w:lineRule="auto"/>
            </w:pPr>
            <w:r>
              <w:rPr>
                <w:sz w:val="20"/>
                <w:szCs w:val="20"/>
              </w:rPr>
              <w:t>26.45</w:t>
            </w:r>
          </w:p>
        </w:tc>
        <w:tc>
          <w:tcPr>
            <w:tcW w:w="2340" w:type="dxa"/>
            <w:vAlign w:val="center"/>
          </w:tcPr>
          <w:p>
            <w:pPr>
              <w:pStyle w:val="TableText"/>
              <w:spacing w:before="0" w:after="0" w:line="240" w:lineRule="auto"/>
            </w:pPr>
            <w:r>
              <w:rPr>
                <w:sz w:val="20"/>
                <w:szCs w:val="20"/>
              </w:rPr>
              <w:t>−1.00</w:t>
            </w:r>
          </w:p>
        </w:tc>
      </w:tr>
      <w:tr>
        <w:tc>
          <w:tcPr>
            <w:tcW w:w="2340" w:type="dxa"/>
            <w:vAlign w:val="center"/>
          </w:tcPr>
          <w:p>
            <w:pPr>
              <w:pStyle w:val="TableText"/>
              <w:spacing w:before="0" w:after="0" w:line="240" w:lineRule="auto"/>
            </w:pPr>
            <w:r>
              <w:rPr>
                <w:sz w:val="20"/>
                <w:szCs w:val="20"/>
              </w:rPr>
              <w:t>Anticancer (main)</w:t>
            </w:r>
          </w:p>
        </w:tc>
        <w:tc>
          <w:tcPr>
            <w:tcW w:w="2340" w:type="dxa"/>
            <w:vAlign w:val="center"/>
          </w:tcPr>
          <w:p>
            <w:pPr>
              <w:pStyle w:val="TableText"/>
              <w:spacing w:before="0" w:after="0" w:line="240" w:lineRule="auto"/>
            </w:pPr>
            <w:r>
              <w:rPr>
                <w:sz w:val="20"/>
                <w:szCs w:val="20"/>
              </w:rPr>
              <w:t>21.33</w:t>
            </w:r>
          </w:p>
        </w:tc>
        <w:tc>
          <w:tcPr>
            <w:tcW w:w="2340" w:type="dxa"/>
            <w:vAlign w:val="center"/>
          </w:tcPr>
          <w:p>
            <w:pPr>
              <w:pStyle w:val="TableText"/>
              <w:spacing w:before="0" w:after="0" w:line="240" w:lineRule="auto"/>
            </w:pPr>
            <w:r>
              <w:rPr>
                <w:sz w:val="20"/>
                <w:szCs w:val="20"/>
              </w:rPr>
              <w:t>20.11</w:t>
            </w:r>
          </w:p>
        </w:tc>
        <w:tc>
          <w:tcPr>
            <w:tcW w:w="2340" w:type="dxa"/>
            <w:vAlign w:val="center"/>
          </w:tcPr>
          <w:p>
            <w:pPr>
              <w:pStyle w:val="TableText"/>
              <w:spacing w:before="0" w:after="0" w:line="240" w:lineRule="auto"/>
            </w:pPr>
            <w:r>
              <w:rPr>
                <w:sz w:val="20"/>
                <w:szCs w:val="20"/>
              </w:rPr>
              <w:t>−1.22</w:t>
            </w:r>
          </w:p>
        </w:tc>
      </w:tr>
      <w:tr>
        <w:tc>
          <w:tcPr>
            <w:tcW w:w="2340" w:type="dxa"/>
            <w:vAlign w:val="center"/>
          </w:tcPr>
          <w:p>
            <w:pPr>
              <w:pStyle w:val="TableText"/>
              <w:spacing w:before="0" w:after="0" w:line="240" w:lineRule="auto"/>
            </w:pPr>
            <w:r>
              <w:rPr>
                <w:sz w:val="20"/>
                <w:szCs w:val="20"/>
              </w:rPr>
              <w:t>Cell-penetrating peptide (CPP)</w:t>
            </w:r>
          </w:p>
        </w:tc>
        <w:tc>
          <w:tcPr>
            <w:tcW w:w="2340" w:type="dxa"/>
            <w:vAlign w:val="center"/>
          </w:tcPr>
          <w:p>
            <w:pPr>
              <w:pStyle w:val="TableText"/>
              <w:spacing w:before="0" w:after="0" w:line="240" w:lineRule="auto"/>
            </w:pPr>
            <w:r>
              <w:rPr>
                <w:sz w:val="20"/>
                <w:szCs w:val="20"/>
              </w:rPr>
              <w:t>9.14</w:t>
            </w:r>
          </w:p>
        </w:tc>
        <w:tc>
          <w:tcPr>
            <w:tcW w:w="2340" w:type="dxa"/>
            <w:vAlign w:val="center"/>
          </w:tcPr>
          <w:p>
            <w:pPr>
              <w:pStyle w:val="TableText"/>
              <w:spacing w:before="0" w:after="0" w:line="240" w:lineRule="auto"/>
            </w:pPr>
            <w:r>
              <w:rPr>
                <w:sz w:val="20"/>
                <w:szCs w:val="20"/>
              </w:rPr>
              <w:t>7.90</w:t>
            </w:r>
          </w:p>
        </w:tc>
        <w:tc>
          <w:tcPr>
            <w:tcW w:w="2340" w:type="dxa"/>
            <w:vAlign w:val="center"/>
          </w:tcPr>
          <w:p>
            <w:pPr>
              <w:pStyle w:val="TableText"/>
              <w:spacing w:before="0" w:after="0" w:line="240" w:lineRule="auto"/>
            </w:pPr>
            <w:r>
              <w:rPr>
                <w:sz w:val="20"/>
                <w:szCs w:val="20"/>
              </w:rPr>
              <w:t>−1.24</w:t>
            </w:r>
          </w:p>
        </w:tc>
      </w:tr>
      <w:tr>
        <w:tc>
          <w:tcPr>
            <w:tcW w:w="2340" w:type="dxa"/>
            <w:vAlign w:val="center"/>
          </w:tcPr>
          <w:p>
            <w:pPr>
              <w:pStyle w:val="TableText"/>
              <w:spacing w:before="0" w:after="0" w:line="240" w:lineRule="auto"/>
            </w:pPr>
            <w:r>
              <w:rPr>
                <w:sz w:val="20"/>
                <w:szCs w:val="20"/>
              </w:rPr>
              <w:t>Antibacterial</w:t>
            </w:r>
          </w:p>
        </w:tc>
        <w:tc>
          <w:tcPr>
            <w:tcW w:w="2340" w:type="dxa"/>
            <w:vAlign w:val="center"/>
          </w:tcPr>
          <w:p>
            <w:pPr>
              <w:pStyle w:val="TableText"/>
              <w:spacing w:before="0" w:after="0" w:line="240" w:lineRule="auto"/>
            </w:pPr>
            <w:r>
              <w:rPr>
                <w:sz w:val="20"/>
                <w:szCs w:val="20"/>
              </w:rPr>
              <w:t>23.59</w:t>
            </w:r>
          </w:p>
        </w:tc>
        <w:tc>
          <w:tcPr>
            <w:tcW w:w="2340" w:type="dxa"/>
            <w:vAlign w:val="center"/>
          </w:tcPr>
          <w:p>
            <w:pPr>
              <w:pStyle w:val="TableText"/>
              <w:spacing w:before="0" w:after="0" w:line="240" w:lineRule="auto"/>
            </w:pPr>
            <w:r>
              <w:rPr>
                <w:sz w:val="20"/>
                <w:szCs w:val="20"/>
              </w:rPr>
              <w:t>22.16</w:t>
            </w:r>
          </w:p>
        </w:tc>
        <w:tc>
          <w:tcPr>
            <w:tcW w:w="2340" w:type="dxa"/>
            <w:vAlign w:val="center"/>
          </w:tcPr>
          <w:p>
            <w:pPr>
              <w:pStyle w:val="TableText"/>
              <w:spacing w:before="0" w:after="0" w:line="240" w:lineRule="auto"/>
            </w:pPr>
            <w:r>
              <w:rPr>
                <w:sz w:val="20"/>
                <w:szCs w:val="20"/>
              </w:rPr>
              <w:t>−1.42</w:t>
            </w:r>
          </w:p>
        </w:tc>
      </w:tr>
      <w:tr>
        <w:tc>
          <w:tcPr>
            <w:tcW w:w="2340" w:type="dxa"/>
            <w:vAlign w:val="center"/>
          </w:tcPr>
          <w:p>
            <w:pPr>
              <w:pStyle w:val="TableText"/>
              <w:spacing w:before="0" w:after="0" w:line="240" w:lineRule="auto"/>
            </w:pPr>
            <w:r>
              <w:rPr>
                <w:sz w:val="20"/>
                <w:szCs w:val="20"/>
              </w:rPr>
              <w:t>Antiviral</w:t>
            </w:r>
          </w:p>
        </w:tc>
        <w:tc>
          <w:tcPr>
            <w:tcW w:w="2340" w:type="dxa"/>
            <w:vAlign w:val="center"/>
          </w:tcPr>
          <w:p>
            <w:pPr>
              <w:pStyle w:val="TableText"/>
              <w:spacing w:before="0" w:after="0" w:line="240" w:lineRule="auto"/>
            </w:pPr>
            <w:r>
              <w:rPr>
                <w:sz w:val="20"/>
                <w:szCs w:val="20"/>
              </w:rPr>
              <w:t>29.83</w:t>
            </w:r>
          </w:p>
        </w:tc>
        <w:tc>
          <w:tcPr>
            <w:tcW w:w="2340" w:type="dxa"/>
            <w:vAlign w:val="center"/>
          </w:tcPr>
          <w:p>
            <w:pPr>
              <w:pStyle w:val="TableText"/>
              <w:spacing w:before="0" w:after="0" w:line="240" w:lineRule="auto"/>
            </w:pPr>
            <w:r>
              <w:rPr>
                <w:sz w:val="20"/>
                <w:szCs w:val="20"/>
              </w:rPr>
              <w:t>27.94</w:t>
            </w:r>
          </w:p>
        </w:tc>
        <w:tc>
          <w:tcPr>
            <w:tcW w:w="2340" w:type="dxa"/>
            <w:vAlign w:val="center"/>
          </w:tcPr>
          <w:p>
            <w:pPr>
              <w:pStyle w:val="TableText"/>
              <w:spacing w:before="0" w:after="0" w:line="240" w:lineRule="auto"/>
            </w:pPr>
            <w:r>
              <w:rPr>
                <w:sz w:val="20"/>
                <w:szCs w:val="20"/>
              </w:rPr>
              <w:t>−1.89</w:t>
            </w:r>
          </w:p>
        </w:tc>
      </w:tr>
      <w:tr>
        <w:tc>
          <w:tcPr>
            <w:tcW w:w="2340" w:type="dxa"/>
            <w:vAlign w:val="center"/>
          </w:tcPr>
          <w:p>
            <w:pPr>
              <w:pStyle w:val="TableText"/>
              <w:spacing w:before="0" w:after="0" w:line="240" w:lineRule="auto"/>
            </w:pPr>
            <w:r>
              <w:rPr>
                <w:sz w:val="20"/>
                <w:szCs w:val="20"/>
              </w:rPr>
              <w:t>Antioxidant FRS</w:t>
            </w:r>
          </w:p>
        </w:tc>
        <w:tc>
          <w:tcPr>
            <w:tcW w:w="2340" w:type="dxa"/>
            <w:vAlign w:val="center"/>
          </w:tcPr>
          <w:p>
            <w:pPr>
              <w:pStyle w:val="TableText"/>
              <w:spacing w:before="0" w:after="0" w:line="240" w:lineRule="auto"/>
            </w:pPr>
            <w:r>
              <w:rPr>
                <w:sz w:val="20"/>
                <w:szCs w:val="20"/>
              </w:rPr>
              <w:t>23.46</w:t>
            </w:r>
          </w:p>
        </w:tc>
        <w:tc>
          <w:tcPr>
            <w:tcW w:w="2340" w:type="dxa"/>
            <w:vAlign w:val="center"/>
          </w:tcPr>
          <w:p>
            <w:pPr>
              <w:pStyle w:val="TableText"/>
              <w:spacing w:before="0" w:after="0" w:line="240" w:lineRule="auto"/>
            </w:pPr>
            <w:r>
              <w:rPr>
                <w:sz w:val="20"/>
                <w:szCs w:val="20"/>
              </w:rPr>
              <w:t>21.51</w:t>
            </w:r>
          </w:p>
        </w:tc>
        <w:tc>
          <w:tcPr>
            <w:tcW w:w="2340" w:type="dxa"/>
            <w:vAlign w:val="center"/>
          </w:tcPr>
          <w:p>
            <w:pPr>
              <w:pStyle w:val="TableText"/>
              <w:spacing w:before="0" w:after="0" w:line="240" w:lineRule="auto"/>
            </w:pPr>
            <w:r>
              <w:rPr>
                <w:sz w:val="20"/>
                <w:szCs w:val="20"/>
              </w:rPr>
              <w:t>−1.95</w:t>
            </w:r>
          </w:p>
        </w:tc>
      </w:tr>
      <w:tr>
        <w:tc>
          <w:tcPr>
            <w:tcW w:w="2340" w:type="dxa"/>
            <w:vAlign w:val="center"/>
          </w:tcPr>
          <w:p>
            <w:pPr>
              <w:pStyle w:val="TableText"/>
              <w:spacing w:before="0" w:after="0" w:line="240" w:lineRule="auto"/>
            </w:pPr>
            <w:r>
              <w:rPr>
                <w:sz w:val="20"/>
                <w:szCs w:val="20"/>
              </w:rPr>
              <w:t>Anti-parasitic (APP)</w:t>
            </w:r>
          </w:p>
        </w:tc>
        <w:tc>
          <w:tcPr>
            <w:tcW w:w="2340" w:type="dxa"/>
            <w:vAlign w:val="center"/>
          </w:tcPr>
          <w:p>
            <w:pPr>
              <w:pStyle w:val="TableText"/>
              <w:spacing w:before="0" w:after="0" w:line="240" w:lineRule="auto"/>
            </w:pPr>
            <w:r>
              <w:rPr>
                <w:sz w:val="20"/>
                <w:szCs w:val="20"/>
              </w:rPr>
              <w:t>48.96</w:t>
            </w:r>
          </w:p>
        </w:tc>
        <w:tc>
          <w:tcPr>
            <w:tcW w:w="2340" w:type="dxa"/>
            <w:vAlign w:val="center"/>
          </w:tcPr>
          <w:p>
            <w:pPr>
              <w:pStyle w:val="TableText"/>
              <w:spacing w:before="0" w:after="0" w:line="240" w:lineRule="auto"/>
            </w:pPr>
            <w:r>
              <w:rPr>
                <w:sz w:val="20"/>
                <w:szCs w:val="20"/>
              </w:rPr>
              <w:t>46.60</w:t>
            </w:r>
          </w:p>
        </w:tc>
        <w:tc>
          <w:tcPr>
            <w:tcW w:w="2340" w:type="dxa"/>
            <w:vAlign w:val="center"/>
          </w:tcPr>
          <w:p>
            <w:pPr>
              <w:pStyle w:val="TableText"/>
              <w:spacing w:before="0" w:after="0" w:line="240" w:lineRule="auto"/>
            </w:pPr>
            <w:r>
              <w:rPr>
                <w:sz w:val="20"/>
                <w:szCs w:val="20"/>
              </w:rPr>
              <w:t>−2.36</w:t>
            </w:r>
          </w:p>
        </w:tc>
      </w:tr>
      <w:tr>
        <w:tc>
          <w:tcPr>
            <w:tcW w:w="2340" w:type="dxa"/>
            <w:vAlign w:val="center"/>
          </w:tcPr>
          <w:p>
            <w:pPr>
              <w:pStyle w:val="TableText"/>
              <w:spacing w:before="0" w:after="0" w:line="240" w:lineRule="auto"/>
            </w:pPr>
            <w:r>
              <w:rPr>
                <w:sz w:val="20"/>
                <w:szCs w:val="20"/>
              </w:rPr>
              <w:t>Antifungal</w:t>
            </w:r>
          </w:p>
        </w:tc>
        <w:tc>
          <w:tcPr>
            <w:tcW w:w="2340" w:type="dxa"/>
            <w:vAlign w:val="center"/>
          </w:tcPr>
          <w:p>
            <w:pPr>
              <w:pStyle w:val="TableText"/>
              <w:spacing w:before="0" w:after="0" w:line="240" w:lineRule="auto"/>
            </w:pPr>
            <w:r>
              <w:rPr>
                <w:sz w:val="20"/>
                <w:szCs w:val="20"/>
              </w:rPr>
              <w:t>27.76</w:t>
            </w:r>
          </w:p>
        </w:tc>
        <w:tc>
          <w:tcPr>
            <w:tcW w:w="2340" w:type="dxa"/>
            <w:vAlign w:val="center"/>
          </w:tcPr>
          <w:p>
            <w:pPr>
              <w:pStyle w:val="TableText"/>
              <w:spacing w:before="0" w:after="0" w:line="240" w:lineRule="auto"/>
            </w:pPr>
            <w:r>
              <w:rPr>
                <w:sz w:val="20"/>
                <w:szCs w:val="20"/>
              </w:rPr>
              <w:t>25.25</w:t>
            </w:r>
          </w:p>
        </w:tc>
        <w:tc>
          <w:tcPr>
            <w:tcW w:w="2340" w:type="dxa"/>
            <w:vAlign w:val="center"/>
          </w:tcPr>
          <w:p>
            <w:pPr>
              <w:pStyle w:val="TableText"/>
              <w:spacing w:before="0" w:after="0" w:line="240" w:lineRule="auto"/>
            </w:pPr>
            <w:r>
              <w:rPr>
                <w:sz w:val="20"/>
                <w:szCs w:val="20"/>
              </w:rPr>
              <w:t>−2.50</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9.72</w:t>
            </w:r>
          </w:p>
        </w:tc>
        <w:tc>
          <w:tcPr>
            <w:tcW w:w="2340" w:type="dxa"/>
            <w:vAlign w:val="center"/>
          </w:tcPr>
          <w:p>
            <w:pPr>
              <w:pStyle w:val="TableText"/>
              <w:spacing w:before="0" w:after="0" w:line="240" w:lineRule="auto"/>
            </w:pPr>
            <w:r>
              <w:rPr>
                <w:sz w:val="20"/>
                <w:szCs w:val="20"/>
              </w:rPr>
              <w:t>9.60</w:t>
            </w:r>
          </w:p>
        </w:tc>
        <w:tc>
          <w:tcPr>
            <w:tcW w:w="2340" w:type="dxa"/>
            <w:vAlign w:val="center"/>
          </w:tcPr>
          <w:p>
            <w:pPr>
              <w:pStyle w:val="TableText"/>
              <w:spacing w:before="0" w:after="0" w:line="240" w:lineRule="auto"/>
            </w:pPr>
            <w:r>
              <w:rPr>
                <w:sz w:val="20"/>
                <w:szCs w:val="20"/>
              </w:rPr>
              <w:t>−0.12</w:t>
            </w:r>
          </w:p>
        </w:tc>
      </w:tr>
    </w:tbl>
    <w:p>
      <w:pPr>
        <w:spacing w:after="40"/>
      </w:pPr>
    </w:p>
    <w:p>
      <w:pPr>
        <w:pStyle w:val="Figure"/>
        <w:jc w:val="center"/>
        <w:keepNext/>
      </w:pPr>
      <w:r>
        <w:drawing>
          <wp:inline distT="0" distB="0" distL="0" distR="0">
            <wp:extent cx="6150000" cy="7445800"/>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445800"/>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40"/>
        <w:gridCol w:w="2340"/>
        <w:gridCol w:w="2340"/>
        <w:gridCol w:w="2340"/>
      </w:tblGrid>
      <w:tr>
        <w:trPr>
          <w:tblHeader/>
        </w:trPr>
        <w:tc>
          <w:tcPr>
            <w:tcW w:w="2340" w:type="dxa"/>
            <w:tcBorders>
              <w:bottom w:val="single" w:sz="8" w:space="0" w:color="000000"/>
            </w:tcBorders>
            <w:vAlign w:val="center"/>
          </w:tcPr>
          <w:p>
            <w:pPr>
              <w:pStyle w:val="TableText"/>
              <w:spacing w:before="0" w:after="0" w:line="240" w:lineRule="auto"/>
            </w:pPr>
            <w:r>
              <w:rPr>
                <w:sz w:val="20"/>
                <w:szCs w:val="20"/>
              </w:rPr>
              <w:t>Stage</w:t>
            </w:r>
          </w:p>
        </w:tc>
        <w:tc>
          <w:tcPr>
            <w:tcW w:w="2340" w:type="dxa"/>
            <w:tcBorders>
              <w:bottom w:val="single" w:sz="8" w:space="0" w:color="000000"/>
            </w:tcBorders>
            <w:vAlign w:val="center"/>
          </w:tcPr>
          <w:p>
            <w:pPr>
              <w:pStyle w:val="TableText"/>
              <w:spacing w:before="0" w:after="0" w:line="240" w:lineRule="auto"/>
            </w:pPr>
            <w:r>
              <w:rPr>
                <w:sz w:val="20"/>
                <w:szCs w:val="20"/>
              </w:rPr>
              <w:t>Rule</w:t>
            </w:r>
          </w:p>
        </w:tc>
        <w:tc>
          <w:tcPr>
            <w:tcW w:w="2340" w:type="dxa"/>
            <w:tcBorders>
              <w:bottom w:val="single" w:sz="8" w:space="0" w:color="000000"/>
            </w:tcBorders>
            <w:vAlign w:val="center"/>
          </w:tcPr>
          <w:p>
            <w:pPr>
              <w:pStyle w:val="TableText"/>
              <w:spacing w:before="0" w:after="0" w:line="240" w:lineRule="auto"/>
            </w:pPr>
            <w:r>
              <w:rPr>
                <w:sz w:val="20"/>
                <w:szCs w:val="20"/>
              </w:rPr>
              <w:t>n</w:t>
            </w:r>
          </w:p>
        </w:tc>
        <w:tc>
          <w:tcPr>
            <w:tcW w:w="2340" w:type="dxa"/>
            <w:tcBorders>
              <w:bottom w:val="single" w:sz="8" w:space="0" w:color="000000"/>
            </w:tcBorders>
            <w:vAlign w:val="center"/>
          </w:tcPr>
          <w:p>
            <w:pPr>
              <w:pStyle w:val="TableText"/>
              <w:spacing w:before="0" w:after="0" w:line="240" w:lineRule="auto"/>
            </w:pPr>
            <w:r>
              <w:rPr>
                <w:sz w:val="20"/>
                <w:szCs w:val="20"/>
              </w:rPr>
              <w:t>Denominator</w:t>
            </w:r>
          </w:p>
        </w:tc>
      </w:tr>
      <w:tr>
        <w:tc>
          <w:tcPr>
            <w:tcW w:w="2340" w:type="dxa"/>
            <w:vAlign w:val="center"/>
          </w:tcPr>
          <w:p>
            <w:pPr>
              <w:pStyle w:val="TableText"/>
              <w:spacing w:before="0" w:after="0" w:line="240" w:lineRule="auto"/>
            </w:pPr>
            <w:r>
              <w:rPr>
                <w:sz w:val="20"/>
                <w:szCs w:val="20"/>
              </w:rPr>
              <w:t>Periodontitis smORFs</w:t>
            </w:r>
          </w:p>
        </w:tc>
        <w:tc>
          <w:tcPr>
            <w:tcW w:w="2340" w:type="dxa"/>
            <w:vAlign w:val="center"/>
          </w:tcPr>
          <w:p>
            <w:pPr>
              <w:pStyle w:val="TableText"/>
              <w:spacing w:before="0" w:after="0" w:line="240" w:lineRule="auto"/>
            </w:pPr>
            <w:r>
              <w:rPr>
                <w:sz w:val="20"/>
                <w:szCs w:val="20"/>
              </w:rPr>
              <w:t>4–50 aa</w:t>
            </w:r>
          </w:p>
        </w:tc>
        <w:tc>
          <w:tcPr>
            <w:tcW w:w="2340" w:type="dxa"/>
            <w:vAlign w:val="center"/>
          </w:tcPr>
          <w:p>
            <w:pPr>
              <w:pStyle w:val="TableText"/>
              <w:spacing w:before="0" w:after="0" w:line="240" w:lineRule="auto"/>
            </w:pPr>
            <w:r>
              <w:rPr>
                <w:sz w:val="20"/>
                <w:szCs w:val="20"/>
              </w:rPr>
              <w:t>11,721,988</w:t>
            </w:r>
          </w:p>
        </w:tc>
        <w:tc>
          <w:tcPr>
            <w:tcW w:w="2340" w:type="dxa"/>
            <w:vAlign w:val="center"/>
          </w:tcPr>
          <w:p>
            <w:pPr>
              <w:pStyle w:val="TableText"/>
              <w:spacing w:before="0" w:after="0" w:line="240" w:lineRule="auto"/>
            </w:pPr>
            <w:r>
              <w:rPr>
                <w:sz w:val="20"/>
                <w:szCs w:val="20"/>
              </w:rPr>
              <w:t>Library</w:t>
            </w:r>
          </w:p>
        </w:tc>
      </w:tr>
      <w:tr>
        <w:tc>
          <w:tcPr>
            <w:tcW w:w="2340" w:type="dxa"/>
            <w:vAlign w:val="center"/>
          </w:tcPr>
          <w:p>
            <w:pPr>
              <w:pStyle w:val="TableText"/>
              <w:spacing w:before="0" w:after="0" w:line="240" w:lineRule="auto"/>
            </w:pPr>
            <w:r>
              <w:rPr>
                <w:sz w:val="20"/>
                <w:szCs w:val="20"/>
              </w:rPr>
              <w:t>BBB (BBP)</w:t>
            </w:r>
          </w:p>
        </w:tc>
        <w:tc>
          <w:tcPr>
            <w:tcW w:w="2340" w:type="dxa"/>
            <w:vAlign w:val="center"/>
          </w:tcPr>
          <w:p>
            <w:pPr>
              <w:pStyle w:val="TableText"/>
              <w:spacing w:before="0" w:after="0" w:line="240" w:lineRule="auto"/>
            </w:pPr>
            <w:r>
              <w:rPr>
                <w:sz w:val="20"/>
                <w:szCs w:val="20"/>
              </w:rPr>
              <w:t>score ≥0.80</w:t>
            </w:r>
          </w:p>
        </w:tc>
        <w:tc>
          <w:tcPr>
            <w:tcW w:w="2340" w:type="dxa"/>
            <w:vAlign w:val="center"/>
          </w:tcPr>
          <w:p>
            <w:pPr>
              <w:pStyle w:val="TableText"/>
              <w:spacing w:before="0" w:after="0" w:line="240" w:lineRule="auto"/>
            </w:pPr>
            <w:r>
              <w:rPr>
                <w:sz w:val="20"/>
                <w:szCs w:val="20"/>
              </w:rPr>
              <w:t>1,125,832</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Catalogue-supported unique peptides</w:t>
            </w:r>
          </w:p>
        </w:tc>
        <w:tc>
          <w:tcPr>
            <w:tcW w:w="2340" w:type="dxa"/>
            <w:vAlign w:val="center"/>
          </w:tcPr>
          <w:p>
            <w:pPr>
              <w:pStyle w:val="TableText"/>
              <w:spacing w:before="0" w:after="0" w:line="240" w:lineRule="auto"/>
            </w:pPr>
            <w:r>
              <w:rPr>
                <w:sz w:val="20"/>
                <w:szCs w:val="20"/>
              </w:rPr>
              <w:t>Exact match</w:t>
            </w:r>
          </w:p>
        </w:tc>
        <w:tc>
          <w:tcPr>
            <w:tcW w:w="2340" w:type="dxa"/>
            <w:vAlign w:val="center"/>
          </w:tcPr>
          <w:p>
            <w:pPr>
              <w:pStyle w:val="TableText"/>
              <w:spacing w:before="0" w:after="0" w:line="240" w:lineRule="auto"/>
            </w:pPr>
            <w:r>
              <w:rPr>
                <w:sz w:val="20"/>
                <w:szCs w:val="20"/>
              </w:rPr>
              <w:t>33,786</w:t>
            </w:r>
          </w:p>
        </w:tc>
        <w:tc>
          <w:tcPr>
            <w:tcW w:w="2340" w:type="dxa"/>
            <w:vAlign w:val="center"/>
          </w:tcPr>
          <w:p>
            <w:pPr>
              <w:pStyle w:val="TableText"/>
              <w:spacing w:before="0" w:after="0" w:line="240" w:lineRule="auto"/>
            </w:pPr>
            <w:r>
              <w:rPr>
                <w:sz w:val="20"/>
                <w:szCs w:val="20"/>
              </w:rPr>
              <w:t>11,721,988</w:t>
            </w:r>
          </w:p>
        </w:tc>
      </w:tr>
      <w:tr>
        <w:tc>
          <w:tcPr>
            <w:tcW w:w="2340" w:type="dxa"/>
            <w:vAlign w:val="center"/>
          </w:tcPr>
          <w:p>
            <w:pPr>
              <w:pStyle w:val="TableText"/>
              <w:spacing w:before="0" w:after="0" w:line="240" w:lineRule="auto"/>
            </w:pPr>
            <w:r>
              <w:rPr>
                <w:sz w:val="20"/>
                <w:szCs w:val="20"/>
              </w:rPr>
              <w:t>BBB-high ∩ catalogue-supported</w:t>
            </w:r>
          </w:p>
        </w:tc>
        <w:tc>
          <w:tcPr>
            <w:tcW w:w="2340" w:type="dxa"/>
            <w:vAlign w:val="center"/>
          </w:tcPr>
          <w:p>
            <w:pPr>
              <w:pStyle w:val="TableText"/>
              <w:spacing w:before="0" w:after="0" w:line="240" w:lineRule="auto"/>
            </w:pPr>
            <w:r>
              <w:rPr>
                <w:sz w:val="20"/>
                <w:szCs w:val="20"/>
              </w:rPr>
              <w:t>Intersection</w:t>
            </w:r>
          </w:p>
        </w:tc>
        <w:tc>
          <w:tcPr>
            <w:tcW w:w="2340" w:type="dxa"/>
            <w:vAlign w:val="center"/>
          </w:tcPr>
          <w:p>
            <w:pPr>
              <w:pStyle w:val="TableText"/>
              <w:spacing w:before="0" w:after="0" w:line="240" w:lineRule="auto"/>
            </w:pPr>
            <w:r>
              <w:rPr>
                <w:sz w:val="20"/>
                <w:szCs w:val="20"/>
              </w:rPr>
              <w:t>3,518</w:t>
            </w:r>
          </w:p>
        </w:tc>
        <w:tc>
          <w:tcPr>
            <w:tcW w:w="2340" w:type="dxa"/>
            <w:vAlign w:val="center"/>
          </w:tcPr>
          <w:p>
            <w:pPr>
              <w:pStyle w:val="TableText"/>
              <w:spacing w:before="0" w:after="0" w:line="240" w:lineRule="auto"/>
            </w:pPr>
            <w:r>
              <w:rPr>
                <w:sz w:val="20"/>
                <w:szCs w:val="20"/>
              </w:rPr>
              <w:t>1,125,832 ∩ 33,786</w:t>
            </w:r>
          </w:p>
        </w:tc>
      </w:tr>
      <w:tr>
        <w:tc>
          <w:tcPr>
            <w:tcW w:w="2340" w:type="dxa"/>
            <w:vAlign w:val="center"/>
          </w:tcPr>
          <w:p>
            <w:pPr>
              <w:pStyle w:val="TableText"/>
              <w:spacing w:before="0" w:after="0" w:line="240" w:lineRule="auto"/>
            </w:pPr>
            <w:r>
              <w:rPr>
                <w:sz w:val="20"/>
                <w:szCs w:val="20"/>
              </w:rPr>
              <w:t>Short (5–30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3,446</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Long (31–50 aa)</w:t>
            </w:r>
          </w:p>
        </w:tc>
        <w:tc>
          <w:tcPr>
            <w:tcW w:w="2340" w:type="dxa"/>
            <w:vAlign w:val="center"/>
          </w:tcPr>
          <w:p>
            <w:pPr>
              <w:pStyle w:val="TableText"/>
              <w:spacing w:before="0" w:after="0" w:line="240" w:lineRule="auto"/>
            </w:pPr>
            <w:r>
              <w:rPr>
                <w:sz w:val="20"/>
                <w:szCs w:val="20"/>
              </w:rPr>
              <w:t>Length</w:t>
            </w:r>
          </w:p>
        </w:tc>
        <w:tc>
          <w:tcPr>
            <w:tcW w:w="2340" w:type="dxa"/>
            <w:vAlign w:val="center"/>
          </w:tcPr>
          <w:p>
            <w:pPr>
              <w:pStyle w:val="TableText"/>
              <w:spacing w:before="0" w:after="0" w:line="240" w:lineRule="auto"/>
            </w:pPr>
            <w:r>
              <w:rPr>
                <w:sz w:val="20"/>
                <w:szCs w:val="20"/>
              </w:rPr>
              <w:t>72</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 scored</w:t>
            </w:r>
          </w:p>
        </w:tc>
        <w:tc>
          <w:tcPr>
            <w:tcW w:w="2340" w:type="dxa"/>
            <w:vAlign w:val="center"/>
          </w:tcPr>
          <w:p>
            <w:pPr>
              <w:pStyle w:val="TableText"/>
              <w:spacing w:before="0" w:after="0" w:line="240" w:lineRule="auto"/>
            </w:pPr>
            <w:r>
              <w:rPr>
                <w:sz w:val="20"/>
                <w:szCs w:val="20"/>
              </w:rPr>
              <w:t>7–50 aa</w:t>
            </w:r>
          </w:p>
        </w:tc>
        <w:tc>
          <w:tcPr>
            <w:tcW w:w="2340" w:type="dxa"/>
            <w:vAlign w:val="center"/>
          </w:tcPr>
          <w:p>
            <w:pPr>
              <w:pStyle w:val="TableText"/>
              <w:spacing w:before="0" w:after="0" w:line="240" w:lineRule="auto"/>
            </w:pPr>
            <w:r>
              <w:rPr>
                <w:sz w:val="20"/>
                <w:szCs w:val="20"/>
              </w:rPr>
              <w:t>3,299</w:t>
            </w:r>
          </w:p>
        </w:tc>
        <w:tc>
          <w:tcPr>
            <w:tcW w:w="2340" w:type="dxa"/>
            <w:vAlign w:val="center"/>
          </w:tcPr>
          <w:p>
            <w:pPr>
              <w:pStyle w:val="TableText"/>
              <w:spacing w:before="0" w:after="0" w:line="240" w:lineRule="auto"/>
            </w:pPr>
            <w:r>
              <w:rPr>
                <w:sz w:val="20"/>
                <w:szCs w:val="20"/>
              </w:rPr>
              <w:t>3,518</w:t>
            </w:r>
          </w:p>
        </w:tc>
      </w:tr>
      <w:tr>
        <w:tc>
          <w:tcPr>
            <w:tcW w:w="2340" w:type="dxa"/>
            <w:vAlign w:val="center"/>
          </w:tcPr>
          <w:p>
            <w:pPr>
              <w:pStyle w:val="TableText"/>
              <w:spacing w:before="0" w:after="0" w:line="240" w:lineRule="auto"/>
            </w:pPr>
            <w:r>
              <w:rPr>
                <w:sz w:val="20"/>
                <w:szCs w:val="20"/>
              </w:rPr>
              <w:t>NTxPred2-positive</w:t>
            </w:r>
          </w:p>
        </w:tc>
        <w:tc>
          <w:tcPr>
            <w:tcW w:w="2340" w:type="dxa"/>
            <w:vAlign w:val="center"/>
          </w:tcPr>
          <w:p>
            <w:pPr>
              <w:pStyle w:val="TableText"/>
              <w:spacing w:before="0" w:after="0" w:line="240" w:lineRule="auto"/>
            </w:pPr>
            <w:r>
              <w:rPr>
                <w:sz w:val="20"/>
                <w:szCs w:val="20"/>
              </w:rPr>
              <w:t>Model label</w:t>
            </w:r>
          </w:p>
        </w:tc>
        <w:tc>
          <w:tcPr>
            <w:tcW w:w="2340" w:type="dxa"/>
            <w:vAlign w:val="center"/>
          </w:tcPr>
          <w:p>
            <w:pPr>
              <w:pStyle w:val="TableText"/>
              <w:spacing w:before="0" w:after="0" w:line="240" w:lineRule="auto"/>
            </w:pPr>
            <w:r>
              <w:rPr>
                <w:sz w:val="20"/>
                <w:szCs w:val="20"/>
              </w:rPr>
              <w:t>923</w:t>
            </w:r>
          </w:p>
        </w:tc>
        <w:tc>
          <w:tcPr>
            <w:tcW w:w="2340" w:type="dxa"/>
            <w:vAlign w:val="center"/>
          </w:tcPr>
          <w:p>
            <w:pPr>
              <w:pStyle w:val="TableText"/>
              <w:spacing w:before="0" w:after="0" w:line="240" w:lineRule="auto"/>
            </w:pPr>
            <w:r>
              <w:rPr>
                <w:sz w:val="20"/>
                <w:szCs w:val="20"/>
              </w:rPr>
              <w:t>3,299</w:t>
            </w:r>
          </w:p>
        </w:tc>
      </w:tr>
      <w:tr>
        <w:tc>
          <w:tcPr>
            <w:tcW w:w="2340" w:type="dxa"/>
            <w:vAlign w:val="center"/>
          </w:tcPr>
          <w:p>
            <w:pPr>
              <w:pStyle w:val="TableText"/>
              <w:spacing w:before="0" w:after="0" w:line="240" w:lineRule="auto"/>
            </w:pPr>
            <w:r>
              <w:rPr>
                <w:sz w:val="20"/>
                <w:szCs w:val="20"/>
              </w:rPr>
              <w:t>mebipred-positive</w:t>
            </w:r>
          </w:p>
        </w:tc>
        <w:tc>
          <w:tcPr>
            <w:tcW w:w="2340" w:type="dxa"/>
            <w:vAlign w:val="center"/>
          </w:tcPr>
          <w:p>
            <w:pPr>
              <w:pStyle w:val="TableText"/>
              <w:spacing w:before="0" w:after="0" w:line="240" w:lineRule="auto"/>
            </w:pPr>
            <w:r>
              <w:rPr>
                <w:sz w:val="20"/>
                <w:szCs w:val="20"/>
              </w:rPr>
              <w:t>≥0.50</w:t>
            </w:r>
          </w:p>
        </w:tc>
        <w:tc>
          <w:tcPr>
            <w:tcW w:w="2340" w:type="dxa"/>
            <w:vAlign w:val="center"/>
          </w:tcPr>
          <w:p>
            <w:pPr>
              <w:pStyle w:val="TableText"/>
              <w:spacing w:before="0" w:after="0" w:line="240" w:lineRule="auto"/>
            </w:pPr>
            <w:r>
              <w:rPr>
                <w:sz w:val="20"/>
                <w:szCs w:val="20"/>
              </w:rPr>
              <w:t>111</w:t>
            </w:r>
          </w:p>
        </w:tc>
        <w:tc>
          <w:tcPr>
            <w:tcW w:w="2340" w:type="dxa"/>
            <w:vAlign w:val="center"/>
          </w:tcPr>
          <w:p>
            <w:pPr>
              <w:pStyle w:val="TableText"/>
              <w:spacing w:before="0" w:after="0" w:line="240" w:lineRule="auto"/>
            </w:pPr>
            <w:r>
              <w:rPr>
                <w:sz w:val="20"/>
                <w:szCs w:val="20"/>
              </w:rPr>
              <w:t>—</w:t>
            </w:r>
          </w:p>
        </w:tc>
      </w:tr>
      <w:tr>
        <w:tc>
          <w:tcPr>
            <w:tcW w:w="2340" w:type="dxa"/>
            <w:vAlign w:val="center"/>
          </w:tcPr>
          <w:p>
            <w:pPr>
              <w:pStyle w:val="TableText"/>
              <w:spacing w:before="0" w:after="0" w:line="240" w:lineRule="auto"/>
            </w:pPr>
            <w:r>
              <w:rPr>
                <w:sz w:val="20"/>
                <w:szCs w:val="20"/>
              </w:rPr>
              <w:t>CHEL-priority</w:t>
            </w:r>
          </w:p>
        </w:tc>
        <w:tc>
          <w:tcPr>
            <w:tcW w:w="2340" w:type="dxa"/>
            <w:vAlign w:val="center"/>
          </w:tcPr>
          <w:p>
            <w:pPr>
              <w:pStyle w:val="TableText"/>
              <w:spacing w:before="0" w:after="0" w:line="240" w:lineRule="auto"/>
            </w:pPr>
            <w:r>
              <w:rPr>
                <w:sz w:val="20"/>
                <w:szCs w:val="20"/>
              </w:rPr>
              <w:t>CHEL≥0.25</w:t>
            </w:r>
          </w:p>
        </w:tc>
        <w:tc>
          <w:tcPr>
            <w:tcW w:w="2340" w:type="dxa"/>
            <w:vAlign w:val="center"/>
          </w:tcPr>
          <w:p>
            <w:pPr>
              <w:pStyle w:val="TableText"/>
              <w:spacing w:before="0" w:after="0" w:line="240" w:lineRule="auto"/>
            </w:pPr>
            <w:r>
              <w:rPr>
                <w:sz w:val="20"/>
                <w:szCs w:val="20"/>
              </w:rPr>
              <w:t>15</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Main set</w:t>
            </w:r>
          </w:p>
        </w:tc>
        <w:tc>
          <w:tcPr>
            <w:tcW w:w="2340" w:type="dxa"/>
            <w:vAlign w:val="center"/>
          </w:tcPr>
          <w:p>
            <w:pPr>
              <w:pStyle w:val="TableText"/>
              <w:spacing w:before="0" w:after="0" w:line="240" w:lineRule="auto"/>
            </w:pPr>
            <w:r>
              <w:rPr>
                <w:sz w:val="20"/>
                <w:szCs w:val="20"/>
              </w:rPr>
              <w:t>CHEL≥0.25 and FRS&lt;0.50</w:t>
            </w:r>
          </w:p>
        </w:tc>
        <w:tc>
          <w:tcPr>
            <w:tcW w:w="2340" w:type="dxa"/>
            <w:vAlign w:val="center"/>
          </w:tcPr>
          <w:p>
            <w:pPr>
              <w:pStyle w:val="TableText"/>
              <w:spacing w:before="0" w:after="0" w:line="240" w:lineRule="auto"/>
            </w:pPr>
            <w:r>
              <w:rPr>
                <w:sz w:val="20"/>
                <w:szCs w:val="20"/>
              </w:rPr>
              <w:t>12</w:t>
            </w:r>
          </w:p>
        </w:tc>
        <w:tc>
          <w:tcPr>
            <w:tcW w:w="2340" w:type="dxa"/>
            <w:vAlign w:val="center"/>
          </w:tcPr>
          <w:p>
            <w:pPr>
              <w:pStyle w:val="TableText"/>
              <w:spacing w:before="0" w:after="0" w:line="240" w:lineRule="auto"/>
            </w:pPr>
            <w:r>
              <w:rPr>
                <w:sz w:val="20"/>
                <w:szCs w:val="20"/>
              </w:rPr>
              <w:t>111</w:t>
            </w:r>
          </w:p>
        </w:tc>
      </w:tr>
      <w:tr>
        <w:tc>
          <w:tcPr>
            <w:tcW w:w="2340" w:type="dxa"/>
            <w:vAlign w:val="center"/>
          </w:tcPr>
          <w:p>
            <w:pPr>
              <w:pStyle w:val="TableText"/>
              <w:spacing w:before="0" w:after="0" w:line="240" w:lineRule="auto"/>
            </w:pPr>
            <w:r>
              <w:rPr>
                <w:sz w:val="20"/>
                <w:szCs w:val="20"/>
              </w:rPr>
              <w:t>Stricter subset</w:t>
            </w:r>
          </w:p>
        </w:tc>
        <w:tc>
          <w:tcPr>
            <w:tcW w:w="2340" w:type="dxa"/>
            <w:vAlign w:val="center"/>
          </w:tcPr>
          <w:p>
            <w:pPr>
              <w:pStyle w:val="TableText"/>
              <w:spacing w:before="0" w:after="0" w:line="240" w:lineRule="auto"/>
            </w:pPr>
            <w:r>
              <w:rPr>
                <w:sz w:val="20"/>
                <w:szCs w:val="20"/>
              </w:rPr>
              <w:t>CHEL≥0.25 and FRS&lt;0.45</w:t>
            </w:r>
          </w:p>
        </w:tc>
        <w:tc>
          <w:tcPr>
            <w:tcW w:w="2340" w:type="dxa"/>
            <w:vAlign w:val="center"/>
          </w:tcPr>
          <w:p>
            <w:pPr>
              <w:pStyle w:val="TableText"/>
              <w:spacing w:before="0" w:after="0" w:line="240" w:lineRule="auto"/>
            </w:pPr>
            <w:r>
              <w:rPr>
                <w:sz w:val="20"/>
                <w:szCs w:val="20"/>
              </w:rPr>
              <w:t>8</w:t>
            </w:r>
          </w:p>
        </w:tc>
        <w:tc>
          <w:tcPr>
            <w:tcW w:w="2340" w:type="dxa"/>
            <w:vAlign w:val="center"/>
          </w:tcPr>
          <w:p>
            <w:pPr>
              <w:pStyle w:val="TableText"/>
              <w:spacing w:before="0" w:after="0" w:line="240" w:lineRule="auto"/>
            </w:pPr>
            <w:r>
              <w:rPr>
                <w:sz w:val="20"/>
                <w:szCs w:val="20"/>
              </w:rPr>
              <w:t>—</w:t>
            </w:r>
          </w:p>
        </w:tc>
      </w:tr>
    </w:tbl>
    <w:p>
      <w:pPr>
        <w:spacing w:after="40"/>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936"/>
        <w:gridCol w:w="936"/>
        <w:gridCol w:w="936"/>
        <w:gridCol w:w="936"/>
        <w:gridCol w:w="936"/>
        <w:gridCol w:w="936"/>
        <w:gridCol w:w="936"/>
        <w:gridCol w:w="936"/>
        <w:gridCol w:w="936"/>
        <w:gridCol w:w="936"/>
      </w:tblGrid>
      <w:tr>
        <w:trPr>
          <w:tblHeader/>
        </w:trPr>
        <w:tc>
          <w:tcPr>
            <w:tcW w:w="936" w:type="dxa"/>
            <w:tcBorders>
              <w:bottom w:val="single" w:sz="8" w:space="0" w:color="000000"/>
            </w:tcBorders>
            <w:vAlign w:val="center"/>
          </w:tcPr>
          <w:p>
            <w:pPr>
              <w:pStyle w:val="TableText"/>
              <w:spacing w:before="0" w:after="0" w:line="240" w:lineRule="auto"/>
            </w:pPr>
            <w:r>
              <w:rPr>
                <w:sz w:val="20"/>
                <w:szCs w:val="20"/>
              </w:rPr>
              <w:t>Peptide</w:t>
            </w:r>
          </w:p>
        </w:tc>
        <w:tc>
          <w:tcPr>
            <w:tcW w:w="936" w:type="dxa"/>
            <w:tcBorders>
              <w:bottom w:val="single" w:sz="8" w:space="0" w:color="000000"/>
            </w:tcBorders>
            <w:vAlign w:val="center"/>
          </w:tcPr>
          <w:p>
            <w:pPr>
              <w:pStyle w:val="TableText"/>
              <w:spacing w:before="0" w:after="0" w:line="240" w:lineRule="auto"/>
            </w:pPr>
            <w:r>
              <w:rPr>
                <w:sz w:val="20"/>
                <w:szCs w:val="20"/>
              </w:rPr>
              <w:t>aa</w:t>
            </w:r>
          </w:p>
        </w:tc>
        <w:tc>
          <w:tcPr>
            <w:tcW w:w="936" w:type="dxa"/>
            <w:tcBorders>
              <w:bottom w:val="single" w:sz="8" w:space="0" w:color="000000"/>
            </w:tcBorders>
            <w:vAlign w:val="center"/>
          </w:tcPr>
          <w:p>
            <w:pPr>
              <w:pStyle w:val="TableText"/>
              <w:spacing w:before="0" w:after="0" w:line="240" w:lineRule="auto"/>
            </w:pPr>
            <w:r>
              <w:rPr>
                <w:sz w:val="20"/>
                <w:szCs w:val="20"/>
              </w:rPr>
              <w:t>MW (Da)</w:t>
            </w:r>
          </w:p>
        </w:tc>
        <w:tc>
          <w:tcPr>
            <w:tcW w:w="936" w:type="dxa"/>
            <w:tcBorders>
              <w:bottom w:val="single" w:sz="8" w:space="0" w:color="000000"/>
            </w:tcBorders>
            <w:vAlign w:val="center"/>
          </w:tcPr>
          <w:p>
            <w:pPr>
              <w:pStyle w:val="TableText"/>
              <w:spacing w:before="0" w:after="0" w:line="240" w:lineRule="auto"/>
            </w:pPr>
            <w:r>
              <w:rPr>
                <w:sz w:val="20"/>
                <w:szCs w:val="20"/>
              </w:rPr>
              <w:t>pI</w:t>
            </w:r>
          </w:p>
        </w:tc>
        <w:tc>
          <w:tcPr>
            <w:tcW w:w="936" w:type="dxa"/>
            <w:tcBorders>
              <w:bottom w:val="single" w:sz="8" w:space="0" w:color="000000"/>
            </w:tcBorders>
            <w:vAlign w:val="center"/>
          </w:tcPr>
          <w:p>
            <w:pPr>
              <w:pStyle w:val="TableText"/>
              <w:spacing w:before="0" w:after="0" w:line="240" w:lineRule="auto"/>
            </w:pPr>
            <w:r>
              <w:rPr>
                <w:sz w:val="20"/>
                <w:szCs w:val="20"/>
              </w:rPr>
              <w:t>z (pH 7.4)</w:t>
            </w:r>
          </w:p>
        </w:tc>
        <w:tc>
          <w:tcPr>
            <w:tcW w:w="936" w:type="dxa"/>
            <w:tcBorders>
              <w:bottom w:val="single" w:sz="8" w:space="0" w:color="000000"/>
            </w:tcBorders>
            <w:vAlign w:val="center"/>
          </w:tcPr>
          <w:p>
            <w:pPr>
              <w:pStyle w:val="TableText"/>
              <w:spacing w:before="0" w:after="0" w:line="240" w:lineRule="auto"/>
            </w:pPr>
            <w:r>
              <w:rPr>
                <w:sz w:val="20"/>
                <w:szCs w:val="20"/>
              </w:rPr>
              <w:t>GRAVY</w:t>
            </w:r>
          </w:p>
        </w:tc>
        <w:tc>
          <w:tcPr>
            <w:tcW w:w="936" w:type="dxa"/>
            <w:tcBorders>
              <w:bottom w:val="single" w:sz="8" w:space="0" w:color="000000"/>
            </w:tcBorders>
            <w:vAlign w:val="center"/>
          </w:tcPr>
          <w:p>
            <w:pPr>
              <w:pStyle w:val="TableText"/>
              <w:spacing w:before="0" w:after="0" w:line="240" w:lineRule="auto"/>
            </w:pPr>
            <w:r>
              <w:rPr>
                <w:sz w:val="20"/>
                <w:szCs w:val="20"/>
              </w:rPr>
              <w:t>AI</w:t>
            </w:r>
          </w:p>
        </w:tc>
        <w:tc>
          <w:tcPr>
            <w:tcW w:w="936" w:type="dxa"/>
            <w:tcBorders>
              <w:bottom w:val="single" w:sz="8" w:space="0" w:color="000000"/>
            </w:tcBorders>
            <w:vAlign w:val="center"/>
          </w:tcPr>
          <w:p>
            <w:pPr>
              <w:pStyle w:val="TableText"/>
              <w:spacing w:before="0" w:after="0" w:line="240" w:lineRule="auto"/>
            </w:pPr>
            <w:r>
              <w:rPr>
                <w:sz w:val="20"/>
                <w:szCs w:val="20"/>
              </w:rPr>
              <w:t>His</w:t>
            </w:r>
          </w:p>
        </w:tc>
        <w:tc>
          <w:tcPr>
            <w:tcW w:w="936" w:type="dxa"/>
            <w:tcBorders>
              <w:bottom w:val="single" w:sz="8" w:space="0" w:color="000000"/>
            </w:tcBorders>
            <w:vAlign w:val="center"/>
          </w:tcPr>
          <w:p>
            <w:pPr>
              <w:pStyle w:val="TableText"/>
              <w:spacing w:before="0" w:after="0" w:line="240" w:lineRule="auto"/>
            </w:pPr>
            <w:r>
              <w:rPr>
                <w:sz w:val="20"/>
                <w:szCs w:val="20"/>
              </w:rPr>
              <w:t>Cys</w:t>
            </w:r>
          </w:p>
        </w:tc>
        <w:tc>
          <w:tcPr>
            <w:tcW w:w="936" w:type="dxa"/>
            <w:tcBorders>
              <w:bottom w:val="single" w:sz="8" w:space="0" w:color="000000"/>
            </w:tcBorders>
            <w:vAlign w:val="center"/>
          </w:tcPr>
          <w:p>
            <w:pPr>
              <w:pStyle w:val="TableText"/>
              <w:spacing w:before="0" w:after="0" w:line="240" w:lineRule="auto"/>
            </w:pPr>
            <w:r>
              <w:rPr>
                <w:sz w:val="20"/>
                <w:szCs w:val="20"/>
              </w:rPr>
              <w:t>R+K</w:t>
            </w:r>
          </w:p>
        </w:tc>
      </w:tr>
      <w:tr>
        <w:tc>
          <w:tcPr>
            <w:tcW w:w="936" w:type="dxa"/>
            <w:vAlign w:val="center"/>
          </w:tcPr>
          <w:p>
            <w:pPr>
              <w:pStyle w:val="TableText"/>
              <w:spacing w:before="0" w:after="0" w:line="240" w:lineRule="auto"/>
            </w:pPr>
            <w:r>
              <w:rPr>
                <w:sz w:val="20"/>
                <w:szCs w:val="20"/>
              </w:rPr>
              <w:t>ALLLHRC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825.03</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1.14</w:t>
            </w:r>
          </w:p>
        </w:tc>
        <w:tc>
          <w:tcPr>
            <w:tcW w:w="936" w:type="dxa"/>
            <w:vAlign w:val="center"/>
          </w:tcPr>
          <w:p>
            <w:pPr>
              <w:pStyle w:val="TableText"/>
              <w:spacing w:before="0" w:after="0" w:line="240" w:lineRule="auto"/>
            </w:pPr>
            <w:r>
              <w:rPr>
                <w:sz w:val="20"/>
                <w:szCs w:val="20"/>
              </w:rPr>
              <w:t>181.4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FCLHLQLR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1029.26</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0.69</w:t>
            </w:r>
          </w:p>
        </w:tc>
        <w:tc>
          <w:tcPr>
            <w:tcW w:w="936" w:type="dxa"/>
            <w:vAlign w:val="center"/>
          </w:tcPr>
          <w:p>
            <w:pPr>
              <w:pStyle w:val="TableText"/>
              <w:spacing w:before="0" w:after="0" w:line="240" w:lineRule="auto"/>
            </w:pPr>
            <w:r>
              <w:rPr>
                <w:sz w:val="20"/>
                <w:szCs w:val="20"/>
              </w:rPr>
              <w:t>146.2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FLLHTTR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887.04</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0.19</w:t>
            </w:r>
          </w:p>
        </w:tc>
        <w:tc>
          <w:tcPr>
            <w:tcW w:w="936" w:type="dxa"/>
            <w:vAlign w:val="center"/>
          </w:tcPr>
          <w:p>
            <w:pPr>
              <w:pStyle w:val="TableText"/>
              <w:spacing w:before="0" w:after="0" w:line="240" w:lineRule="auto"/>
            </w:pPr>
            <w:r>
              <w:rPr>
                <w:sz w:val="20"/>
                <w:szCs w:val="20"/>
              </w:rPr>
              <w:t>111.4</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HLLTLKKHV</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1088.35</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2.08</w:t>
            </w:r>
          </w:p>
        </w:tc>
        <w:tc>
          <w:tcPr>
            <w:tcW w:w="936" w:type="dxa"/>
            <w:vAlign w:val="center"/>
          </w:tcPr>
          <w:p>
            <w:pPr>
              <w:pStyle w:val="TableText"/>
              <w:spacing w:before="0" w:after="0" w:line="240" w:lineRule="auto"/>
            </w:pPr>
            <w:r>
              <w:rPr>
                <w:sz w:val="20"/>
                <w:szCs w:val="20"/>
              </w:rPr>
              <w:t>0.08</w:t>
            </w:r>
          </w:p>
        </w:tc>
        <w:tc>
          <w:tcPr>
            <w:tcW w:w="936" w:type="dxa"/>
            <w:vAlign w:val="center"/>
          </w:tcPr>
          <w:p>
            <w:pPr>
              <w:pStyle w:val="TableText"/>
              <w:spacing w:before="0" w:after="0" w:line="240" w:lineRule="auto"/>
            </w:pPr>
            <w:r>
              <w:rPr>
                <w:sz w:val="20"/>
                <w:szCs w:val="20"/>
              </w:rPr>
              <w:t>162.2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HLPLLHRCC</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1091.35</w:t>
            </w:r>
          </w:p>
        </w:tc>
        <w:tc>
          <w:tcPr>
            <w:tcW w:w="936" w:type="dxa"/>
            <w:vAlign w:val="center"/>
          </w:tcPr>
          <w:p>
            <w:pPr>
              <w:pStyle w:val="TableText"/>
              <w:spacing w:before="0" w:after="0" w:line="240" w:lineRule="auto"/>
            </w:pPr>
            <w:r>
              <w:rPr>
                <w:sz w:val="20"/>
                <w:szCs w:val="20"/>
              </w:rPr>
              <w:t>8.28</w:t>
            </w:r>
          </w:p>
        </w:tc>
        <w:tc>
          <w:tcPr>
            <w:tcW w:w="936" w:type="dxa"/>
            <w:vAlign w:val="center"/>
          </w:tcPr>
          <w:p>
            <w:pPr>
              <w:pStyle w:val="TableText"/>
              <w:spacing w:before="0" w:after="0" w:line="240" w:lineRule="auto"/>
            </w:pPr>
            <w:r>
              <w:rPr>
                <w:sz w:val="20"/>
                <w:szCs w:val="20"/>
              </w:rPr>
              <w:t>0.85</w:t>
            </w:r>
          </w:p>
        </w:tc>
        <w:tc>
          <w:tcPr>
            <w:tcW w:w="936" w:type="dxa"/>
            <w:vAlign w:val="center"/>
          </w:tcPr>
          <w:p>
            <w:pPr>
              <w:pStyle w:val="TableText"/>
              <w:spacing w:before="0" w:after="0" w:line="240" w:lineRule="auto"/>
            </w:pPr>
            <w:r>
              <w:rPr>
                <w:sz w:val="20"/>
                <w:szCs w:val="20"/>
              </w:rPr>
              <w:t>0.43</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HVLLLRQCA</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1052.30</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0.97</w:t>
            </w:r>
          </w:p>
        </w:tc>
        <w:tc>
          <w:tcPr>
            <w:tcW w:w="936" w:type="dxa"/>
            <w:vAlign w:val="center"/>
          </w:tcPr>
          <w:p>
            <w:pPr>
              <w:pStyle w:val="TableText"/>
              <w:spacing w:before="0" w:after="0" w:line="240" w:lineRule="auto"/>
            </w:pPr>
            <w:r>
              <w:rPr>
                <w:sz w:val="20"/>
                <w:szCs w:val="20"/>
              </w:rPr>
              <w:t>173.3</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LLHLPKRTT</w:t>
            </w:r>
          </w:p>
        </w:tc>
        <w:tc>
          <w:tcPr>
            <w:tcW w:w="936" w:type="dxa"/>
            <w:vAlign w:val="center"/>
          </w:tcPr>
          <w:p>
            <w:pPr>
              <w:pStyle w:val="TableText"/>
              <w:spacing w:before="0" w:after="0" w:line="240" w:lineRule="auto"/>
            </w:pPr>
            <w:r>
              <w:rPr>
                <w:sz w:val="20"/>
                <w:szCs w:val="20"/>
              </w:rPr>
              <w:t>9</w:t>
            </w:r>
          </w:p>
        </w:tc>
        <w:tc>
          <w:tcPr>
            <w:tcW w:w="936" w:type="dxa"/>
            <w:vAlign w:val="center"/>
          </w:tcPr>
          <w:p>
            <w:pPr>
              <w:pStyle w:val="TableText"/>
              <w:spacing w:before="0" w:after="0" w:line="240" w:lineRule="auto"/>
            </w:pPr>
            <w:r>
              <w:rPr>
                <w:sz w:val="20"/>
                <w:szCs w:val="20"/>
              </w:rPr>
              <w:t>1078.32</w:t>
            </w:r>
          </w:p>
        </w:tc>
        <w:tc>
          <w:tcPr>
            <w:tcW w:w="936" w:type="dxa"/>
            <w:vAlign w:val="center"/>
          </w:tcPr>
          <w:p>
            <w:pPr>
              <w:pStyle w:val="TableText"/>
              <w:spacing w:before="0" w:after="0" w:line="240" w:lineRule="auto"/>
            </w:pPr>
            <w:r>
              <w:rPr>
                <w:sz w:val="20"/>
                <w:szCs w:val="20"/>
              </w:rPr>
              <w:t>11.54</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−0.36</w:t>
            </w:r>
          </w:p>
        </w:tc>
        <w:tc>
          <w:tcPr>
            <w:tcW w:w="936" w:type="dxa"/>
            <w:vAlign w:val="center"/>
          </w:tcPr>
          <w:p>
            <w:pPr>
              <w:pStyle w:val="TableText"/>
              <w:spacing w:before="0" w:after="0" w:line="240" w:lineRule="auto"/>
            </w:pPr>
            <w:r>
              <w:rPr>
                <w:sz w:val="20"/>
                <w:szCs w:val="20"/>
              </w:rPr>
              <w:t>130.0</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LLHPLRC</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851.07</w:t>
            </w:r>
          </w:p>
        </w:tc>
        <w:tc>
          <w:tcPr>
            <w:tcW w:w="936" w:type="dxa"/>
            <w:vAlign w:val="center"/>
          </w:tcPr>
          <w:p>
            <w:pPr>
              <w:pStyle w:val="TableText"/>
              <w:spacing w:before="0" w:after="0" w:line="240" w:lineRule="auto"/>
            </w:pPr>
            <w:r>
              <w:rPr>
                <w:sz w:val="20"/>
                <w:szCs w:val="20"/>
              </w:rPr>
              <w:t>9.00</w:t>
            </w:r>
          </w:p>
        </w:tc>
        <w:tc>
          <w:tcPr>
            <w:tcW w:w="936" w:type="dxa"/>
            <w:vAlign w:val="center"/>
          </w:tcPr>
          <w:p>
            <w:pPr>
              <w:pStyle w:val="TableText"/>
              <w:spacing w:before="0" w:after="0" w:line="240" w:lineRule="auto"/>
            </w:pPr>
            <w:r>
              <w:rPr>
                <w:sz w:val="20"/>
                <w:szCs w:val="20"/>
              </w:rPr>
              <w:t>0.92</w:t>
            </w:r>
          </w:p>
        </w:tc>
        <w:tc>
          <w:tcPr>
            <w:tcW w:w="936" w:type="dxa"/>
            <w:vAlign w:val="center"/>
          </w:tcPr>
          <w:p>
            <w:pPr>
              <w:pStyle w:val="TableText"/>
              <w:spacing w:before="0" w:after="0" w:line="240" w:lineRule="auto"/>
            </w:pPr>
            <w:r>
              <w:rPr>
                <w:sz w:val="20"/>
                <w:szCs w:val="20"/>
              </w:rPr>
              <w:t>0.66</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LLHPLRL</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861.09</w:t>
            </w:r>
          </w:p>
        </w:tc>
        <w:tc>
          <w:tcPr>
            <w:tcW w:w="936" w:type="dxa"/>
            <w:vAlign w:val="center"/>
          </w:tcPr>
          <w:p>
            <w:pPr>
              <w:pStyle w:val="TableText"/>
              <w:spacing w:before="0" w:after="0" w:line="240" w:lineRule="auto"/>
            </w:pPr>
            <w:r>
              <w:rPr>
                <w:sz w:val="20"/>
                <w:szCs w:val="20"/>
              </w:rPr>
              <w:t>11.09</w:t>
            </w:r>
          </w:p>
        </w:tc>
        <w:tc>
          <w:tcPr>
            <w:tcW w:w="936" w:type="dxa"/>
            <w:vAlign w:val="center"/>
          </w:tcPr>
          <w:p>
            <w:pPr>
              <w:pStyle w:val="TableText"/>
              <w:spacing w:before="0" w:after="0" w:line="240" w:lineRule="auto"/>
            </w:pPr>
            <w:r>
              <w:rPr>
                <w:sz w:val="20"/>
                <w:szCs w:val="20"/>
              </w:rPr>
              <w:t>1.04</w:t>
            </w:r>
          </w:p>
        </w:tc>
        <w:tc>
          <w:tcPr>
            <w:tcW w:w="936" w:type="dxa"/>
            <w:vAlign w:val="center"/>
          </w:tcPr>
          <w:p>
            <w:pPr>
              <w:pStyle w:val="TableText"/>
              <w:spacing w:before="0" w:after="0" w:line="240" w:lineRule="auto"/>
            </w:pPr>
            <w:r>
              <w:rPr>
                <w:sz w:val="20"/>
                <w:szCs w:val="20"/>
              </w:rPr>
              <w:t>0.84</w:t>
            </w:r>
          </w:p>
        </w:tc>
        <w:tc>
          <w:tcPr>
            <w:tcW w:w="936" w:type="dxa"/>
            <w:vAlign w:val="center"/>
          </w:tcPr>
          <w:p>
            <w:pPr>
              <w:pStyle w:val="TableText"/>
              <w:spacing w:before="0" w:after="0" w:line="240" w:lineRule="auto"/>
            </w:pPr>
            <w:r>
              <w:rPr>
                <w:sz w:val="20"/>
                <w:szCs w:val="20"/>
              </w:rPr>
              <w:t>222.9</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r>
        <w:tc>
          <w:tcPr>
            <w:tcW w:w="936" w:type="dxa"/>
            <w:vAlign w:val="center"/>
          </w:tcPr>
          <w:p>
            <w:pPr>
              <w:pStyle w:val="TableText"/>
              <w:spacing w:before="0" w:after="0" w:line="240" w:lineRule="auto"/>
            </w:pPr>
            <w:r>
              <w:rPr>
                <w:sz w:val="20"/>
                <w:szCs w:val="20"/>
              </w:rPr>
              <w:t>WLLVHLKK</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1036.32</w:t>
            </w:r>
          </w:p>
        </w:tc>
        <w:tc>
          <w:tcPr>
            <w:tcW w:w="936" w:type="dxa"/>
            <w:vAlign w:val="center"/>
          </w:tcPr>
          <w:p>
            <w:pPr>
              <w:pStyle w:val="TableText"/>
              <w:spacing w:before="0" w:after="0" w:line="240" w:lineRule="auto"/>
            </w:pPr>
            <w:r>
              <w:rPr>
                <w:sz w:val="20"/>
                <w:szCs w:val="20"/>
              </w:rPr>
              <w:t>10.63</w:t>
            </w:r>
          </w:p>
        </w:tc>
        <w:tc>
          <w:tcPr>
            <w:tcW w:w="936" w:type="dxa"/>
            <w:vAlign w:val="center"/>
          </w:tcPr>
          <w:p>
            <w:pPr>
              <w:pStyle w:val="TableText"/>
              <w:spacing w:before="0" w:after="0" w:line="240" w:lineRule="auto"/>
            </w:pPr>
            <w:r>
              <w:rPr>
                <w:sz w:val="20"/>
                <w:szCs w:val="20"/>
              </w:rPr>
              <w:t>2.04</w:t>
            </w:r>
          </w:p>
        </w:tc>
        <w:tc>
          <w:tcPr>
            <w:tcW w:w="936" w:type="dxa"/>
            <w:vAlign w:val="center"/>
          </w:tcPr>
          <w:p>
            <w:pPr>
              <w:pStyle w:val="TableText"/>
              <w:spacing w:before="0" w:after="0" w:line="240" w:lineRule="auto"/>
            </w:pPr>
            <w:r>
              <w:rPr>
                <w:sz w:val="20"/>
                <w:szCs w:val="20"/>
              </w:rPr>
              <w:t>0.46</w:t>
            </w:r>
          </w:p>
        </w:tc>
        <w:tc>
          <w:tcPr>
            <w:tcW w:w="936" w:type="dxa"/>
            <w:vAlign w:val="center"/>
          </w:tcPr>
          <w:p>
            <w:pPr>
              <w:pStyle w:val="TableText"/>
              <w:spacing w:before="0" w:after="0" w:line="240" w:lineRule="auto"/>
            </w:pPr>
            <w:r>
              <w:rPr>
                <w:sz w:val="20"/>
                <w:szCs w:val="20"/>
              </w:rPr>
              <w:t>182.5</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YHHLLCRR</w:t>
            </w:r>
          </w:p>
        </w:tc>
        <w:tc>
          <w:tcPr>
            <w:tcW w:w="936" w:type="dxa"/>
            <w:vAlign w:val="center"/>
          </w:tcPr>
          <w:p>
            <w:pPr>
              <w:pStyle w:val="TableText"/>
              <w:spacing w:before="0" w:after="0" w:line="240" w:lineRule="auto"/>
            </w:pPr>
            <w:r>
              <w:rPr>
                <w:sz w:val="20"/>
                <w:szCs w:val="20"/>
              </w:rPr>
              <w:t>8</w:t>
            </w:r>
          </w:p>
        </w:tc>
        <w:tc>
          <w:tcPr>
            <w:tcW w:w="936" w:type="dxa"/>
            <w:vAlign w:val="center"/>
          </w:tcPr>
          <w:p>
            <w:pPr>
              <w:pStyle w:val="TableText"/>
              <w:spacing w:before="0" w:after="0" w:line="240" w:lineRule="auto"/>
            </w:pPr>
            <w:r>
              <w:rPr>
                <w:sz w:val="20"/>
                <w:szCs w:val="20"/>
              </w:rPr>
              <w:t>1097.30</w:t>
            </w:r>
          </w:p>
        </w:tc>
        <w:tc>
          <w:tcPr>
            <w:tcW w:w="936" w:type="dxa"/>
            <w:vAlign w:val="center"/>
          </w:tcPr>
          <w:p>
            <w:pPr>
              <w:pStyle w:val="TableText"/>
              <w:spacing w:before="0" w:after="0" w:line="240" w:lineRule="auto"/>
            </w:pPr>
            <w:r>
              <w:rPr>
                <w:sz w:val="20"/>
                <w:szCs w:val="20"/>
              </w:rPr>
              <w:t>9.91</w:t>
            </w:r>
          </w:p>
        </w:tc>
        <w:tc>
          <w:tcPr>
            <w:tcW w:w="936" w:type="dxa"/>
            <w:vAlign w:val="center"/>
          </w:tcPr>
          <w:p>
            <w:pPr>
              <w:pStyle w:val="TableText"/>
              <w:spacing w:before="0" w:after="0" w:line="240" w:lineRule="auto"/>
            </w:pPr>
            <w:r>
              <w:rPr>
                <w:sz w:val="20"/>
                <w:szCs w:val="20"/>
              </w:rPr>
              <w:t>1.96</w:t>
            </w:r>
          </w:p>
        </w:tc>
        <w:tc>
          <w:tcPr>
            <w:tcW w:w="936" w:type="dxa"/>
            <w:vAlign w:val="center"/>
          </w:tcPr>
          <w:p>
            <w:pPr>
              <w:pStyle w:val="TableText"/>
              <w:spacing w:before="0" w:after="0" w:line="240" w:lineRule="auto"/>
            </w:pPr>
            <w:r>
              <w:rPr>
                <w:sz w:val="20"/>
                <w:szCs w:val="20"/>
              </w:rPr>
              <w:t>−0.95</w:t>
            </w:r>
          </w:p>
        </w:tc>
        <w:tc>
          <w:tcPr>
            <w:tcW w:w="936" w:type="dxa"/>
            <w:vAlign w:val="center"/>
          </w:tcPr>
          <w:p>
            <w:pPr>
              <w:pStyle w:val="TableText"/>
              <w:spacing w:before="0" w:after="0" w:line="240" w:lineRule="auto"/>
            </w:pPr>
            <w:r>
              <w:rPr>
                <w:sz w:val="20"/>
                <w:szCs w:val="20"/>
              </w:rPr>
              <w:t>97.5</w:t>
            </w:r>
          </w:p>
        </w:tc>
        <w:tc>
          <w:tcPr>
            <w:tcW w:w="936" w:type="dxa"/>
            <w:vAlign w:val="center"/>
          </w:tcPr>
          <w:p>
            <w:pPr>
              <w:pStyle w:val="TableText"/>
              <w:spacing w:before="0" w:after="0" w:line="240" w:lineRule="auto"/>
            </w:pPr>
            <w:r>
              <w:rPr>
                <w:sz w:val="20"/>
                <w:szCs w:val="20"/>
              </w:rPr>
              <w:t>2</w:t>
            </w:r>
          </w:p>
        </w:tc>
        <w:tc>
          <w:tcPr>
            <w:tcW w:w="936" w:type="dxa"/>
            <w:vAlign w:val="center"/>
          </w:tcPr>
          <w:p>
            <w:pPr>
              <w:pStyle w:val="TableText"/>
              <w:spacing w:before="0" w:after="0" w:line="240" w:lineRule="auto"/>
            </w:pPr>
            <w:r>
              <w:rPr>
                <w:sz w:val="20"/>
                <w:szCs w:val="20"/>
              </w:rPr>
              <w:t>1</w:t>
            </w:r>
          </w:p>
        </w:tc>
        <w:tc>
          <w:tcPr>
            <w:tcW w:w="936" w:type="dxa"/>
            <w:vAlign w:val="center"/>
          </w:tcPr>
          <w:p>
            <w:pPr>
              <w:pStyle w:val="TableText"/>
              <w:spacing w:before="0" w:after="0" w:line="240" w:lineRule="auto"/>
            </w:pPr>
            <w:r>
              <w:rPr>
                <w:sz w:val="20"/>
                <w:szCs w:val="20"/>
              </w:rPr>
              <w:t>2</w:t>
            </w:r>
          </w:p>
        </w:tc>
      </w:tr>
      <w:tr>
        <w:tc>
          <w:tcPr>
            <w:tcW w:w="936" w:type="dxa"/>
            <w:vAlign w:val="center"/>
          </w:tcPr>
          <w:p>
            <w:pPr>
              <w:pStyle w:val="TableText"/>
              <w:spacing w:before="0" w:after="0" w:line="240" w:lineRule="auto"/>
            </w:pPr>
            <w:r>
              <w:rPr>
                <w:sz w:val="20"/>
                <w:szCs w:val="20"/>
              </w:rPr>
              <w:t>YLSLLQR</w:t>
            </w:r>
          </w:p>
        </w:tc>
        <w:tc>
          <w:tcPr>
            <w:tcW w:w="936" w:type="dxa"/>
            <w:vAlign w:val="center"/>
          </w:tcPr>
          <w:p>
            <w:pPr>
              <w:pStyle w:val="TableText"/>
              <w:spacing w:before="0" w:after="0" w:line="240" w:lineRule="auto"/>
            </w:pPr>
            <w:r>
              <w:rPr>
                <w:sz w:val="20"/>
                <w:szCs w:val="20"/>
              </w:rPr>
              <w:t>7</w:t>
            </w:r>
          </w:p>
        </w:tc>
        <w:tc>
          <w:tcPr>
            <w:tcW w:w="936" w:type="dxa"/>
            <w:vAlign w:val="center"/>
          </w:tcPr>
          <w:p>
            <w:pPr>
              <w:pStyle w:val="TableText"/>
              <w:spacing w:before="0" w:after="0" w:line="240" w:lineRule="auto"/>
            </w:pPr>
            <w:r>
              <w:rPr>
                <w:sz w:val="20"/>
                <w:szCs w:val="20"/>
              </w:rPr>
              <w:t>892.06</w:t>
            </w:r>
          </w:p>
        </w:tc>
        <w:tc>
          <w:tcPr>
            <w:tcW w:w="936" w:type="dxa"/>
            <w:vAlign w:val="center"/>
          </w:tcPr>
          <w:p>
            <w:pPr>
              <w:pStyle w:val="TableText"/>
              <w:spacing w:before="0" w:after="0" w:line="240" w:lineRule="auto"/>
            </w:pPr>
            <w:r>
              <w:rPr>
                <w:sz w:val="20"/>
                <w:szCs w:val="20"/>
              </w:rPr>
              <w:t>9.89</w:t>
            </w:r>
          </w:p>
        </w:tc>
        <w:tc>
          <w:tcPr>
            <w:tcW w:w="936" w:type="dxa"/>
            <w:vAlign w:val="center"/>
          </w:tcPr>
          <w:p>
            <w:pPr>
              <w:pStyle w:val="TableText"/>
              <w:spacing w:before="0" w:after="0" w:line="240" w:lineRule="auto"/>
            </w:pPr>
            <w:r>
              <w:rPr>
                <w:sz w:val="20"/>
                <w:szCs w:val="20"/>
              </w:rPr>
              <w:t>0.99</w:t>
            </w:r>
          </w:p>
        </w:tc>
        <w:tc>
          <w:tcPr>
            <w:tcW w:w="936" w:type="dxa"/>
            <w:vAlign w:val="center"/>
          </w:tcPr>
          <w:p>
            <w:pPr>
              <w:pStyle w:val="TableText"/>
              <w:spacing w:before="0" w:after="0" w:line="240" w:lineRule="auto"/>
            </w:pPr>
            <w:r>
              <w:rPr>
                <w:sz w:val="20"/>
                <w:szCs w:val="20"/>
              </w:rPr>
              <w:t>0.04</w:t>
            </w:r>
          </w:p>
        </w:tc>
        <w:tc>
          <w:tcPr>
            <w:tcW w:w="936" w:type="dxa"/>
            <w:vAlign w:val="center"/>
          </w:tcPr>
          <w:p>
            <w:pPr>
              <w:pStyle w:val="TableText"/>
              <w:spacing w:before="0" w:after="0" w:line="240" w:lineRule="auto"/>
            </w:pPr>
            <w:r>
              <w:rPr>
                <w:sz w:val="20"/>
                <w:szCs w:val="20"/>
              </w:rPr>
              <w:t>167.1</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0</w:t>
            </w:r>
          </w:p>
        </w:tc>
        <w:tc>
          <w:tcPr>
            <w:tcW w:w="936" w:type="dxa"/>
            <w:vAlign w:val="center"/>
          </w:tcPr>
          <w:p>
            <w:pPr>
              <w:pStyle w:val="TableText"/>
              <w:spacing w:before="0" w:after="0" w:line="240" w:lineRule="auto"/>
            </w:pPr>
            <w:r>
              <w:rPr>
                <w:sz w:val="20"/>
                <w:szCs w:val="20"/>
              </w:rPr>
              <w:t>1</w:t>
            </w:r>
          </w:p>
        </w:tc>
      </w:tr>
    </w:tbl>
    <w:p>
      <w:pPr>
        <w:spacing w:after="40"/>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560"/>
        <w:gridCol w:w="1560"/>
        <w:gridCol w:w="1560"/>
        <w:gridCol w:w="1560"/>
        <w:gridCol w:w="1560"/>
        <w:gridCol w:w="1560"/>
      </w:tblGrid>
      <w:tr>
        <w:trPr>
          <w:tblHeader/>
        </w:trPr>
        <w:tc>
          <w:tcPr>
            <w:tcW w:w="1560" w:type="dxa"/>
            <w:tcBorders>
              <w:bottom w:val="single" w:sz="8" w:space="0" w:color="000000"/>
            </w:tcBorders>
            <w:vAlign w:val="center"/>
          </w:tcPr>
          <w:p>
            <w:pPr>
              <w:pStyle w:val="TableText"/>
              <w:spacing w:before="0" w:after="0" w:line="240" w:lineRule="auto"/>
            </w:pPr>
            <w:r>
              <w:rPr>
                <w:sz w:val="20"/>
                <w:szCs w:val="20"/>
              </w:rPr>
              <w:t>Peptide</w:t>
            </w:r>
          </w:p>
        </w:tc>
        <w:tc>
          <w:tcPr>
            <w:tcW w:w="1560" w:type="dxa"/>
            <w:tcBorders>
              <w:bottom w:val="single" w:sz="8" w:space="0" w:color="000000"/>
            </w:tcBorders>
            <w:vAlign w:val="center"/>
          </w:tcPr>
          <w:p>
            <w:pPr>
              <w:pStyle w:val="TableText"/>
              <w:spacing w:before="0" w:after="0" w:line="240" w:lineRule="auto"/>
            </w:pPr>
            <w:r>
              <w:rPr>
                <w:sz w:val="20"/>
                <w:szCs w:val="20"/>
              </w:rPr>
              <w:t>H-bonds</w:t>
            </w:r>
          </w:p>
        </w:tc>
        <w:tc>
          <w:tcPr>
            <w:tcW w:w="1560" w:type="dxa"/>
            <w:tcBorders>
              <w:bottom w:val="single" w:sz="8" w:space="0" w:color="000000"/>
            </w:tcBorders>
            <w:vAlign w:val="center"/>
          </w:tcPr>
          <w:p>
            <w:pPr>
              <w:pStyle w:val="TableText"/>
              <w:spacing w:before="0" w:after="0" w:line="240" w:lineRule="auto"/>
            </w:pPr>
            <w:r>
              <w:rPr>
                <w:sz w:val="20"/>
                <w:szCs w:val="20"/>
              </w:rPr>
              <w:t>Best</w:t>
            </w:r>
          </w:p>
        </w:tc>
        <w:tc>
          <w:tcPr>
            <w:tcW w:w="1560" w:type="dxa"/>
            <w:tcBorders>
              <w:bottom w:val="single" w:sz="8" w:space="0" w:color="000000"/>
            </w:tcBorders>
            <w:vAlign w:val="center"/>
          </w:tcPr>
          <w:p>
            <w:pPr>
              <w:pStyle w:val="TableText"/>
              <w:spacing w:before="0" w:after="0" w:line="240" w:lineRule="auto"/>
            </w:pPr>
            <w:r>
              <w:rPr>
                <w:sz w:val="20"/>
                <w:szCs w:val="20"/>
              </w:rPr>
              <w:t>Mean ± SD (n=3)</w:t>
            </w:r>
          </w:p>
        </w:tc>
        <w:tc>
          <w:tcPr>
            <w:tcW w:w="1560" w:type="dxa"/>
            <w:tcBorders>
              <w:bottom w:val="single" w:sz="8" w:space="0" w:color="000000"/>
            </w:tcBorders>
            <w:vAlign w:val="center"/>
          </w:tcPr>
          <w:p>
            <w:pPr>
              <w:pStyle w:val="TableText"/>
              <w:spacing w:before="0" w:after="0" w:line="240" w:lineRule="auto"/>
            </w:pPr>
            <w:r>
              <w:rPr>
                <w:sz w:val="20"/>
                <w:szCs w:val="20"/>
              </w:rPr>
              <w:t>PAS</w:t>
            </w:r>
          </w:p>
        </w:tc>
        <w:tc>
          <w:tcPr>
            <w:tcW w:w="1560"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1560" w:type="dxa"/>
            <w:vAlign w:val="center"/>
          </w:tcPr>
          <w:p>
            <w:pPr>
              <w:pStyle w:val="TableText"/>
              <w:spacing w:before="0" w:after="0" w:line="240" w:lineRule="auto"/>
            </w:pPr>
            <w:r>
              <w:rPr>
                <w:sz w:val="20"/>
                <w:szCs w:val="20"/>
              </w:rPr>
              <w:t>ALLLHRC</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−9.29</w:t>
            </w:r>
          </w:p>
        </w:tc>
        <w:tc>
          <w:tcPr>
            <w:tcW w:w="1560" w:type="dxa"/>
            <w:vAlign w:val="center"/>
          </w:tcPr>
          <w:p>
            <w:pPr>
              <w:pStyle w:val="TableText"/>
              <w:spacing w:before="0" w:after="0" w:line="240" w:lineRule="auto"/>
            </w:pPr>
            <w:r>
              <w:rPr>
                <w:sz w:val="20"/>
                <w:szCs w:val="20"/>
              </w:rPr>
              <w:t>−9.18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Ser203, Tyr124</w:t>
            </w:r>
          </w:p>
        </w:tc>
      </w:tr>
      <w:tr>
        <w:tc>
          <w:tcPr>
            <w:tcW w:w="1560" w:type="dxa"/>
            <w:vAlign w:val="center"/>
          </w:tcPr>
          <w:p>
            <w:pPr>
              <w:pStyle w:val="TableText"/>
              <w:spacing w:before="0" w:after="0" w:line="240" w:lineRule="auto"/>
            </w:pPr>
            <w:r>
              <w:rPr>
                <w:sz w:val="20"/>
                <w:szCs w:val="20"/>
              </w:rPr>
              <w:t>FCLHLQLR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−9.27</w:t>
            </w:r>
          </w:p>
        </w:tc>
        <w:tc>
          <w:tcPr>
            <w:tcW w:w="1560" w:type="dxa"/>
            <w:vAlign w:val="center"/>
          </w:tcPr>
          <w:p>
            <w:pPr>
              <w:pStyle w:val="TableText"/>
              <w:spacing w:before="0" w:after="0" w:line="240" w:lineRule="auto"/>
            </w:pPr>
            <w:r>
              <w:rPr>
                <w:sz w:val="20"/>
                <w:szCs w:val="20"/>
              </w:rPr>
              <w:t>−8.96 ± 0.48</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Ser203, Thr75, Tyr341</w:t>
            </w:r>
          </w:p>
        </w:tc>
      </w:tr>
      <w:tr>
        <w:tc>
          <w:tcPr>
            <w:tcW w:w="1560" w:type="dxa"/>
            <w:vAlign w:val="center"/>
          </w:tcPr>
          <w:p>
            <w:pPr>
              <w:pStyle w:val="TableText"/>
              <w:spacing w:before="0" w:after="0" w:line="240" w:lineRule="auto"/>
            </w:pPr>
            <w:r>
              <w:rPr>
                <w:sz w:val="20"/>
                <w:szCs w:val="20"/>
              </w:rPr>
              <w:t>FLLHTTR</w:t>
            </w:r>
          </w:p>
        </w:tc>
        <w:tc>
          <w:tcPr>
            <w:tcW w:w="1560" w:type="dxa"/>
            <w:vAlign w:val="center"/>
          </w:tcPr>
          <w:p>
            <w:pPr>
              <w:pStyle w:val="TableText"/>
              <w:spacing w:before="0" w:after="0" w:line="240" w:lineRule="auto"/>
            </w:pPr>
            <w:r>
              <w:rPr>
                <w:sz w:val="20"/>
                <w:szCs w:val="20"/>
              </w:rPr>
              <w:t>8</w:t>
            </w:r>
          </w:p>
        </w:tc>
        <w:tc>
          <w:tcPr>
            <w:tcW w:w="1560" w:type="dxa"/>
            <w:vAlign w:val="center"/>
          </w:tcPr>
          <w:p>
            <w:pPr>
              <w:pStyle w:val="TableText"/>
              <w:spacing w:before="0" w:after="0" w:line="240" w:lineRule="auto"/>
            </w:pPr>
            <w:r>
              <w:rPr>
                <w:sz w:val="20"/>
                <w:szCs w:val="20"/>
              </w:rPr>
              <w:t>−9.60</w:t>
            </w:r>
          </w:p>
        </w:tc>
        <w:tc>
          <w:tcPr>
            <w:tcW w:w="1560" w:type="dxa"/>
            <w:vAlign w:val="center"/>
          </w:tcPr>
          <w:p>
            <w:pPr>
              <w:pStyle w:val="TableText"/>
              <w:spacing w:before="0" w:after="0" w:line="240" w:lineRule="auto"/>
            </w:pPr>
            <w:r>
              <w:rPr>
                <w:sz w:val="20"/>
                <w:szCs w:val="20"/>
              </w:rPr>
              <w:t>−8.77 ± 1.41</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Asp74, Tyr72, His287</w:t>
            </w:r>
          </w:p>
        </w:tc>
      </w:tr>
      <w:tr>
        <w:tc>
          <w:tcPr>
            <w:tcW w:w="1560" w:type="dxa"/>
            <w:vAlign w:val="center"/>
          </w:tcPr>
          <w:p>
            <w:pPr>
              <w:pStyle w:val="TableText"/>
              <w:spacing w:before="0" w:after="0" w:line="240" w:lineRule="auto"/>
            </w:pPr>
            <w:r>
              <w:rPr>
                <w:sz w:val="20"/>
                <w:szCs w:val="20"/>
              </w:rPr>
              <w:t>HLLTLKKHV</w:t>
            </w:r>
          </w:p>
        </w:tc>
        <w:tc>
          <w:tcPr>
            <w:tcW w:w="1560" w:type="dxa"/>
            <w:vAlign w:val="center"/>
          </w:tcPr>
          <w:p>
            <w:pPr>
              <w:pStyle w:val="TableText"/>
              <w:spacing w:before="0" w:after="0" w:line="240" w:lineRule="auto"/>
            </w:pPr>
            <w:r>
              <w:rPr>
                <w:sz w:val="20"/>
                <w:szCs w:val="20"/>
              </w:rPr>
              <w:t>6</w:t>
            </w:r>
          </w:p>
        </w:tc>
        <w:tc>
          <w:tcPr>
            <w:tcW w:w="1560" w:type="dxa"/>
            <w:vAlign w:val="center"/>
          </w:tcPr>
          <w:p>
            <w:pPr>
              <w:pStyle w:val="TableText"/>
              <w:spacing w:before="0" w:after="0" w:line="240" w:lineRule="auto"/>
            </w:pPr>
            <w:r>
              <w:rPr>
                <w:sz w:val="20"/>
                <w:szCs w:val="20"/>
              </w:rPr>
              <w:t>−8.88</w:t>
            </w:r>
          </w:p>
        </w:tc>
        <w:tc>
          <w:tcPr>
            <w:tcW w:w="1560" w:type="dxa"/>
            <w:vAlign w:val="center"/>
          </w:tcPr>
          <w:p>
            <w:pPr>
              <w:pStyle w:val="TableText"/>
              <w:spacing w:before="0" w:after="0" w:line="240" w:lineRule="auto"/>
            </w:pPr>
            <w:r>
              <w:rPr>
                <w:sz w:val="20"/>
                <w:szCs w:val="20"/>
              </w:rPr>
              <w:t>−8.69 ± 0.20</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Phe346</w:t>
            </w:r>
          </w:p>
        </w:tc>
      </w:tr>
      <w:tr>
        <w:tc>
          <w:tcPr>
            <w:tcW w:w="1560" w:type="dxa"/>
            <w:vAlign w:val="center"/>
          </w:tcPr>
          <w:p>
            <w:pPr>
              <w:pStyle w:val="TableText"/>
              <w:spacing w:before="0" w:after="0" w:line="240" w:lineRule="auto"/>
            </w:pPr>
            <w:r>
              <w:rPr>
                <w:sz w:val="20"/>
                <w:szCs w:val="20"/>
              </w:rPr>
              <w:t>HLPLLHRCC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−8.35</w:t>
            </w:r>
          </w:p>
        </w:tc>
        <w:tc>
          <w:tcPr>
            <w:tcW w:w="1560" w:type="dxa"/>
            <w:vAlign w:val="center"/>
          </w:tcPr>
          <w:p>
            <w:pPr>
              <w:pStyle w:val="TableText"/>
              <w:spacing w:before="0" w:after="0" w:line="240" w:lineRule="auto"/>
            </w:pPr>
            <w:r>
              <w:rPr>
                <w:sz w:val="20"/>
                <w:szCs w:val="20"/>
              </w:rPr>
              <w:t>−8.28 ± 0.07</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Tyr124, Tyr337</w:t>
            </w:r>
          </w:p>
        </w:tc>
      </w:tr>
      <w:tr>
        <w:tc>
          <w:tcPr>
            <w:tcW w:w="1560" w:type="dxa"/>
            <w:vAlign w:val="center"/>
          </w:tcPr>
          <w:p>
            <w:pPr>
              <w:pStyle w:val="TableText"/>
              <w:spacing w:before="0" w:after="0" w:line="240" w:lineRule="auto"/>
            </w:pPr>
            <w:r>
              <w:rPr>
                <w:sz w:val="20"/>
                <w:szCs w:val="20"/>
              </w:rPr>
              <w:t>HVLLLRQCA</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−8.25</w:t>
            </w:r>
          </w:p>
        </w:tc>
        <w:tc>
          <w:tcPr>
            <w:tcW w:w="1560" w:type="dxa"/>
            <w:vAlign w:val="center"/>
          </w:tcPr>
          <w:p>
            <w:pPr>
              <w:pStyle w:val="TableText"/>
              <w:spacing w:before="0" w:after="0" w:line="240" w:lineRule="auto"/>
            </w:pPr>
            <w:r>
              <w:rPr>
                <w:sz w:val="20"/>
                <w:szCs w:val="20"/>
              </w:rPr>
              <w:t>−8.07 ± 0.16</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Thr75</w:t>
            </w:r>
          </w:p>
        </w:tc>
      </w:tr>
      <w:tr>
        <w:tc>
          <w:tcPr>
            <w:tcW w:w="1560" w:type="dxa"/>
            <w:vAlign w:val="center"/>
          </w:tcPr>
          <w:p>
            <w:pPr>
              <w:pStyle w:val="TableText"/>
              <w:spacing w:before="0" w:after="0" w:line="240" w:lineRule="auto"/>
            </w:pPr>
            <w:r>
              <w:rPr>
                <w:sz w:val="20"/>
                <w:szCs w:val="20"/>
              </w:rPr>
              <w:t>LLHLPKRTT</w:t>
            </w:r>
          </w:p>
        </w:tc>
        <w:tc>
          <w:tcPr>
            <w:tcW w:w="1560" w:type="dxa"/>
            <w:vAlign w:val="center"/>
          </w:tcPr>
          <w:p>
            <w:pPr>
              <w:pStyle w:val="TableText"/>
              <w:spacing w:before="0" w:after="0" w:line="240" w:lineRule="auto"/>
            </w:pPr>
            <w:r>
              <w:rPr>
                <w:sz w:val="20"/>
                <w:szCs w:val="20"/>
              </w:rPr>
              <w:t>3</w:t>
            </w:r>
          </w:p>
        </w:tc>
        <w:tc>
          <w:tcPr>
            <w:tcW w:w="1560" w:type="dxa"/>
            <w:vAlign w:val="center"/>
          </w:tcPr>
          <w:p>
            <w:pPr>
              <w:pStyle w:val="TableText"/>
              <w:spacing w:before="0" w:after="0" w:line="240" w:lineRule="auto"/>
            </w:pPr>
            <w:r>
              <w:rPr>
                <w:sz w:val="20"/>
                <w:szCs w:val="20"/>
              </w:rPr>
              <w:t>−9.01</w:t>
            </w:r>
          </w:p>
        </w:tc>
        <w:tc>
          <w:tcPr>
            <w:tcW w:w="1560" w:type="dxa"/>
            <w:vAlign w:val="center"/>
          </w:tcPr>
          <w:p>
            <w:pPr>
              <w:pStyle w:val="TableText"/>
              <w:spacing w:before="0" w:after="0" w:line="240" w:lineRule="auto"/>
            </w:pPr>
            <w:r>
              <w:rPr>
                <w:sz w:val="20"/>
                <w:szCs w:val="20"/>
              </w:rPr>
              <w:t>−8.89 ± 0.16</w:t>
            </w:r>
          </w:p>
        </w:tc>
        <w:tc>
          <w:tcPr>
            <w:tcW w:w="1560" w:type="dxa"/>
            <w:vAlign w:val="center"/>
          </w:tcPr>
          <w:p>
            <w:pPr>
              <w:pStyle w:val="TableText"/>
              <w:spacing w:before="0" w:after="0" w:line="240" w:lineRule="auto"/>
            </w:pPr>
            <w:r>
              <w:rPr>
                <w:sz w:val="20"/>
                <w:szCs w:val="20"/>
              </w:rPr>
              <w:t>Adjacent</w:t>
            </w:r>
          </w:p>
        </w:tc>
        <w:tc>
          <w:tcPr>
            <w:tcW w:w="1560" w:type="dxa"/>
            <w:vAlign w:val="center"/>
          </w:tcPr>
          <w:p>
            <w:pPr>
              <w:pStyle w:val="TableText"/>
              <w:spacing w:before="0" w:after="0" w:line="240" w:lineRule="auto"/>
            </w:pPr>
            <w:r>
              <w:rPr>
                <w:sz w:val="20"/>
                <w:szCs w:val="20"/>
              </w:rPr>
              <w:t>Ser203, Val340</w:t>
            </w:r>
          </w:p>
        </w:tc>
      </w:tr>
      <w:tr>
        <w:tc>
          <w:tcPr>
            <w:tcW w:w="1560" w:type="dxa"/>
            <w:vAlign w:val="center"/>
          </w:tcPr>
          <w:p>
            <w:pPr>
              <w:pStyle w:val="TableText"/>
              <w:spacing w:before="0" w:after="0" w:line="240" w:lineRule="auto"/>
            </w:pPr>
            <w:r>
              <w:rPr>
                <w:sz w:val="20"/>
                <w:szCs w:val="20"/>
              </w:rPr>
              <w:t>LLHPLRC</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−8.91</w:t>
            </w:r>
          </w:p>
        </w:tc>
        <w:tc>
          <w:tcPr>
            <w:tcW w:w="1560" w:type="dxa"/>
            <w:vAlign w:val="center"/>
          </w:tcPr>
          <w:p>
            <w:pPr>
              <w:pStyle w:val="TableText"/>
              <w:spacing w:before="0" w:after="0" w:line="240" w:lineRule="auto"/>
            </w:pPr>
            <w:r>
              <w:rPr>
                <w:sz w:val="20"/>
                <w:szCs w:val="20"/>
              </w:rPr>
              <w:t>−8.78 ± 0.11</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Ser125, Ser293</w:t>
            </w:r>
          </w:p>
        </w:tc>
      </w:tr>
      <w:tr>
        <w:tc>
          <w:tcPr>
            <w:tcW w:w="1560" w:type="dxa"/>
            <w:vAlign w:val="center"/>
          </w:tcPr>
          <w:p>
            <w:pPr>
              <w:pStyle w:val="TableText"/>
              <w:spacing w:before="0" w:after="0" w:line="240" w:lineRule="auto"/>
            </w:pPr>
            <w:r>
              <w:rPr>
                <w:sz w:val="20"/>
                <w:szCs w:val="20"/>
              </w:rPr>
              <w:t>LLHPLRL</w:t>
            </w:r>
          </w:p>
        </w:tc>
        <w:tc>
          <w:tcPr>
            <w:tcW w:w="1560" w:type="dxa"/>
            <w:vAlign w:val="center"/>
          </w:tcPr>
          <w:p>
            <w:pPr>
              <w:pStyle w:val="TableText"/>
              <w:spacing w:before="0" w:after="0" w:line="240" w:lineRule="auto"/>
            </w:pPr>
            <w:r>
              <w:rPr>
                <w:sz w:val="20"/>
                <w:szCs w:val="20"/>
              </w:rPr>
              <w:t>10</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−8.91 ± 0.05</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Trp286, Tyr341, His447</w:t>
            </w:r>
          </w:p>
        </w:tc>
      </w:tr>
      <w:tr>
        <w:tc>
          <w:tcPr>
            <w:tcW w:w="1560" w:type="dxa"/>
            <w:vAlign w:val="center"/>
          </w:tcPr>
          <w:p>
            <w:pPr>
              <w:pStyle w:val="TableText"/>
              <w:spacing w:before="0" w:after="0" w:line="240" w:lineRule="auto"/>
            </w:pPr>
            <w:r>
              <w:rPr>
                <w:sz w:val="20"/>
                <w:szCs w:val="20"/>
              </w:rPr>
              <w:t>WLLVHLKK</w:t>
            </w:r>
          </w:p>
        </w:tc>
        <w:tc>
          <w:tcPr>
            <w:tcW w:w="1560" w:type="dxa"/>
            <w:vAlign w:val="center"/>
          </w:tcPr>
          <w:p>
            <w:pPr>
              <w:pStyle w:val="TableText"/>
              <w:spacing w:before="0" w:after="0" w:line="240" w:lineRule="auto"/>
            </w:pPr>
            <w:r>
              <w:rPr>
                <w:sz w:val="20"/>
                <w:szCs w:val="20"/>
              </w:rPr>
              <w:t>4</w:t>
            </w:r>
          </w:p>
        </w:tc>
        <w:tc>
          <w:tcPr>
            <w:tcW w:w="1560" w:type="dxa"/>
            <w:vAlign w:val="center"/>
          </w:tcPr>
          <w:p>
            <w:pPr>
              <w:pStyle w:val="TableText"/>
              <w:spacing w:before="0" w:after="0" w:line="240" w:lineRule="auto"/>
            </w:pPr>
            <w:r>
              <w:rPr>
                <w:sz w:val="20"/>
                <w:szCs w:val="20"/>
              </w:rPr>
              <w:t>−8.94</w:t>
            </w:r>
          </w:p>
        </w:tc>
        <w:tc>
          <w:tcPr>
            <w:tcW w:w="1560" w:type="dxa"/>
            <w:vAlign w:val="center"/>
          </w:tcPr>
          <w:p>
            <w:pPr>
              <w:pStyle w:val="TableText"/>
              <w:spacing w:before="0" w:after="0" w:line="240" w:lineRule="auto"/>
            </w:pPr>
            <w:r>
              <w:rPr>
                <w:sz w:val="20"/>
                <w:szCs w:val="20"/>
              </w:rPr>
              <w:t>−8.64 ± 0.26</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Asn283, Gln279</w:t>
            </w:r>
          </w:p>
        </w:tc>
      </w:tr>
      <w:tr>
        <w:tc>
          <w:tcPr>
            <w:tcW w:w="1560" w:type="dxa"/>
            <w:vAlign w:val="center"/>
          </w:tcPr>
          <w:p>
            <w:pPr>
              <w:pStyle w:val="TableText"/>
              <w:spacing w:before="0" w:after="0" w:line="240" w:lineRule="auto"/>
            </w:pPr>
            <w:r>
              <w:rPr>
                <w:sz w:val="20"/>
                <w:szCs w:val="20"/>
              </w:rPr>
              <w:t>YHHLLCRR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−9.03</w:t>
            </w:r>
          </w:p>
        </w:tc>
        <w:tc>
          <w:tcPr>
            <w:tcW w:w="1560" w:type="dxa"/>
            <w:vAlign w:val="center"/>
          </w:tcPr>
          <w:p>
            <w:pPr>
              <w:pStyle w:val="TableText"/>
              <w:spacing w:before="0" w:after="0" w:line="240" w:lineRule="auto"/>
            </w:pPr>
            <w:r>
              <w:rPr>
                <w:sz w:val="20"/>
                <w:szCs w:val="20"/>
              </w:rPr>
              <w:t>−8.62 ± 0.43</w:t>
            </w:r>
          </w:p>
        </w:tc>
        <w:tc>
          <w:tcPr>
            <w:tcW w:w="1560" w:type="dxa"/>
            <w:vAlign w:val="center"/>
          </w:tcPr>
          <w:p>
            <w:pPr>
              <w:pStyle w:val="TableText"/>
              <w:spacing w:before="0" w:after="0" w:line="240" w:lineRule="auto"/>
            </w:pPr>
            <w:r>
              <w:rPr>
                <w:sz w:val="20"/>
                <w:szCs w:val="20"/>
              </w:rPr>
              <w:t>No</w:t>
            </w:r>
          </w:p>
        </w:tc>
        <w:tc>
          <w:tcPr>
            <w:tcW w:w="1560" w:type="dxa"/>
            <w:vAlign w:val="center"/>
          </w:tcPr>
          <w:p>
            <w:pPr>
              <w:pStyle w:val="TableText"/>
              <w:spacing w:before="0" w:after="0" w:line="240" w:lineRule="auto"/>
            </w:pPr>
            <w:r>
              <w:rPr>
                <w:sz w:val="20"/>
                <w:szCs w:val="20"/>
              </w:rPr>
              <w:t>Trp86, Ser203</w:t>
            </w:r>
          </w:p>
        </w:tc>
      </w:tr>
      <w:tr>
        <w:tc>
          <w:tcPr>
            <w:tcW w:w="1560" w:type="dxa"/>
            <w:vAlign w:val="center"/>
          </w:tcPr>
          <w:p>
            <w:pPr>
              <w:pStyle w:val="TableText"/>
              <w:spacing w:before="0" w:after="0" w:line="240" w:lineRule="auto"/>
            </w:pPr>
            <w:r>
              <w:rPr>
                <w:sz w:val="20"/>
                <w:szCs w:val="20"/>
              </w:rPr>
              <w:t>YLSLLQR</w:t>
            </w:r>
          </w:p>
        </w:tc>
        <w:tc>
          <w:tcPr>
            <w:tcW w:w="1560" w:type="dxa"/>
            <w:vAlign w:val="center"/>
          </w:tcPr>
          <w:p>
            <w:pPr>
              <w:pStyle w:val="TableText"/>
              <w:spacing w:before="0" w:after="0" w:line="240" w:lineRule="auto"/>
            </w:pPr>
            <w:r>
              <w:rPr>
                <w:sz w:val="20"/>
                <w:szCs w:val="20"/>
              </w:rPr>
              <w:t>7</w:t>
            </w:r>
          </w:p>
        </w:tc>
        <w:tc>
          <w:tcPr>
            <w:tcW w:w="1560" w:type="dxa"/>
            <w:vAlign w:val="center"/>
          </w:tcPr>
          <w:p>
            <w:pPr>
              <w:pStyle w:val="TableText"/>
              <w:spacing w:before="0" w:after="0" w:line="240" w:lineRule="auto"/>
            </w:pPr>
            <w:r>
              <w:rPr>
                <w:sz w:val="20"/>
                <w:szCs w:val="20"/>
              </w:rPr>
              <w:t>−9.49</w:t>
            </w:r>
          </w:p>
        </w:tc>
        <w:tc>
          <w:tcPr>
            <w:tcW w:w="1560" w:type="dxa"/>
            <w:vAlign w:val="center"/>
          </w:tcPr>
          <w:p>
            <w:pPr>
              <w:pStyle w:val="TableText"/>
              <w:spacing w:before="0" w:after="0" w:line="240" w:lineRule="auto"/>
            </w:pPr>
            <w:r>
              <w:rPr>
                <w:sz w:val="20"/>
                <w:szCs w:val="20"/>
              </w:rPr>
              <w:t>−9.44 ± 0.09</w:t>
            </w:r>
          </w:p>
        </w:tc>
        <w:tc>
          <w:tcPr>
            <w:tcW w:w="1560" w:type="dxa"/>
            <w:vAlign w:val="center"/>
          </w:tcPr>
          <w:p>
            <w:pPr>
              <w:pStyle w:val="TableText"/>
              <w:spacing w:before="0" w:after="0" w:line="240" w:lineRule="auto"/>
            </w:pPr>
            <w:r>
              <w:rPr>
                <w:sz w:val="20"/>
                <w:szCs w:val="20"/>
              </w:rPr>
              <w:t>Yes</w:t>
            </w:r>
          </w:p>
        </w:tc>
        <w:tc>
          <w:tcPr>
            <w:tcW w:w="1560" w:type="dxa"/>
            <w:vAlign w:val="center"/>
          </w:tcPr>
          <w:p>
            <w:pPr>
              <w:pStyle w:val="TableText"/>
              <w:spacing w:before="0" w:after="0" w:line="240" w:lineRule="auto"/>
            </w:pPr>
            <w:r>
              <w:rPr>
                <w:sz w:val="20"/>
                <w:szCs w:val="20"/>
              </w:rPr>
              <w:t>Tyr72, Thr75, Glu202</w:t>
            </w:r>
          </w:p>
        </w:tc>
      </w:tr>
    </w:tbl>
    <w:p>
      <w:pPr>
        <w:spacing w:after="40"/>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100-ns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tcBorders>
              <w:bottom w:val="single" w:sz="8" w:space="0" w:color="000000"/>
            </w:tcBorders>
            <w:vAlign w:val="center"/>
          </w:tcPr>
          <w:p>
            <w:pPr>
              <w:pStyle w:val="TableText"/>
              <w:spacing w:before="0" w:after="0" w:line="240" w:lineRule="auto"/>
            </w:pPr>
            <w:r>
              <w:rPr>
                <w:sz w:val="20"/>
                <w:szCs w:val="20"/>
              </w:rPr>
              <w:t>Metric</w:t>
            </w:r>
          </w:p>
        </w:tc>
        <w:tc>
          <w:tcPr>
            <w:tcW w:w="1872" w:type="dxa"/>
            <w:tcBorders>
              <w:bottom w:val="single" w:sz="8" w:space="0" w:color="000000"/>
            </w:tcBorders>
            <w:vAlign w:val="center"/>
          </w:tcPr>
          <w:p>
            <w:pPr>
              <w:pStyle w:val="TableText"/>
              <w:spacing w:before="0" w:after="0" w:line="240" w:lineRule="auto"/>
            </w:pPr>
            <w:r>
              <w:rPr>
                <w:sz w:val="20"/>
                <w:szCs w:val="20"/>
              </w:rPr>
              <w:t>apo AChE</w:t>
            </w:r>
          </w:p>
        </w:tc>
        <w:tc>
          <w:tcPr>
            <w:tcW w:w="1872" w:type="dxa"/>
            <w:tcBorders>
              <w:bottom w:val="single" w:sz="8" w:space="0" w:color="000000"/>
            </w:tcBorders>
            <w:vAlign w:val="center"/>
          </w:tcPr>
          <w:p>
            <w:pPr>
              <w:pStyle w:val="TableText"/>
              <w:spacing w:before="0" w:after="0" w:line="240" w:lineRule="auto"/>
            </w:pPr>
            <w:r>
              <w:rPr>
                <w:sz w:val="20"/>
                <w:szCs w:val="20"/>
              </w:rPr>
              <w:t>ALLLHRC</w:t>
            </w:r>
          </w:p>
        </w:tc>
        <w:tc>
          <w:tcPr>
            <w:tcW w:w="1872" w:type="dxa"/>
            <w:tcBorders>
              <w:bottom w:val="single" w:sz="8" w:space="0" w:color="000000"/>
            </w:tcBorders>
            <w:vAlign w:val="center"/>
          </w:tcPr>
          <w:p>
            <w:pPr>
              <w:pStyle w:val="TableText"/>
              <w:spacing w:before="0" w:after="0" w:line="240" w:lineRule="auto"/>
            </w:pPr>
            <w:r>
              <w:rPr>
                <w:sz w:val="20"/>
                <w:szCs w:val="20"/>
              </w:rPr>
              <w:t>FLLHTTR</w:t>
            </w:r>
          </w:p>
        </w:tc>
        <w:tc>
          <w:tcPr>
            <w:tcW w:w="1872" w:type="dxa"/>
            <w:tcBorders>
              <w:bottom w:val="single" w:sz="8" w:space="0" w:color="000000"/>
            </w:tcBorders>
            <w:vAlign w:val="center"/>
          </w:tcPr>
          <w:p>
            <w:pPr>
              <w:pStyle w:val="TableText"/>
              <w:spacing w:before="0" w:after="0" w:line="240" w:lineRule="auto"/>
            </w:pPr>
            <w:r>
              <w:rPr>
                <w:sz w:val="20"/>
                <w:szCs w:val="20"/>
              </w:rPr>
              <w:t>YLSLLQR</w:t>
            </w:r>
          </w:p>
        </w:tc>
      </w:tr>
      <w:tr>
        <w:tc>
          <w:tcPr>
            <w:tcW w:w="1872" w:type="dxa"/>
            <w:vAlign w:val="center"/>
          </w:tcPr>
          <w:p>
            <w:pPr>
              <w:pStyle w:val="TableText"/>
              <w:spacing w:before="0" w:after="0" w:line="240" w:lineRule="auto"/>
            </w:pPr>
            <w:r>
              <w:rPr>
                <w:sz w:val="20"/>
                <w:szCs w:val="20"/>
              </w:rPr>
              <w:t>Cα RMSD (nm)</w:t>
            </w:r>
          </w:p>
        </w:tc>
        <w:tc>
          <w:tcPr>
            <w:tcW w:w="1872" w:type="dxa"/>
            <w:vAlign w:val="center"/>
          </w:tcPr>
          <w:p>
            <w:pPr>
              <w:pStyle w:val="TableText"/>
              <w:spacing w:before="0" w:after="0" w:line="240" w:lineRule="auto"/>
            </w:pPr>
            <w:r>
              <w:rPr>
                <w:sz w:val="20"/>
                <w:szCs w:val="20"/>
              </w:rPr>
              <w:t>0.1897 ± 0.0090</w:t>
            </w:r>
          </w:p>
        </w:tc>
        <w:tc>
          <w:tcPr>
            <w:tcW w:w="1872" w:type="dxa"/>
            <w:vAlign w:val="center"/>
          </w:tcPr>
          <w:p>
            <w:pPr>
              <w:pStyle w:val="TableText"/>
              <w:spacing w:before="0" w:after="0" w:line="240" w:lineRule="auto"/>
            </w:pPr>
            <w:r>
              <w:rPr>
                <w:sz w:val="20"/>
                <w:szCs w:val="20"/>
              </w:rPr>
              <w:t>0.1916 ± 0.0092</w:t>
            </w:r>
          </w:p>
        </w:tc>
        <w:tc>
          <w:tcPr>
            <w:tcW w:w="1872" w:type="dxa"/>
            <w:vAlign w:val="center"/>
          </w:tcPr>
          <w:p>
            <w:pPr>
              <w:pStyle w:val="TableText"/>
              <w:spacing w:before="0" w:after="0" w:line="240" w:lineRule="auto"/>
            </w:pPr>
            <w:r>
              <w:rPr>
                <w:sz w:val="20"/>
                <w:szCs w:val="20"/>
              </w:rPr>
              <w:t>0.1640 ± 0.0080</w:t>
            </w:r>
          </w:p>
        </w:tc>
        <w:tc>
          <w:tcPr>
            <w:tcW w:w="1872" w:type="dxa"/>
            <w:vAlign w:val="center"/>
          </w:tcPr>
          <w:p>
            <w:pPr>
              <w:pStyle w:val="TableText"/>
              <w:spacing w:before="0" w:after="0" w:line="240" w:lineRule="auto"/>
            </w:pPr>
            <w:r>
              <w:rPr>
                <w:sz w:val="20"/>
                <w:szCs w:val="20"/>
              </w:rPr>
              <w:t>0.1625 ± 0.0078</w:t>
            </w:r>
          </w:p>
        </w:tc>
      </w:tr>
      <w:tr>
        <w:tc>
          <w:tcPr>
            <w:tcW w:w="1872" w:type="dxa"/>
            <w:vAlign w:val="center"/>
          </w:tcPr>
          <w:p>
            <w:pPr>
              <w:pStyle w:val="TableText"/>
              <w:spacing w:before="0" w:after="0" w:line="240" w:lineRule="auto"/>
            </w:pPr>
            <w:r>
              <w:rPr>
                <w:sz w:val="20"/>
                <w:szCs w:val="20"/>
              </w:rPr>
              <w:t>Peptide self-fit RMSD (nm)</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0.2518 ± 0.0136</w:t>
            </w:r>
          </w:p>
        </w:tc>
        <w:tc>
          <w:tcPr>
            <w:tcW w:w="1872" w:type="dxa"/>
            <w:vAlign w:val="center"/>
          </w:tcPr>
          <w:p>
            <w:pPr>
              <w:pStyle w:val="TableText"/>
              <w:spacing w:before="0" w:after="0" w:line="240" w:lineRule="auto"/>
            </w:pPr>
            <w:r>
              <w:rPr>
                <w:sz w:val="20"/>
                <w:szCs w:val="20"/>
              </w:rPr>
              <w:t>0.1752 ± 0.0111</w:t>
            </w:r>
          </w:p>
        </w:tc>
        <w:tc>
          <w:tcPr>
            <w:tcW w:w="1872" w:type="dxa"/>
            <w:vAlign w:val="center"/>
          </w:tcPr>
          <w:p>
            <w:pPr>
              <w:pStyle w:val="TableText"/>
              <w:spacing w:before="0" w:after="0" w:line="240" w:lineRule="auto"/>
            </w:pPr>
            <w:r>
              <w:rPr>
                <w:sz w:val="20"/>
                <w:szCs w:val="20"/>
              </w:rPr>
              <w:t>0.0911 ± 0.0098</w:t>
            </w:r>
          </w:p>
        </w:tc>
      </w:tr>
      <w:tr>
        <w:tc>
          <w:tcPr>
            <w:tcW w:w="1872" w:type="dxa"/>
            <w:vAlign w:val="center"/>
          </w:tcPr>
          <w:p>
            <w:pPr>
              <w:pStyle w:val="TableText"/>
              <w:spacing w:before="0" w:after="0" w:line="240" w:lineRule="auto"/>
            </w:pPr>
            <w:r>
              <w:rPr>
                <w:sz w:val="20"/>
                <w:szCs w:val="20"/>
              </w:rPr>
              <w:t>RMSF mean (nm)</w:t>
            </w:r>
          </w:p>
        </w:tc>
        <w:tc>
          <w:tcPr>
            <w:tcW w:w="1872" w:type="dxa"/>
            <w:vAlign w:val="center"/>
          </w:tcPr>
          <w:p>
            <w:pPr>
              <w:pStyle w:val="TableText"/>
              <w:spacing w:before="0" w:after="0" w:line="240" w:lineRule="auto"/>
            </w:pPr>
            <w:r>
              <w:rPr>
                <w:sz w:val="20"/>
                <w:szCs w:val="20"/>
              </w:rPr>
              <w:t>0.0835 ± 0.0659</w:t>
            </w:r>
          </w:p>
        </w:tc>
        <w:tc>
          <w:tcPr>
            <w:tcW w:w="1872" w:type="dxa"/>
            <w:vAlign w:val="center"/>
          </w:tcPr>
          <w:p>
            <w:pPr>
              <w:pStyle w:val="TableText"/>
              <w:spacing w:before="0" w:after="0" w:line="240" w:lineRule="auto"/>
            </w:pPr>
            <w:r>
              <w:rPr>
                <w:sz w:val="20"/>
                <w:szCs w:val="20"/>
              </w:rPr>
              <w:t>0.0876 ± 0.0581</w:t>
            </w:r>
          </w:p>
        </w:tc>
        <w:tc>
          <w:tcPr>
            <w:tcW w:w="1872" w:type="dxa"/>
            <w:vAlign w:val="center"/>
          </w:tcPr>
          <w:p>
            <w:pPr>
              <w:pStyle w:val="TableText"/>
              <w:spacing w:before="0" w:after="0" w:line="240" w:lineRule="auto"/>
            </w:pPr>
            <w:r>
              <w:rPr>
                <w:sz w:val="20"/>
                <w:szCs w:val="20"/>
              </w:rPr>
              <w:t>0.0778 ± 0.0504</w:t>
            </w:r>
          </w:p>
        </w:tc>
        <w:tc>
          <w:tcPr>
            <w:tcW w:w="1872" w:type="dxa"/>
            <w:vAlign w:val="center"/>
          </w:tcPr>
          <w:p>
            <w:pPr>
              <w:pStyle w:val="TableText"/>
              <w:spacing w:before="0" w:after="0" w:line="240" w:lineRule="auto"/>
            </w:pPr>
            <w:r>
              <w:rPr>
                <w:sz w:val="20"/>
                <w:szCs w:val="20"/>
              </w:rPr>
              <w:t>0.0771 ± 0.0498</w:t>
            </w:r>
          </w:p>
        </w:tc>
      </w:tr>
      <w:tr>
        <w:tc>
          <w:tcPr>
            <w:tcW w:w="1872" w:type="dxa"/>
            <w:vAlign w:val="center"/>
          </w:tcPr>
          <w:p>
            <w:pPr>
              <w:pStyle w:val="TableText"/>
              <w:spacing w:before="0" w:after="0" w:line="240" w:lineRule="auto"/>
            </w:pPr>
            <w:r>
              <w:rPr>
                <w:sz w:val="20"/>
                <w:szCs w:val="20"/>
              </w:rPr>
              <w:t>SASA (nm²)</w:t>
            </w:r>
          </w:p>
        </w:tc>
        <w:tc>
          <w:tcPr>
            <w:tcW w:w="1872" w:type="dxa"/>
            <w:vAlign w:val="center"/>
          </w:tcPr>
          <w:p>
            <w:pPr>
              <w:pStyle w:val="TableText"/>
              <w:spacing w:before="0" w:after="0" w:line="240" w:lineRule="auto"/>
            </w:pPr>
            <w:r>
              <w:rPr>
                <w:sz w:val="20"/>
                <w:szCs w:val="20"/>
              </w:rPr>
              <w:t>212.25 ± 2.89</w:t>
            </w:r>
          </w:p>
        </w:tc>
        <w:tc>
          <w:tcPr>
            <w:tcW w:w="1872" w:type="dxa"/>
            <w:vAlign w:val="center"/>
          </w:tcPr>
          <w:p>
            <w:pPr>
              <w:pStyle w:val="TableText"/>
              <w:spacing w:before="0" w:after="0" w:line="240" w:lineRule="auto"/>
            </w:pPr>
            <w:r>
              <w:rPr>
                <w:sz w:val="20"/>
                <w:szCs w:val="20"/>
              </w:rPr>
              <w:t>217.47 ± 2.49</w:t>
            </w:r>
          </w:p>
        </w:tc>
        <w:tc>
          <w:tcPr>
            <w:tcW w:w="1872" w:type="dxa"/>
            <w:vAlign w:val="center"/>
          </w:tcPr>
          <w:p>
            <w:pPr>
              <w:pStyle w:val="TableText"/>
              <w:spacing w:before="0" w:after="0" w:line="240" w:lineRule="auto"/>
            </w:pPr>
            <w:r>
              <w:rPr>
                <w:sz w:val="20"/>
                <w:szCs w:val="20"/>
              </w:rPr>
              <w:t>213.88 ± 2.36</w:t>
            </w:r>
          </w:p>
        </w:tc>
        <w:tc>
          <w:tcPr>
            <w:tcW w:w="1872" w:type="dxa"/>
            <w:vAlign w:val="center"/>
          </w:tcPr>
          <w:p>
            <w:pPr>
              <w:pStyle w:val="TableText"/>
              <w:spacing w:before="0" w:after="0" w:line="240" w:lineRule="auto"/>
            </w:pPr>
            <w:r>
              <w:rPr>
                <w:sz w:val="20"/>
                <w:szCs w:val="20"/>
              </w:rPr>
              <w:t>209.71 ± 2.35</w:t>
            </w:r>
          </w:p>
        </w:tc>
      </w:tr>
      <w:tr>
        <w:tc>
          <w:tcPr>
            <w:tcW w:w="1872" w:type="dxa"/>
            <w:vAlign w:val="center"/>
          </w:tcPr>
          <w:p>
            <w:pPr>
              <w:pStyle w:val="TableText"/>
              <w:spacing w:before="0" w:after="0" w:line="240" w:lineRule="auto"/>
            </w:pPr>
            <w:r>
              <w:rPr>
                <w:sz w:val="20"/>
                <w:szCs w:val="20"/>
              </w:rPr>
              <w:t>Rg (nm)</w:t>
            </w:r>
          </w:p>
        </w:tc>
        <w:tc>
          <w:tcPr>
            <w:tcW w:w="1872" w:type="dxa"/>
            <w:vAlign w:val="center"/>
          </w:tcPr>
          <w:p>
            <w:pPr>
              <w:pStyle w:val="TableText"/>
              <w:spacing w:before="0" w:after="0" w:line="240" w:lineRule="auto"/>
            </w:pPr>
            <w:r>
              <w:rPr>
                <w:sz w:val="20"/>
                <w:szCs w:val="20"/>
              </w:rPr>
              <w:t>2.3045 ± 0.0056</w:t>
            </w:r>
          </w:p>
        </w:tc>
        <w:tc>
          <w:tcPr>
            <w:tcW w:w="1872" w:type="dxa"/>
            <w:vAlign w:val="center"/>
          </w:tcPr>
          <w:p>
            <w:pPr>
              <w:pStyle w:val="TableText"/>
              <w:spacing w:before="0" w:after="0" w:line="240" w:lineRule="auto"/>
            </w:pPr>
            <w:r>
              <w:rPr>
                <w:sz w:val="20"/>
                <w:szCs w:val="20"/>
              </w:rPr>
              <w:t>2.3107 ± 0.0052</w:t>
            </w:r>
          </w:p>
        </w:tc>
        <w:tc>
          <w:tcPr>
            <w:tcW w:w="1872" w:type="dxa"/>
            <w:vAlign w:val="center"/>
          </w:tcPr>
          <w:p>
            <w:pPr>
              <w:pStyle w:val="TableText"/>
              <w:spacing w:before="0" w:after="0" w:line="240" w:lineRule="auto"/>
            </w:pPr>
            <w:r>
              <w:rPr>
                <w:sz w:val="20"/>
                <w:szCs w:val="20"/>
              </w:rPr>
              <w:t>2.2967 ± 0.0047</w:t>
            </w:r>
          </w:p>
        </w:tc>
        <w:tc>
          <w:tcPr>
            <w:tcW w:w="1872" w:type="dxa"/>
            <w:vAlign w:val="center"/>
          </w:tcPr>
          <w:p>
            <w:pPr>
              <w:pStyle w:val="TableText"/>
              <w:spacing w:before="0" w:after="0" w:line="240" w:lineRule="auto"/>
            </w:pPr>
            <w:r>
              <w:rPr>
                <w:sz w:val="20"/>
                <w:szCs w:val="20"/>
              </w:rPr>
              <w:t>2.3028 ± 0.0051</w:t>
            </w:r>
          </w:p>
        </w:tc>
      </w:tr>
      <w:tr>
        <w:tc>
          <w:tcPr>
            <w:tcW w:w="1872" w:type="dxa"/>
            <w:vAlign w:val="center"/>
          </w:tcPr>
          <w:p>
            <w:pPr>
              <w:pStyle w:val="TableText"/>
              <w:spacing w:before="0" w:after="0" w:line="240" w:lineRule="auto"/>
            </w:pPr>
            <w:r>
              <w:rPr>
                <w:sz w:val="20"/>
                <w:szCs w:val="20"/>
              </w:rPr>
              <w:t>Intermolecular H-bonds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2.19 ± 0.80</w:t>
            </w:r>
          </w:p>
        </w:tc>
        <w:tc>
          <w:tcPr>
            <w:tcW w:w="1872" w:type="dxa"/>
            <w:vAlign w:val="center"/>
          </w:tcPr>
          <w:p>
            <w:pPr>
              <w:pStyle w:val="TableText"/>
              <w:spacing w:before="0" w:after="0" w:line="240" w:lineRule="auto"/>
            </w:pPr>
            <w:r>
              <w:rPr>
                <w:sz w:val="20"/>
                <w:szCs w:val="20"/>
              </w:rPr>
              <w:t>7.03 ± 1.28</w:t>
            </w:r>
          </w:p>
        </w:tc>
        <w:tc>
          <w:tcPr>
            <w:tcW w:w="1872" w:type="dxa"/>
            <w:vAlign w:val="center"/>
          </w:tcPr>
          <w:p>
            <w:pPr>
              <w:pStyle w:val="TableText"/>
              <w:spacing w:before="0" w:after="0" w:line="240" w:lineRule="auto"/>
            </w:pPr>
            <w:r>
              <w:rPr>
                <w:sz w:val="20"/>
                <w:szCs w:val="20"/>
              </w:rPr>
              <w:t>2.93 ± 1.14</w:t>
            </w:r>
          </w:p>
        </w:tc>
      </w:tr>
      <w:tr>
        <w:tc>
          <w:tcPr>
            <w:tcW w:w="1872" w:type="dxa"/>
            <w:vAlign w:val="center"/>
          </w:tcPr>
          <w:p>
            <w:pPr>
              <w:pStyle w:val="TableText"/>
              <w:spacing w:before="0" w:after="0" w:line="240" w:lineRule="auto"/>
            </w:pPr>
            <w:r>
              <w:rPr>
                <w:sz w:val="20"/>
                <w:szCs w:val="20"/>
              </w:rPr>
              <w:t>Persistent contact pairs</w:t>
            </w:r>
          </w:p>
        </w:tc>
        <w:tc>
          <w:tcPr>
            <w:tcW w:w="1872" w:type="dxa"/>
            <w:vAlign w:val="center"/>
          </w:tcPr>
          <w:p>
            <w:pPr>
              <w:pStyle w:val="TableText"/>
              <w:spacing w:before="0" w:after="0" w:line="240" w:lineRule="auto"/>
            </w:pPr>
            <w:r>
              <w:rPr>
                <w:sz w:val="20"/>
                <w:szCs w:val="20"/>
              </w:rPr>
              <w:t>—</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c>
          <w:tcPr>
            <w:tcW w:w="1872" w:type="dxa"/>
            <w:vAlign w:val="center"/>
          </w:tcPr>
          <w:p>
            <w:pPr>
              <w:pStyle w:val="TableText"/>
              <w:spacing w:before="0" w:after="0" w:line="240" w:lineRule="auto"/>
            </w:pPr>
            <w:r>
              <w:rPr>
                <w:sz w:val="20"/>
                <w:szCs w:val="20"/>
              </w:rPr>
              <w:t>7</w:t>
            </w:r>
          </w:p>
        </w:tc>
      </w:tr>
      <w:tr>
        <w:tc>
          <w:tcPr>
            <w:tcW w:w="1872" w:type="dxa"/>
            <w:vAlign w:val="center"/>
          </w:tcPr>
          <w:p>
            <w:pPr>
              <w:pStyle w:val="TableText"/>
              <w:spacing w:before="0" w:after="0" w:line="240" w:lineRule="auto"/>
            </w:pPr>
            <w:r>
              <w:rPr>
                <w:sz w:val="20"/>
                <w:szCs w:val="20"/>
              </w:rPr>
              <w:t>DSSP α-helix / β-sheet (%)</w:t>
            </w:r>
          </w:p>
        </w:tc>
        <w:tc>
          <w:tcPr>
            <w:tcW w:w="1872" w:type="dxa"/>
            <w:vAlign w:val="center"/>
          </w:tcPr>
          <w:p>
            <w:pPr>
              <w:pStyle w:val="TableText"/>
              <w:spacing w:before="0" w:after="0" w:line="240" w:lineRule="auto"/>
            </w:pPr>
            <w:r>
              <w:rPr>
                <w:sz w:val="20"/>
                <w:szCs w:val="20"/>
              </w:rPr>
              <w:t>33.44 / 17.35</w:t>
            </w:r>
          </w:p>
        </w:tc>
        <w:tc>
          <w:tcPr>
            <w:tcW w:w="1872" w:type="dxa"/>
            <w:vAlign w:val="center"/>
          </w:tcPr>
          <w:p>
            <w:pPr>
              <w:pStyle w:val="TableText"/>
              <w:spacing w:before="0" w:after="0" w:line="240" w:lineRule="auto"/>
            </w:pPr>
            <w:r>
              <w:rPr>
                <w:sz w:val="20"/>
                <w:szCs w:val="20"/>
              </w:rPr>
              <w:t>33.66 / 16.76</w:t>
            </w:r>
          </w:p>
        </w:tc>
        <w:tc>
          <w:tcPr>
            <w:tcW w:w="1872" w:type="dxa"/>
            <w:vAlign w:val="center"/>
          </w:tcPr>
          <w:p>
            <w:pPr>
              <w:pStyle w:val="TableText"/>
              <w:spacing w:before="0" w:after="0" w:line="240" w:lineRule="auto"/>
            </w:pPr>
            <w:r>
              <w:rPr>
                <w:sz w:val="20"/>
                <w:szCs w:val="20"/>
              </w:rPr>
              <w:t>32.92 / 17.52</w:t>
            </w:r>
          </w:p>
        </w:tc>
        <w:tc>
          <w:tcPr>
            <w:tcW w:w="1872" w:type="dxa"/>
            <w:vAlign w:val="center"/>
          </w:tcPr>
          <w:p>
            <w:pPr>
              <w:pStyle w:val="TableText"/>
              <w:spacing w:before="0" w:after="0" w:line="240" w:lineRule="auto"/>
            </w:pPr>
            <w:r>
              <w:rPr>
                <w:sz w:val="20"/>
                <w:szCs w:val="20"/>
              </w:rPr>
              <w:t>33.31 / 17.02</w:t>
            </w:r>
          </w:p>
        </w:tc>
      </w:tr>
    </w:tbl>
    <w:p>
      <w:pPr>
        <w:spacing w:after="40"/>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BodyText"/>
      </w:pPr>
      <w:r>
        <w:t xml:space="preserve">AChE hydrolyses acetylcholine at cholinergic synapses. In AD tissue the same enzyme sits on amyloid plaques. AChE accelerates Aβ fibril growth through the PAS, and AChE–Aβ particles are more toxic than free peptide </w:t>
      </w:r>
      <w:r>
        <w:rPr>
          <w:noProof/>
        </w:rPr>
        <w:fldChar w:fldCharType="begin"/>
      </w:r>
      <w:r>
        <w:rPr>
          <w:noProof/>
        </w:rPr>
        <w:instrText xml:space="preserve"> ADDIN ZOTERO_ITEM CSL_CITATION {"citationID":"c5f2de4c","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Stable enzyme–peptide complexes change AChE biochemistry and raise fibril neurotoxicity; the enzyme binds growing fibrils rather than free monomer alone </w:t>
      </w:r>
      <w:r>
        <w:rPr>
          <w:noProof/>
        </w:rPr>
        <w:fldChar w:fldCharType="begin"/>
      </w:r>
      <w:r>
        <w:rPr>
          <w:noProof/>
        </w:rPr>
        <w:instrText xml:space="preserve"> ADDIN ZOTERO_ITEM CSL_CITATION {"citationID":"16c9d1bf","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rPr>
          <w:noProof/>
        </w:rPr>
        <w:fldChar w:fldCharType="separate"/>
      </w:r>
      <w:r>
        <w:rPr>
          <w:noProof/>
        </w:rPr>
        <w:t>[38–39]</w:t>
      </w:r>
      <w:r>
        <w:rPr>
          <w:noProof/>
        </w:rPr>
        <w:fldChar w:fldCharType="end"/>
      </w:r>
      <w:r>
        <w:t xml:space="preserve">. A short hydrophobic PAS motif is sufficient for that chaperone effect </w:t>
      </w:r>
      <w:r>
        <w:rPr>
          <w:noProof/>
        </w:rPr>
        <w:fldChar w:fldCharType="begin"/>
      </w:r>
      <w:r>
        <w:rPr>
          <w:noProof/>
        </w:rPr>
        <w:instrText xml:space="preserve"> ADDIN ZOTERO_ITEM CSL_CITATION {"citationID":"46ea1ecb","properties":{"formattedCitation":"[5]","plainCitation":"[5]","dontUpdate":false,"noteIndex":0},"citationItems":[{"id":5,"uris":["http://zotero.org/users/local/items/deferrari2001motif"],"itemData":{"id":5,"type":"article-journal","title":"A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rPr>
          <w:noProof/>
        </w:rPr>
        <w:fldChar w:fldCharType="separate"/>
      </w:r>
      <w:r>
        <w:rPr>
          <w:noProof/>
        </w:rPr>
        <w:t>[5]</w:t>
      </w:r>
      <w:r>
        <w:rPr>
          <w:noProof/>
        </w:rPr>
        <w:fldChar w:fldCharType="end"/>
      </w:r>
      <w:r>
        <w:t xml:space="preserve">. A monoclonal antibody to AChE blocks the effect </w:t>
      </w:r>
      <w:r>
        <w:rPr>
          <w:noProof/>
        </w:rPr>
        <w:fldChar w:fldCharType="begin"/>
      </w:r>
      <w:r>
        <w:rPr>
          <w:noProof/>
        </w:rPr>
        <w:instrText xml:space="preserve"> ADDIN ZOTERO_ITEM CSL_CITATION {"citationID":"04353283","properties":{"formattedCitation":"[40]","plainCitation":"[40]","dontUpdate":false,"noteIndex":0},"citationItems":[{"id":40,"uris":["http://zotero.org/users/local/items/reyes1997mab"],"itemData":{"id":40,"type":"article-journal","title":"A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rPr>
          <w:noProof/>
        </w:rPr>
        <w:fldChar w:fldCharType="separate"/>
      </w:r>
      <w:r>
        <w:rPr>
          <w:noProof/>
        </w:rPr>
        <w:t>[40]</w:t>
      </w:r>
      <w:r>
        <w:rPr>
          <w:noProof/>
        </w:rPr>
        <w:fldChar w:fldCharType="end"/>
      </w:r>
      <w:r>
        <w:t xml:space="preserve">, and PAS-directed small molecules reach the same endpoint </w:t>
      </w:r>
      <w:r>
        <w:rPr>
          <w:noProof/>
        </w:rPr>
        <w:fldChar w:fldCharType="begin"/>
      </w:r>
      <w:r>
        <w:rPr>
          <w:noProof/>
        </w:rPr>
        <w:instrText xml:space="preserve"> ADDIN ZOTERO_ITEM CSL_CITATION {"citationID":"f1c445ee","properties":{"formattedCitation":"[6]","plainCitation":"[6]","dontUpdate":false,"noteIndex":0},"citationItems":[{"id":6,"uris":["http://zotero.org/users/local/items/bartolini2003pas"],"itemData":{"id":6,"type":"article-journal","title":"$\\beta$-Amyloid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Excess AChE promotes cortical Aβ plaques in mice </w:t>
      </w:r>
      <w:r>
        <w:rPr>
          <w:noProof/>
        </w:rPr>
        <w:fldChar w:fldCharType="begin"/>
      </w:r>
      <w:r>
        <w:rPr>
          <w:noProof/>
        </w:rPr>
        <w:instrText xml:space="preserve"> ADDIN ZOTERO_ITEM CSL_CITATION {"citationID":"f12ce973","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rPr>
          <w:noProof/>
        </w:rPr>
        <w:fldChar w:fldCharType="separate"/>
      </w:r>
      <w:r>
        <w:rPr>
          <w:noProof/>
        </w:rPr>
        <w:t>[41]</w:t>
      </w:r>
      <w:r>
        <w:rPr>
          <w:noProof/>
        </w:rPr>
        <w:fldChar w:fldCharType="end"/>
      </w:r>
      <w:r>
        <w:t xml:space="preserve">. Reviews of AChE in AD place plaque-associated enzyme in cross-talk with Aβ and phospho-tau, still sensitive to PAS blockade </w:t>
      </w:r>
      <w:r>
        <w:rPr>
          <w:noProof/>
        </w:rPr>
        <w:fldChar w:fldCharType="begin"/>
      </w:r>
      <w:r>
        <w:rPr>
          <w:noProof/>
        </w:rPr>
        <w:instrText xml:space="preserve"> ADDIN ZOTERO_ITEM CSL_CITATION {"citationID":"0d623c8e","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rPr>
          <w:noProof/>
        </w:rPr>
        <w:fldChar w:fldCharType="separate"/>
      </w:r>
      <w:r>
        <w:rPr>
          <w:noProof/>
        </w:rPr>
        <w:t>[42–44]</w:t>
      </w:r>
      <w:r>
        <w:rPr>
          <w:noProof/>
        </w:rPr>
        <w:fldChar w:fldCharType="end"/>
      </w:r>
      <w:r>
        <w:t xml:space="preserve">. Hippocampal AChE–Aβ complexes produce more damage than free fibrils </w:t>
      </w:r>
      <w:r>
        <w:rPr>
          <w:noProof/>
        </w:rPr>
        <w:fldChar w:fldCharType="begin"/>
      </w:r>
      <w:r>
        <w:rPr>
          <w:noProof/>
        </w:rPr>
        <w:instrText xml:space="preserve"> ADDIN ZOTERO_ITEM CSL_CITATION {"citationID":"a6eea7be","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 The PAS maps to Tyr72, Asp74, Tyr124, Trp286 and Tyr341, about 20 Å from the catalytic triad at the gorge mouth </w:t>
      </w:r>
      <w:r>
        <w:rPr>
          <w:noProof/>
        </w:rPr>
        <w:fldChar w:fldCharType="begin"/>
      </w:r>
      <w:r>
        <w:rPr>
          <w:noProof/>
        </w:rPr>
        <w:instrText xml:space="preserve"> ADDIN ZOTERO_ITEM CSL_CITATION {"citationID":"001028c1","properties":{"formattedCitation":"[46]","plainCitation":"[46]","dontUpdate":false,"noteIndex":0},"citationItems":[{"id":46,"uris":["http://zotero.org/users/local/items/johnson2006pas"],"itemData":{"id":46,"type":"article-journal","title":"The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Those experiments identify the PAS as a structural hinge between cholinergic failure and amyloid deposition </w:t>
      </w:r>
      <w:r>
        <w:rPr>
          <w:noProof/>
        </w:rPr>
        <w:fldChar w:fldCharType="begin"/>
      </w:r>
      <w:r>
        <w:rPr>
          <w:noProof/>
        </w:rPr>
        <w:instrText xml:space="preserve"> ADDIN ZOTERO_ITEM CSL_CITATION {"citationID":"f2bb4502","properties":{"formattedCitation":"[2–3]","plainCitation":"[2–3]","dontUpdate":false,"noteIndex":0},"citationItems":[{"id":2,"uris":["http://zotero.org/users/local/items/selkoe2016amyloid"],"itemData":{"id":2,"type":"article-journal","title":"The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rPr>
          <w:noProof/>
        </w:rPr>
        <w:fldChar w:fldCharType="separate"/>
      </w:r>
      <w:r>
        <w:rPr>
          <w:noProof/>
        </w:rPr>
        <w:t>[2–3]</w:t>
      </w:r>
      <w:r>
        <w:rPr>
          <w:noProof/>
        </w:rPr>
        <w:fldChar w:fldCharType="end"/>
      </w:r>
      <w:r>
        <w:t xml:space="preserve">. The present docking and 100-ns trajectories examine occupancy of that hinge by periodontitis-derived micropeptides.</w:t>
      </w:r>
    </w:p>
    <w:p>
      <w:pPr>
        <w:pStyle w:val="BodyText"/>
      </w:pPr>
      <w:r>
        <w:t xml:space="preserve">An oral exposure path is already documented at the organism and protease level. Periodontopathic virulence factors have been detected in short-term postmortem AD brain </w:t>
      </w:r>
      <w:r>
        <w:rPr>
          <w:noProof/>
        </w:rPr>
        <w:fldChar w:fldCharType="begin"/>
      </w:r>
      <w:r>
        <w:rPr>
          <w:noProof/>
        </w:rPr>
        <w:instrText xml:space="preserve"> ADDIN ZOTERO_ITEM CSL_CITATION {"citationID":"4f5b4028","properties":{"formattedCitation":"[47]","plainCitation":"[47]","dontUpdate":false,"noteIndex":0},"citationItems":[{"id":47,"uris":["http://zotero.org/users/local/items/poole2013pg"],"itemData":{"id":47,"type":"article-journal","title":"Determining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rPr>
          <w:noProof/>
        </w:rPr>
        <w:fldChar w:fldCharType="separate"/>
      </w:r>
      <w:r>
        <w:rPr>
          <w:noProof/>
        </w:rPr>
        <w:t>[47]</w:t>
      </w:r>
      <w:r>
        <w:rPr>
          <w:noProof/>
        </w:rPr>
        <w:fldChar w:fldCharType="end"/>
      </w:r>
      <w:r>
        <w:t xml:space="preserve">. P. gingivalis and gingipains have been reported in AD brains, and oral infection in mice raises brain Aβ1–42 </w:t>
      </w:r>
      <w:r>
        <w:rPr>
          <w:noProof/>
        </w:rPr>
        <w:fldChar w:fldCharType="begin"/>
      </w:r>
      <w:r>
        <w:rPr>
          <w:noProof/>
        </w:rPr>
        <w:instrText xml:space="preserve"> ADDIN ZOTERO_ITEM CSL_CITATION {"citationID":"f0afe781","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rPr>
          <w:noProof/>
        </w:rPr>
        <w:fldChar w:fldCharType="separate"/>
      </w:r>
      <w:r>
        <w:rPr>
          <w:noProof/>
        </w:rPr>
        <w:t>[14]</w:t>
      </w:r>
      <w:r>
        <w:rPr>
          <w:noProof/>
        </w:rPr>
        <w:fldChar w:fldCharType="end"/>
      </w:r>
      <w:r>
        <w:t xml:space="preserve">. AD-like neurodegeneration occurs in P. gingivalis-infected neurons that keep active gingipains </w:t>
      </w:r>
      <w:r>
        <w:rPr>
          <w:noProof/>
        </w:rPr>
        <w:fldChar w:fldCharType="begin"/>
      </w:r>
      <w:r>
        <w:rPr>
          <w:noProof/>
        </w:rPr>
        <w:instrText xml:space="preserve"> ADDIN ZOTERO_ITEM CSL_CITATION {"citationID":"5f272516","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rPr>
          <w:noProof/>
        </w:rPr>
        <w:fldChar w:fldCharType="separate"/>
      </w:r>
      <w:r>
        <w:rPr>
          <w:noProof/>
        </w:rPr>
        <w:t>[48]</w:t>
      </w:r>
      <w:r>
        <w:rPr>
          <w:noProof/>
        </w:rPr>
        <w:fldChar w:fldCharType="end"/>
      </w:r>
      <w:r>
        <w:t xml:space="preserve">. Repeated oral application of a periodontal pathogen in wild-type mice produces neuroinflammation and Aβ-related changes </w:t>
      </w:r>
      <w:r>
        <w:rPr>
          <w:noProof/>
        </w:rPr>
        <w:fldChar w:fldCharType="begin"/>
      </w:r>
      <w:r>
        <w:rPr>
          <w:noProof/>
        </w:rPr>
        <w:instrText xml:space="preserve"> ADDIN ZOTERO_ITEM CSL_CITATION {"citationID":"4e468c75","properties":{"formattedCitation":"[15]","plainCitation":"[15]","dontUpdate":false,"noteIndex":0},"citationItems":[{"id":15,"uris":["http://zotero.org/users/local/items/ilievski2018oral"],"itemData":{"id":15,"type":"article-journal","title":"Chronic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rPr>
          <w:noProof/>
        </w:rPr>
        <w:fldChar w:fldCharType="separate"/>
      </w:r>
      <w:r>
        <w:rPr>
          <w:noProof/>
        </w:rPr>
        <w:t>[15]</w:t>
      </w:r>
      <w:r>
        <w:rPr>
          <w:noProof/>
        </w:rPr>
        <w:fldChar w:fldCharType="end"/>
      </w:r>
      <w:r>
        <w:t xml:space="preserve">. P. gingivalis bacteremia increases endothelial permeability through an Mfsd2a/Caveolin-1 transcytosis path </w:t>
      </w:r>
      <w:r>
        <w:rPr>
          <w:noProof/>
        </w:rPr>
        <w:fldChar w:fldCharType="begin"/>
      </w:r>
      <w:r>
        <w:rPr>
          <w:noProof/>
        </w:rPr>
        <w:instrText xml:space="preserve"> ADDIN ZOTERO_ITEM CSL_CITATION {"citationID":"197a0e7f","properties":{"formattedCitation":"[49]","plainCitation":"[49]","dontUpdate":false,"noteIndex":0},"citationItems":[{"id":49,"uris":["http://zotero.org/users/local/items/lei2023pgbbb"],"itemData":{"id":49,"type":"article-journal","title":"Porphyromonas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rPr>
          <w:noProof/>
        </w:rPr>
        <w:fldChar w:fldCharType="separate"/>
      </w:r>
      <w:r>
        <w:rPr>
          <w:noProof/>
        </w:rPr>
        <w:t>[49]</w:t>
      </w:r>
      <w:r>
        <w:rPr>
          <w:noProof/>
        </w:rPr>
        <w:fldChar w:fldCharType="end"/>
      </w:r>
      <w:r>
        <w:t xml:space="preserve">. Gingipains and outer-membrane vesicles supply vehicles for bacterial cargo beyond the producing cell </w:t>
      </w:r>
      <w:r>
        <w:rPr>
          <w:noProof/>
        </w:rPr>
        <w:fldChar w:fldCharType="begin"/>
      </w:r>
      <w:r>
        <w:rPr>
          <w:noProof/>
        </w:rPr>
        <w:instrText xml:space="preserve"> ADDIN ZOTERO_ITEM CSL_CITATION {"citationID":"b09657a2","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rPr>
          <w:noProof/>
        </w:rPr>
        <w:fldChar w:fldCharType="separate"/>
      </w:r>
      <w:r>
        <w:rPr>
          <w:noProof/>
        </w:rPr>
        <w:t>[12–13]</w:t>
      </w:r>
      <w:r>
        <w:rPr>
          <w:noProof/>
        </w:rPr>
        <w:fldChar w:fldCharType="end"/>
      </w:r>
      <w:r>
        <w:t xml:space="preserve">. Meta-analyses and an AD cohort link periodontitis to later cognitive decline </w:t>
      </w:r>
      <w:r>
        <w:rPr>
          <w:noProof/>
        </w:rPr>
        <w:fldChar w:fldCharType="begin"/>
      </w:r>
      <w:r>
        <w:rPr>
          <w:noProof/>
        </w:rPr>
        <w:instrText xml:space="preserve"> ADDIN ZOTERO_ITEM CSL_CITATION {"citationID":"849dc1f1","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rPr>
          <w:noProof/>
        </w:rPr>
        <w:fldChar w:fldCharType="separate"/>
      </w:r>
      <w:r>
        <w:rPr>
          <w:noProof/>
        </w:rPr>
        <w:t>[9–10]</w:t>
      </w:r>
      <w:r>
        <w:rPr>
          <w:noProof/>
        </w:rPr>
        <w:fldChar w:fldCharType="end"/>
      </w:r>
      <w:r>
        <w:t xml:space="preserve">. A two-sample Mendelian randomization analysis did not support a genetic causal effect </w:t>
      </w:r>
      <w:r>
        <w:rPr>
          <w:noProof/>
        </w:rPr>
        <w:fldChar w:fldCharType="begin"/>
      </w:r>
      <w:r>
        <w:rPr>
          <w:noProof/>
        </w:rPr>
        <w:instrText xml:space="preserve"> ADDIN ZOTERO_ITEM CSL_CITATION {"citationID":"4ab438ce","properties":{"formattedCitation":"[11]","plainCitation":"[11]","dontUpdate":false,"noteIndex":0},"citationItems":[{"id":11,"uris":["http://zotero.org/users/local/items/hu2024mendelian"],"itemData":{"id":11,"type":"article-journal","title":"Periodontal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rPr>
          <w:noProof/>
        </w:rPr>
        <w:fldChar w:fldCharType="separate"/>
      </w:r>
      <w:r>
        <w:rPr>
          <w:noProof/>
        </w:rPr>
        <w:t>[11]</w:t>
      </w:r>
      <w:r>
        <w:rPr>
          <w:noProof/>
        </w:rPr>
        <w:fldChar w:fldCharType="end"/>
      </w:r>
      <w:r>
        <w:t xml:space="preserve">. Those reports justify looking at oral products at the PAS. Assignment of the twelve peptides to P. gingivalis, or proof that any one string crosses endothelium, lies outside those reports </w:t>
      </w:r>
      <w:r>
        <w:rPr>
          <w:noProof/>
        </w:rPr>
        <w:fldChar w:fldCharType="begin"/>
      </w:r>
      <w:r>
        <w:rPr>
          <w:noProof/>
        </w:rPr>
        <w:instrText xml:space="preserve"> ADDIN ZOTERO_ITEM CSL_CITATION {"citationID":"83ecb8d0","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rPr>
          <w:noProof/>
        </w:rPr>
        <w:fldChar w:fldCharType="separate"/>
      </w:r>
      <w:r>
        <w:rPr>
          <w:noProof/>
        </w:rPr>
        <w:t>[7–8,25]</w:t>
      </w:r>
      <w:r>
        <w:rPr>
          <w:noProof/>
        </w:rPr>
        <w:fldChar w:fldCharType="end"/>
      </w:r>
      <w:r>
        <w:t xml:space="preserve">. Gingipains, LPS and vesicles already travel, and a 7–9-aa cationic peptide is smaller than those cargos. Survival of such a peptide in saliva, serum and endothelium is outside the present calculation. The docking and MD below address occupancy of the PAS implicated in fibril growth, given an oral heptapeptide placed at AChE.</w:t>
      </w:r>
    </w:p>
    <w:p>
      <w:pPr>
        <w:pStyle w:val="BodyText"/>
      </w:pPr>
      <w:r>
        <w:t xml:space="preserve">Deep-learning peptide mining supplies the filter stack used here. Millions of translated microbiome open reading frames have been scored before experimental filters </w:t>
      </w:r>
      <w:r>
        <w:rPr>
          <w:noProof/>
        </w:rPr>
        <w:fldChar w:fldCharType="begin"/>
      </w:r>
      <w:r>
        <w:rPr>
          <w:noProof/>
        </w:rPr>
        <w:instrText xml:space="preserve"> ADDIN ZOTERO_ITEM CSL_CITATION {"citationID":"f4375066","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rPr>
          <w:noProof/>
        </w:rPr>
        <w:fldChar w:fldCharType="separate"/>
      </w:r>
      <w:r>
        <w:rPr>
          <w:noProof/>
        </w:rPr>
        <w:t>[18]</w:t>
      </w:r>
      <w:r>
        <w:rPr>
          <w:noProof/>
        </w:rPr>
        <w:fldChar w:fldCharType="end"/>
      </w:r>
      <w:r>
        <w:t xml:space="preserve">. UniDL4BioPep uses the same predict-then-filter logic on ESM-2 embeddings </w:t>
      </w:r>
      <w:r>
        <w:rPr>
          <w:noProof/>
        </w:rPr>
        <w:fldChar w:fldCharType="begin"/>
      </w:r>
      <w:r>
        <w:rPr>
          <w:noProof/>
        </w:rPr>
        <w:instrText xml:space="preserve"> ADDIN ZOTERO_ITEM CSL_CITATION {"citationID":"ae0cf0d3","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rPr>
          <w:noProof/>
        </w:rPr>
        <w:fldChar w:fldCharType="separate"/>
      </w:r>
      <w:r>
        <w:rPr>
          <w:noProof/>
        </w:rPr>
        <w:t>[19]</w:t>
      </w:r>
      <w:r>
        <w:rPr>
          <w:noProof/>
        </w:rPr>
        <w:fldChar w:fldCharType="end"/>
      </w:r>
      <w:r>
        <w:t xml:space="preserve">. NTxPred2, mebipred and AnOxPePred were trained for neurotoxic, metal-binding and antioxidant endpoints, not for AChE occupancy </w:t>
      </w:r>
      <w:r>
        <w:rPr>
          <w:noProof/>
        </w:rPr>
        <w:fldChar w:fldCharType="begin"/>
      </w:r>
      <w:r>
        <w:rPr>
          <w:noProof/>
        </w:rPr>
        <w:instrText xml:space="preserve"> ADDIN ZOTERO_ITEM CSL_CITATION {"citationID":"dec23c2f","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rPr>
          <w:noProof/>
        </w:rPr>
        <w:fldChar w:fldCharType="separate"/>
      </w:r>
      <w:r>
        <w:rPr>
          <w:noProof/>
        </w:rPr>
        <w:t>[31–33]</w:t>
      </w:r>
      <w:r>
        <w:rPr>
          <w:noProof/>
        </w:rPr>
        <w:fldChar w:fldCharType="end"/>
      </w:r>
      <w:r>
        <w:t xml:space="preserve">. Catalogue matches to HOMD, eHOMD and salivary metaproteomes support prior observation of a string, as in other oral peptide studies </w:t>
      </w:r>
      <w:r>
        <w:rPr>
          <w:noProof/>
        </w:rPr>
        <w:fldChar w:fldCharType="begin"/>
      </w:r>
      <w:r>
        <w:rPr>
          <w:noProof/>
        </w:rPr>
        <w:instrText xml:space="preserve"> ADDIN ZOTERO_ITEM CSL_CITATION {"citationID":"52f883ae","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rPr>
          <w:noProof/>
        </w:rPr>
        <w:fldChar w:fldCharType="separate"/>
      </w:r>
      <w:r>
        <w:rPr>
          <w:noProof/>
        </w:rPr>
        <w:t>[16,26–30]</w:t>
      </w:r>
      <w:r>
        <w:rPr>
          <w:noProof/>
        </w:rPr>
        <w:fldChar w:fldCharType="end"/>
      </w:r>
      <w:r>
        <w:t xml:space="preserve">, so the serial scores function as a triage stack. The twelve docking ligands are 7–9 residues, alkaline, and net-positive at pH 7.4, with leucine-rich cores. That composition matches the electrostatic character of the PAS. Asp74 and Trp286 form a common core for peripheral ligands </w:t>
      </w:r>
      <w:r>
        <w:rPr>
          <w:noProof/>
        </w:rPr>
        <w:fldChar w:fldCharType="begin"/>
      </w:r>
      <w:r>
        <w:rPr>
          <w:noProof/>
        </w:rPr>
        <w:instrText xml:space="preserve"> ADDIN ZOTERO_ITEM CSL_CITATION {"citationID":"716cdf4d","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rPr>
          <w:noProof/>
        </w:rPr>
        <w:fldChar w:fldCharType="separate"/>
      </w:r>
      <w:r>
        <w:rPr>
          <w:noProof/>
        </w:rPr>
        <w:t>[50]</w:t>
      </w:r>
      <w:r>
        <w:rPr>
          <w:noProof/>
        </w:rPr>
        <w:fldChar w:fldCharType="end"/>
      </w:r>
      <w:r>
        <w:t xml:space="preserve">, and cationic substrate first docks on Asp74 </w:t>
      </w:r>
      <w:r>
        <w:rPr>
          <w:noProof/>
        </w:rPr>
        <w:fldChar w:fldCharType="begin"/>
      </w:r>
      <w:r>
        <w:rPr>
          <w:noProof/>
        </w:rPr>
        <w:instrText xml:space="preserve"> ADDIN ZOTERO_ITEM CSL_CITATION {"citationID":"31ee587e","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[51]</w:t>
      </w:r>
      <w:r>
        <w:rPr>
          <w:noProof/>
        </w:rPr>
        <w:fldChar w:fldCharType="end"/>
      </w:r>
      <w:r>
        <w:t xml:space="preserve">. A short cationic peptide is a plausible PAS occupant on chemical grounds, pending a structure.</w:t>
      </w:r>
    </w:p>
    <w:p>
      <w:pPr>
        <w:pStyle w:val="BodyText"/>
      </w:pPr>
      <w:r>
        <w:t xml:space="preserve">Human AChE (PDB 4EY6) gives an experimental frame for the gorge and PAS </w:t>
      </w:r>
      <w:r>
        <w:rPr>
          <w:noProof/>
        </w:rPr>
        <w:fldChar w:fldCharType="begin"/>
      </w:r>
      <w:r>
        <w:rPr>
          <w:noProof/>
        </w:rPr>
        <w:instrText xml:space="preserve"> ADDIN ZOTERO_ITEM CSL_CITATION {"citationID":"c406c993","properties":{"formattedCitation":"[22]","plainCitation":"[22]","dontUpdate":false,"noteIndex":0},"citationItems":[{"id":22,"uris":["http://zotero.org/users/local/items/cheung2012ache"],"itemData":{"id":22,"type":"article-journal","title":"Structures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following the aromatic-gorge map on Torpedo AChE </w:t>
      </w:r>
      <w:r>
        <w:rPr>
          <w:noProof/>
        </w:rPr>
        <w:fldChar w:fldCharType="begin"/>
      </w:r>
      <w:r>
        <w:rPr>
          <w:noProof/>
        </w:rPr>
        <w:instrText xml:space="preserve"> ADDIN ZOTERO_ITEM CSL_CITATION {"citationID":"6412b862","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[23,52]</w:t>
      </w:r>
      <w:r>
        <w:rPr>
          <w:noProof/>
        </w:rPr>
        <w:fldChar w:fldCharType="end"/>
      </w:r>
      <w:r>
        <w:t xml:space="preserve">. The 20-Å gorge couples a catalytic triad at the base to a peripheral cluster at the rim </w:t>
      </w:r>
      <w:r>
        <w:rPr>
          <w:noProof/>
        </w:rPr>
        <w:fldChar w:fldCharType="begin"/>
      </w:r>
      <w:r>
        <w:rPr>
          <w:noProof/>
        </w:rPr>
        <w:instrText xml:space="preserve"> ADDIN ZOTERO_ITEM CSL_CITATION {"citationID":"73df77f2","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[53]</w:t>
      </w:r>
      <w:r>
        <w:rPr>
          <w:noProof/>
        </w:rPr>
        <w:fldChar w:fldCharType="end"/>
      </w:r>
      <w:r>
        <w:t xml:space="preserve">. AutoDock Vina is a first-pass ranking engine </w:t>
      </w:r>
      <w:r>
        <w:rPr>
          <w:noProof/>
        </w:rPr>
        <w:fldChar w:fldCharType="begin"/>
      </w:r>
      <w:r>
        <w:rPr>
          <w:noProof/>
        </w:rPr>
        <w:instrText xml:space="preserve"> ADDIN ZOTERO_ITEM CSL_CITATION {"citationID":"97e46199","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rPr>
          <w:noProof/>
        </w:rPr>
        <w:fldChar w:fldCharType="separate"/>
      </w:r>
      <w:r>
        <w:rPr>
          <w:noProof/>
        </w:rPr>
        <w:t>[34–35]</w:t>
      </w:r>
      <w:r>
        <w:rPr>
          <w:noProof/>
        </w:rPr>
        <w:fldChar w:fldCharType="end"/>
      </w:r>
      <w:r>
        <w:t xml:space="preserve">. Recurring contacts fall on the PAS array rather than on a new pocket. FLLHTTR hydrogen-bonds Asp74, Tyr72 and His287. YLSLLQR bridges Tyr72 and Thr75 at the gorge mouth. LLHPLRL spans Trp286 and Tyr341 and reaches catalytic His447, the dual PAS–catalytic geometry of donepezil in 4EY6 </w:t>
      </w:r>
      <w:r>
        <w:rPr>
          <w:noProof/>
        </w:rPr>
        <w:fldChar w:fldCharType="begin"/>
      </w:r>
      <w:r>
        <w:rPr>
          <w:noProof/>
        </w:rPr>
        <w:instrText xml:space="preserve"> ADDIN ZOTERO_ITEM CSL_CITATION {"citationID":"e2e30a8d","properties":{"formattedCitation":"[22]","plainCitation":"[22]","dontUpdate":false,"noteIndex":0},"citationItems":[{"id":22,"uris":["http://zotero.org/users/local/items/cheung2012ache"],"itemData":{"id":22,"type":"article-journal","title":"Structures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HLLTLKKHV reaches Phe346 in the 344–361 zone occupied by Aβ on a 1-μs trajectory </w:t>
      </w:r>
      <w:r>
        <w:rPr>
          <w:noProof/>
        </w:rPr>
        <w:fldChar w:fldCharType="begin"/>
      </w:r>
      <w:r>
        <w:rPr>
          <w:noProof/>
        </w:rPr>
        <w:instrText xml:space="preserve"> ADDIN ZOTERO_ITEM CSL_CITATION {"citationID":"8985c38b","properties":{"formattedCitation":"[21]","plainCitation":"[21]","dontUpdate":false,"noteIndex":0},"citationItems":[{"id":21,"uris":["http://zotero.org/users/local/items/atanasova2020md"],"itemData":{"id":21,"type":"article-journal","title":"Molecular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PAS ligands have been crystallised stacked between Trp286 and Tyr341; the same pair appears for LLHPLRL </w:t>
      </w:r>
      <w:r>
        <w:rPr>
          <w:noProof/>
        </w:rPr>
        <w:fldChar w:fldCharType="begin"/>
      </w:r>
      <w:r>
        <w:rPr>
          <w:noProof/>
        </w:rPr>
        <w:instrText xml:space="preserve"> ADDIN ZOTERO_ITEM CSL_CITATION {"citationID":"ab990c47","properties":{"formattedCitation":"[54]","plainCitation":"[54]","dontUpdate":false,"noteIndex":0},"citationItems":[{"id":54,"uris":["http://zotero.org/users/local/items/bourne2003pas"],"itemData":{"id":54,"type":"article-journal","title":"Structural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[54]</w:t>
      </w:r>
      <w:r>
        <w:rPr>
          <w:noProof/>
        </w:rPr>
        <w:fldChar w:fldCharType="end"/>
      </w:r>
      <w:r>
        <w:t xml:space="preserve">. ALLLHRC is the exception: it binds catalytic Ser203 and does not contact the outer PAS aromatics. Six of twelve best poses meet PAS residues. FCLHLQLR, HVLLLRQCA, HLLTLKKHV and LLHPLRL complete that PAS-positive set; HLPLLHRCC, LLHPLRC, WLLVHLKK and YHHLLCRR stay off the outer aromatics, and LLHLPKRTT sits adjacent. The three MD ligands were the strongest scorers, two of them PAS-positive. Docking scores put all twelve strings in a favourable window; they are first-pass ranks, not binding constants, and they do not by themselves distinguish a PAS occupant from a catalytic-site occupant. That distinction comes from the contact list: Asp74/Tyr72/Trp286/Tyr341 versus Ser203. FLLHTTR and YLSLLQR belong to the first group. ALLLHRC belongs to the second. Running MD on both groups compares a strong docking score with PAS geometry as the requirement for a lasting complex.</w:t>
      </w:r>
    </w:p>
    <w:p>
      <w:pPr>
        <w:pStyle w:val="BodyText"/>
      </w:pPr>
      <w:r>
        <w:t xml:space="preserve">MD studies of AChE–Aβ already treat the enzyme as a nucleation centre. Accelerated sampling pulled Aβ onto the AChE surface </w:t>
      </w:r>
      <w:r>
        <w:rPr>
          <w:noProof/>
        </w:rPr>
        <w:fldChar w:fldCharType="begin"/>
      </w:r>
      <w:r>
        <w:rPr>
          <w:noProof/>
        </w:rPr>
        <w:instrText xml:space="preserve"> ADDIN ZOTERO_ITEM CSL_CITATION {"citationID":"a7ab3d0e","properties":{"formattedCitation":"[20]","plainCitation":"[20]","dontUpdate":false,"noteIndex":0},"citationItems":[{"id":20,"uris":["http://zotero.org/users/local/items/lushchekina2017amd"],"itemData":{"id":20,"type":"article-journal","title":"Role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rPr>
          <w:noProof/>
        </w:rPr>
        <w:fldChar w:fldCharType="separate"/>
      </w:r>
      <w:r>
        <w:rPr>
          <w:noProof/>
        </w:rPr>
        <w:t>[20]</w:t>
      </w:r>
      <w:r>
        <w:rPr>
          <w:noProof/>
        </w:rPr>
        <w:fldChar w:fldCharType="end"/>
      </w:r>
      <w:r>
        <w:t xml:space="preserve">. A 1-μs PAS-centred trajectory remained bound without unfolding the fold </w:t>
      </w:r>
      <w:r>
        <w:rPr>
          <w:noProof/>
        </w:rPr>
        <w:fldChar w:fldCharType="begin"/>
      </w:r>
      <w:r>
        <w:rPr>
          <w:noProof/>
        </w:rPr>
        <w:instrText xml:space="preserve"> ADDIN ZOTERO_ITEM CSL_CITATION {"citationID":"b4f02cf4","properties":{"formattedCitation":"[21]","plainCitation":"[21]","dontUpdate":false,"noteIndex":0},"citationItems":[{"id":21,"uris":["http://zotero.org/users/local/items/atanasova2020md"],"itemData":{"id":21,"type":"article-journal","title":"Molecular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 The same occupancy pattern appears here on a 100-ns window. Apo AChE levels as a compact hydrolase. ALLLHRC tracks that control. FLLHTTR and YLSLLQR sit below apo after the first half of the run, which reads as rigidification, not unfolding. A complex that is more compact than apo is local rigidity after binding. That reading matches the surface-bound, non-dissociating AChE–Aβ complex </w:t>
      </w:r>
      <w:r>
        <w:rPr>
          <w:noProof/>
        </w:rPr>
        <w:fldChar w:fldCharType="begin"/>
      </w:r>
      <w:r>
        <w:rPr>
          <w:noProof/>
        </w:rPr>
        <w:instrText xml:space="preserve"> ADDIN ZOTERO_ITEM CSL_CITATION {"citationID":"5c4c2544","properties":{"formattedCitation":"[20,21]","plainCitation":"[20,21]","dontUpdate":false,"noteIndex":0},"citationItems":[{"id":20,"uris":["http://zotero.org/users/local/items/lushchekina2017amd"],"itemData":{"id":20,"type":"article-journal","title":"Role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Peptide self-fit compactness ranks the ligands in the same order as PAS contact: YLSLLQR the most compact on the enzyme, ALLLHRC the most mobile, FLLHTTR in between. Apo AChE is already a stiff α/β hydrolase; the deep aromatic gorge does not require large domain motion for catalysis </w:t>
      </w:r>
      <w:r>
        <w:rPr>
          <w:noProof/>
        </w:rPr>
        <w:fldChar w:fldCharType="begin"/>
      </w:r>
      <w:r>
        <w:rPr>
          <w:noProof/>
        </w:rPr>
        <w:instrText xml:space="preserve"> ADDIN ZOTERO_ITEM CSL_CITATION {"citationID":"145f975f","properties":{"formattedCitation":"[52]","plainCitation":"[52]","dontUpdate":false,"noteIndex":0},"citationItems":[{"id":52,"uris":["http://zotero.org/users/local/items/sussman1991ache"],"itemData":{"id":52,"type":"article-journal","title":"Atomic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rPr>
          <w:noProof/>
        </w:rPr>
        <w:fldChar w:fldCharType="separate"/>
      </w:r>
      <w:r>
        <w:rPr>
          <w:noProof/>
        </w:rPr>
        <w:t>[52]</w:t>
      </w:r>
      <w:r>
        <w:rPr>
          <w:noProof/>
        </w:rPr>
        <w:fldChar w:fldCharType="end"/>
      </w:r>
      <w:r>
        <w:t xml:space="preserve">. A small drop in complex compactness relative to that apo baseline is a tightening of an already compact fold, short of rebuilding the enzyme. AChE itself has two jobs on the same fold: feeding the catalytic triad and templating Aβ at the PAS. That dual role is why a PAS occupant and a catalytic-site occupant were both sent to MD: a strong pose at Ser203 can still fail as a chaperone surface.</w:t>
      </w:r>
    </w:p>
    <w:p>
      <w:pPr>
        <w:pStyle w:val="BodyText"/>
      </w:pPr>
      <w:r>
        <w:t xml:space="preserve">Mean fluctuation is below apo for FLLHTTR and YLSLLQR and slightly above apo for ALLLHRC. Catalytic-core fluctuations stay low in all four systems. Loop residues at the gorge rim fluctuate more than the triad, as expected from the PAS being a surface cluster rather than a buried pocket </w:t>
      </w:r>
      <w:r>
        <w:rPr>
          <w:noProof/>
        </w:rPr>
        <w:fldChar w:fldCharType="begin"/>
      </w:r>
      <w:r>
        <w:rPr>
          <w:noProof/>
        </w:rPr>
        <w:instrText xml:space="preserve"> ADDIN ZOTERO_ITEM CSL_CITATION {"citationID":"2086b9c1","properties":{"formattedCitation":"[46,54]","plainCitation":"[46,54]","dontUpdate":false,"noteIndex":0},"citationItems":[{"id":46,"uris":["http://zotero.org/users/local/items/johnson2006pas"],"itemData":{"id":46,"type":"article-journal","title":"The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rPr>
          <w:noProof/>
        </w:rPr>
        <w:fldChar w:fldCharType="separate"/>
      </w:r>
      <w:r>
        <w:rPr>
          <w:noProof/>
        </w:rPr>
        <w:t>[46,54]</w:t>
      </w:r>
      <w:r>
        <w:rPr>
          <w:noProof/>
        </w:rPr>
        <w:fldChar w:fldCharType="end"/>
      </w:r>
      <w:r>
        <w:t xml:space="preserve">. PAS binding has been described as a surface event that need not open the fold; the fluctuation pattern is that event. Radius of gyration barely shifts across apo and the three complexes. A shift of that size is spatial accommodation of a heptapeptide, not unravelling of the α/β hydrolase core. Helix and sheet overlay the apo bars, so secondary structure is not rewritten on this window. A more compact complex plus preserved secondary structure has been read as ligand-induced rigidity at this enzyme </w:t>
      </w:r>
      <w:r>
        <w:rPr>
          <w:noProof/>
        </w:rPr>
        <w:fldChar w:fldCharType="begin"/>
      </w:r>
      <w:r>
        <w:rPr>
          <w:noProof/>
        </w:rPr>
        <w:instrText xml:space="preserve"> ADDIN ZOTERO_ITEM CSL_CITATION {"citationID":"f8afa4c5","properties":{"formattedCitation":"[20,21]","plainCitation":"[20,21]","dontUpdate":false,"noteIndex":0},"citationItems":[{"id":20,"uris":["http://zotero.org/users/local/items/lushchekina2017amd"],"itemData":{"id":20,"type":"article-journal","title":"Role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[20,21]</w:t>
      </w:r>
      <w:r>
        <w:rPr>
          <w:noProof/>
        </w:rPr>
        <w:fldChar w:fldCharType="end"/>
      </w:r>
      <w:r>
        <w:t xml:space="preserve">; the present traces follow that reading.</w:t>
      </w:r>
    </w:p>
    <w:p>
      <w:pPr>
        <w:pStyle w:val="BodyText"/>
      </w:pPr>
      <w:r>
        <w:t xml:space="preserve">Intermolecular hydrogen bonds separate the ligands more sharply than compactness. ALLLHRC decays from early occupancy to a thin net by the end of the window. FLLHTTR holds a dense net for the full 100 ns. YLSLLQR sits between those extremes. Persistent intermolecular contacts remain in each complex. Centre-of-mass distances stay in the surface-residence range rather than bulk solvent. Solvent-accessible surface rises for ALLLHRC relative to apo, sits near apo for FLLHTTR, and falls only for YLSLLQR. A drop in SASA is read as a more compact complex; that reading applies to YLSLLQR. FLLHTTR therefore looks like a hydrogen-bond-rich PAS occupant that rigidifies the protein without burying extra surface. YLSLLQR looks like a compact PAS occupant that does bury surface. ALLLHRC, despite a strong docking score on Ser203, does not leave a lasting PAS-type network. The three complexes therefore do not tell one story. FLLHTTR is the hydrogen-bond-rich PAS ligand. YLSLLQR is the compact PAS ligand. ALLLHRC is a catalytic-site scorer that later loses occupancy. That split is the docking–MD equivalent of the biochemical split between PAS-directed ligands, which suppress AChE-induced aggregation, and catalytic-site ligands, which need not </w:t>
      </w:r>
      <w:r>
        <w:rPr>
          <w:noProof/>
        </w:rPr>
        <w:fldChar w:fldCharType="begin"/>
      </w:r>
      <w:r>
        <w:rPr>
          <w:noProof/>
        </w:rPr>
        <w:instrText xml:space="preserve"> ADDIN ZOTERO_ITEM CSL_CITATION {"citationID":"ee7cc4e6","properties":{"formattedCitation":"[6]","plainCitation":"[6]","dontUpdate":false,"noteIndex":0},"citationItems":[{"id":6,"uris":["http://zotero.org/users/local/items/bartolini2003pas"],"itemData":{"id":6,"type":"article-journal","title":"$\\beta$-Amyloid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A 1-μs Aβ trajectory and the present 100-ns peptide trajectories differ in ligand length and sampling window. Both still show a ligand remaining at the PAS with the fold closed </w:t>
      </w:r>
      <w:r>
        <w:rPr>
          <w:noProof/>
        </w:rPr>
        <w:fldChar w:fldCharType="begin"/>
      </w:r>
      <w:r>
        <w:rPr>
          <w:noProof/>
        </w:rPr>
        <w:instrText xml:space="preserve"> ADDIN ZOTERO_ITEM CSL_CITATION {"citationID":"ec8b1742","properties":{"formattedCitation":"[21]","plainCitation":"[21]","dontUpdate":false,"noteIndex":0},"citationItems":[{"id":21,"uris":["http://zotero.org/users/local/items/atanasova2020md"],"itemData":{"id":21,"type":"article-journal","title":"Molecular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rPr>
          <w:noProof/>
        </w:rPr>
        <w:fldChar w:fldCharType="separate"/>
      </w:r>
      <w:r>
        <w:rPr>
          <w:noProof/>
        </w:rPr>
        <w:t>[21]</w:t>
      </w:r>
      <w:r>
        <w:rPr>
          <w:noProof/>
        </w:rPr>
        <w:fldChar w:fldCharType="end"/>
      </w:r>
      <w:r>
        <w:t xml:space="preserve">.</w:t>
      </w:r>
    </w:p>
    <w:p>
      <w:pPr>
        <w:pStyle w:val="BodyText"/>
      </w:pPr>
      <w:r>
        <w:t xml:space="preserve">Four linked steps then follow from the cited PAS literature. First, PAS recognition: occupancy of Asp74, Tyr72, Trp286 and Tyr341 places a heterologous peptide at the gorge mouth that feeds the catalytic triad, the first step assigned to cationic substrate at this enzyme </w:t>
      </w:r>
      <w:r>
        <w:rPr>
          <w:noProof/>
        </w:rPr>
        <w:fldChar w:fldCharType="begin"/>
      </w:r>
      <w:r>
        <w:rPr>
          <w:noProof/>
        </w:rPr>
        <w:instrText xml:space="preserve"> ADDIN ZOTERO_ITEM CSL_CITATION {"citationID":"b149e951","properties":{"formattedCitation":"[3,22,51]","plainCitation":"[3,22,51]","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rPr>
          <w:noProof/>
        </w:rPr>
        <w:fldChar w:fldCharType="separate"/>
      </w:r>
      <w:r>
        <w:rPr>
          <w:noProof/>
        </w:rPr>
        <w:t>[3,22,51]</w:t>
      </w:r>
      <w:r>
        <w:rPr>
          <w:noProof/>
        </w:rPr>
        <w:fldChar w:fldCharType="end"/>
      </w:r>
      <w:r>
        <w:t xml:space="preserve">. Second, a lasting enzyme–peptide complex: intermolecular hydrogen bonds persist, as in AChE–Aβ trajectories and in isolated stable complexes </w:t>
      </w:r>
      <w:r>
        <w:rPr>
          <w:noProof/>
        </w:rPr>
        <w:fldChar w:fldCharType="begin"/>
      </w:r>
      <w:r>
        <w:rPr>
          <w:noProof/>
        </w:rPr>
        <w:instrText xml:space="preserve"> ADDIN ZOTERO_ITEM CSL_CITATION {"citationID":"5405a9dc","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rPr>
          <w:noProof/>
        </w:rPr>
        <w:fldChar w:fldCharType="separate"/>
      </w:r>
      <w:r>
        <w:rPr>
          <w:noProof/>
        </w:rPr>
        <w:t>[20,21,38]</w:t>
      </w:r>
      <w:r>
        <w:rPr>
          <w:noProof/>
        </w:rPr>
        <w:fldChar w:fldCharType="end"/>
      </w:r>
      <w:r>
        <w:t xml:space="preserve">. Third, restricted acetylcholine access: physical blockage at the 20-Å gorge entrance can hinder substrate even while the catalytic core remains folded, the steric-blockade mode described for PAS ligands </w:t>
      </w:r>
      <w:r>
        <w:rPr>
          <w:noProof/>
        </w:rPr>
        <w:fldChar w:fldCharType="begin"/>
      </w:r>
      <w:r>
        <w:rPr>
          <w:noProof/>
        </w:rPr>
        <w:instrText xml:space="preserve"> ADDIN ZOTERO_ITEM CSL_CITATION {"citationID":"f118a7df","properties":{"formattedCitation":"[46,53]","plainCitation":"[46,53]","dontUpdate":false,"noteIndex":0},"citationItems":[{"id":46,"uris":["http://zotero.org/users/local/items/johnson2006pas"],"itemData":{"id":46,"type":"article-journal","title":"The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rPr>
          <w:noProof/>
        </w:rPr>
        <w:fldChar w:fldCharType="separate"/>
      </w:r>
      <w:r>
        <w:rPr>
          <w:noProof/>
        </w:rPr>
        <w:t>[46,53]</w:t>
      </w:r>
      <w:r>
        <w:rPr>
          <w:noProof/>
        </w:rPr>
        <w:fldChar w:fldCharType="end"/>
      </w:r>
      <w:r>
        <w:t xml:space="preserve">. Fourth, pathological chaperone activity: because the PAS is a documented pro-fibrillar site </w:t>
      </w:r>
      <w:r>
        <w:rPr>
          <w:noProof/>
        </w:rPr>
        <w:fldChar w:fldCharType="begin"/>
      </w:r>
      <w:r>
        <w:rPr>
          <w:noProof/>
        </w:rPr>
        <w:instrText xml:space="preserve"> ADDIN ZOTERO_ITEM CSL_CITATION {"citationID":"4a410a05","properties":{"formattedCitation":"[4–5,43]","plainCitation":"[4–5,43]","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rPr>
          <w:noProof/>
        </w:rPr>
        <w:fldChar w:fldCharType="separate"/>
      </w:r>
      <w:r>
        <w:rPr>
          <w:noProof/>
        </w:rPr>
        <w:t>[4–5,43]</w:t>
      </w:r>
      <w:r>
        <w:rPr>
          <w:noProof/>
        </w:rPr>
        <w:fldChar w:fldCharType="end"/>
      </w:r>
      <w:r>
        <w:t xml:space="preserve">, a peptide that remains there can lower the nucleation barrier for endogenous Aβ. Folded AChE would then present a peptide-coated PAS on which Aβ oligomers can co-assemble, which accounts for the greater hippocampal damage of AChE–Aβ particles relative to free fibrils </w:t>
      </w:r>
      <w:r>
        <w:rPr>
          <w:noProof/>
        </w:rPr>
        <w:fldChar w:fldCharType="begin"/>
      </w:r>
      <w:r>
        <w:rPr>
          <w:noProof/>
        </w:rPr>
        <w:instrText xml:space="preserve"> ADDIN ZOTERO_ITEM CSL_CITATION {"citationID":"a77f7a5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rPr>
          <w:noProof/>
        </w:rPr>
        <w:fldChar w:fldCharType="separate"/>
      </w:r>
      <w:r>
        <w:rPr>
          <w:noProof/>
        </w:rPr>
        <w:t>[45]</w:t>
      </w:r>
      <w:r>
        <w:rPr>
          <w:noProof/>
        </w:rPr>
        <w:fldChar w:fldCharType="end"/>
      </w:r>
      <w:r>
        <w:t xml:space="preserve">.</w:t>
      </w:r>
    </w:p>
    <w:p>
      <w:pPr>
        <w:pStyle w:val="BodyText"/>
      </w:pPr>
      <w:r>
        <w:t xml:space="preserve">PAS pharmacology in AChE has mostly been small molecules. PAS ligands reduce AChE-induced aggregation without requiring catalytic-site occupancy </w:t>
      </w:r>
      <w:r>
        <w:rPr>
          <w:noProof/>
        </w:rPr>
        <w:fldChar w:fldCharType="begin"/>
      </w:r>
      <w:r>
        <w:rPr>
          <w:noProof/>
        </w:rPr>
        <w:instrText xml:space="preserve"> ADDIN ZOTERO_ITEM CSL_CITATION {"citationID":"1953c104","properties":{"formattedCitation":"[6]","plainCitation":"[6]","dontUpdate":false,"noteIndex":0},"citationItems":[{"id":6,"uris":["http://zotero.org/users/local/items/bartolini2003pas"],"itemData":{"id":6,"type":"article-journal","title":"$\\beta$-Amyloid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rPr>
          <w:noProof/>
        </w:rPr>
        <w:fldChar w:fldCharType="separate"/>
      </w:r>
      <w:r>
        <w:rPr>
          <w:noProof/>
        </w:rPr>
        <w:t>[6]</w:t>
      </w:r>
      <w:r>
        <w:rPr>
          <w:noProof/>
        </w:rPr>
        <w:fldChar w:fldCharType="end"/>
      </w:r>
      <w:r>
        <w:t xml:space="preserve">. Donepezil in 4EY6 spans PAS Trp286 to the catalytic anionic site, a dual-binding template mapped on Torpedo AChE </w:t>
      </w:r>
      <w:r>
        <w:rPr>
          <w:noProof/>
        </w:rPr>
        <w:fldChar w:fldCharType="begin"/>
      </w:r>
      <w:r>
        <w:rPr>
          <w:noProof/>
        </w:rPr>
        <w:instrText xml:space="preserve"> ADDIN ZOTERO_ITEM CSL_CITATION {"citationID":"4ffed067","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rPr>
          <w:noProof/>
        </w:rPr>
        <w:fldChar w:fldCharType="separate"/>
      </w:r>
      <w:r>
        <w:rPr>
          <w:noProof/>
        </w:rPr>
        <w:t>[22–23]</w:t>
      </w:r>
      <w:r>
        <w:rPr>
          <w:noProof/>
        </w:rPr>
        <w:fldChar w:fldCharType="end"/>
      </w:r>
      <w:r>
        <w:t xml:space="preserve">. That surface has been treated as a design handle for ligands that modulate heterologous protein associations, including Aβ </w:t>
      </w:r>
      <w:r>
        <w:rPr>
          <w:noProof/>
        </w:rPr>
        <w:fldChar w:fldCharType="begin"/>
      </w:r>
      <w:r>
        <w:rPr>
          <w:noProof/>
        </w:rPr>
        <w:instrText xml:space="preserve"> ADDIN ZOTERO_ITEM CSL_CITATION {"citationID":"2ecfceef","properties":{"formattedCitation":"[46]","plainCitation":"[46]","dontUpdate":false,"noteIndex":0},"citationItems":[{"id":46,"uris":["http://zotero.org/users/local/items/johnson2006pas"],"itemData":{"id":46,"type":"article-journal","title":"The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[46]</w:t>
      </w:r>
      <w:r>
        <w:rPr>
          <w:noProof/>
        </w:rPr>
        <w:fldChar w:fldCharType="end"/>
      </w:r>
      <w:r>
        <w:t xml:space="preserve">. Short cationic peptides occupy a larger surface than those ligands. The present poses place an oral heptapeptide on the same aromatic cluster. They are not a claim that the peptides are drugs. Dual-binding inhibitors were designed to occupy PAS and the catalytic anionic site at once, with the therapeutic aim of slowing both acetylcholine hydrolysis and PAS-templated Aβ assembly </w:t>
      </w:r>
      <w:r>
        <w:rPr>
          <w:noProof/>
        </w:rPr>
        <w:fldChar w:fldCharType="begin"/>
      </w:r>
      <w:r>
        <w:rPr>
          <w:noProof/>
        </w:rPr>
        <w:instrText xml:space="preserve"> ADDIN ZOTERO_ITEM CSL_CITATION {"citationID":"26cce058","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rPr>
          <w:noProof/>
        </w:rPr>
        <w:fldChar w:fldCharType="separate"/>
      </w:r>
      <w:r>
        <w:rPr>
          <w:noProof/>
        </w:rPr>
        <w:t>[44,46]</w:t>
      </w:r>
      <w:r>
        <w:rPr>
          <w:noProof/>
        </w:rPr>
        <w:fldChar w:fldCharType="end"/>
      </w:r>
      <w:r>
        <w:t xml:space="preserve">. An oral heptapeptide that covers only the rim cannot be scored against that dual-binding template. What FLLHTTR and YLSLLQR can do, on the present evidence, is remain at the rim. That is the occupancy treated as the chaperone trigger </w:t>
      </w:r>
      <w:r>
        <w:rPr>
          <w:noProof/>
        </w:rPr>
        <w:fldChar w:fldCharType="begin"/>
      </w:r>
      <w:r>
        <w:rPr>
          <w:noProof/>
        </w:rPr>
        <w:instrText xml:space="preserve"> ADDIN ZOTERO_ITEM CSL_CITATION {"citationID":"2831de99","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rPr>
          <w:noProof/>
        </w:rPr>
        <w:fldChar w:fldCharType="separate"/>
      </w:r>
      <w:r>
        <w:rPr>
          <w:noProof/>
        </w:rPr>
        <w:t>[4]</w:t>
      </w:r>
      <w:r>
        <w:rPr>
          <w:noProof/>
        </w:rPr>
        <w:fldChar w:fldCharType="end"/>
      </w:r>
      <w:r>
        <w:t xml:space="preserve">, not the longer dual-binding pose crystallised for donepezil </w:t>
      </w:r>
      <w:r>
        <w:rPr>
          <w:noProof/>
        </w:rPr>
        <w:fldChar w:fldCharType="begin"/>
      </w:r>
      <w:r>
        <w:rPr>
          <w:noProof/>
        </w:rPr>
        <w:instrText xml:space="preserve"> ADDIN ZOTERO_ITEM CSL_CITATION {"citationID":"04aa7e02","properties":{"formattedCitation":"[22]","plainCitation":"[22]","dontUpdate":false,"noteIndex":0},"citationItems":[{"id":22,"uris":["http://zotero.org/users/local/items/cheung2012ache"],"itemData":{"id":22,"type":"article-journal","title":"Structures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rPr>
          <w:noProof/>
        </w:rPr>
        <w:fldChar w:fldCharType="separate"/>
      </w:r>
      <w:r>
        <w:rPr>
          <w:noProof/>
        </w:rPr>
        <w:t>[22]</w:t>
      </w:r>
      <w:r>
        <w:rPr>
          <w:noProof/>
        </w:rPr>
        <w:fldChar w:fldCharType="end"/>
      </w:r>
      <w:r>
        <w:t xml:space="preserve">. PAS therefore carries both a catalytic-access function and a pro-fibrillar function on one protein. A rim peptide can touch the second without covering the first. That is why FLLHTTR and YLSLLQR are read as PAS ligands and ALLLHRC is not, even though all three docked in a favourable window.</w:t>
      </w:r>
    </w:p>
    <w:p>
      <w:pPr>
        <w:pStyle w:val="BodyText"/>
      </w:pPr>
      <w:r>
        <w:t xml:space="preserve">On that literature, short, cationic, leucine-rich oral micropeptides predicted from PRJNA678453 MAGs can occupy the experimentally mapped Aβ-binding PAS and remain there on a 100-ns timescale. A binding assay and an Aβ-aggregation experiment are still required.</w:t>
      </w:r>
    </w:p>
    <w:p>
      <w:pPr>
        <w:pStyle w:val="Heading2"/>
        <w:keepNext/>
      </w:pPr>
      <w:r>
        <w:t>Conclusions</w:t>
      </w:r>
    </w:p>
    <w:p>
      <w:pPr>
        <w:pStyle w:val="BodyText"/>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noProof/>
        </w:rPr>
        <w:fldChar w:fldCharType="begin"/>
      </w:r>
      <w:r>
        <w:rPr>
          <w:noProof/>
        </w:rPr>
        <w:instrText xml:space="preserve"> ADDIN ZOTERO_BIBL {"uncited":[],"omitted":[],"custom":[]} CSL_BIBLIOGRAPHY</w:instrText>
      </w:r>
      <w:r>
        <w:rPr>
          <w:noProof/>
        </w:rP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Reference"/>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Reference"/>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Reference"/>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Reference"/>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Reference"/>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Reference"/>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Reference"/>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Reference"/>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Reference"/>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Reference"/>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Reference"/>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Reference"/>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Reference"/>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Reference"/>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Reference"/>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Reference"/>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Reference"/>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Reference"/>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rPr>
          <w:noProof/>
        </w:rPr>
        <w:fldChar w:fldCharType="end"/>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English</dc:title>
  <dcterms:created xsi:type="dcterms:W3CDTF">2026-08-23T00:00:00Z</dcterms:created>
  <dcterms:modified xsi:type="dcterms:W3CDTF">2026-08-23T00:00:00Z</dcterms:modified>
</cp:coreProperties>
</file>