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t>[4]</w:t>
      </w:r>
      <w:r>
        <w:t xml:space="preserve">. Stable enzyme–peptide complexes change AChE biochemistry and raise fibril neurotoxicity; the enzyme binds growing fibrils rather than free monomer alone </w:t>
      </w:r>
      <w:r>
        <w:t>[38–39]</w:t>
      </w:r>
      <w:r>
        <w:t xml:space="preserve">. A short hydrophobic PAS motif is sufficient for that chaperone effect </w:t>
      </w:r>
      <w:r>
        <w:t>[5]</w:t>
      </w:r>
      <w:r>
        <w:t xml:space="preserve">. A monoclonal antibody to AChE blocks the effect </w:t>
      </w:r>
      <w:r>
        <w:t>[40]</w:t>
      </w:r>
      <w:r>
        <w:t xml:space="preserve">, and PAS-directed small molecules reach the same endpoint </w:t>
      </w:r>
      <w:r>
        <w:t>[6]</w:t>
      </w:r>
      <w:r>
        <w:t xml:space="preserve">. Excess AChE promotes cortical Aβ plaques in mice </w:t>
      </w:r>
      <w:r>
        <w:t>[41]</w:t>
      </w:r>
      <w:r>
        <w:t xml:space="preserve">. Reviews of AChE in AD place plaque-associated enzyme in cross-talk with Aβ and phospho-tau, still sensitive to PAS blockade </w:t>
      </w:r>
      <w:r>
        <w:t>[42–44]</w:t>
      </w:r>
      <w:r>
        <w:t xml:space="preserve">. Hippocampal AChE–Aβ complexes produce more damage than free fibrils </w:t>
      </w:r>
      <w:r>
        <w:t>[45]</w:t>
      </w:r>
      <w:r>
        <w:t xml:space="preserve">. The PAS maps to Tyr72, Asp74, Tyr124, Trp286 and Tyr341, about 20 Å from the catalytic triad at the gorge mouth </w:t>
      </w:r>
      <w:r>
        <w:t>[46]</w:t>
      </w:r>
      <w:r>
        <w:t xml:space="preserve">. Those experiments identify the PAS as a structural hinge between cholinergic failure and amyloid deposition </w:t>
      </w:r>
      <w:r>
        <w:t>[2–3]</w:t>
      </w:r>
      <w:r>
        <w:t xml:space="preserve">. The present docking and 100-ns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t>[47]</w:t>
      </w:r>
      <w:r>
        <w:t xml:space="preserve">. P. gingivalis and gingipains have been reported in AD brains, and oral infection in mice raises brain Aβ1–42 </w:t>
      </w:r>
      <w:r>
        <w:t>[14]</w:t>
      </w:r>
      <w:r>
        <w:t xml:space="preserve">. AD-like neurodegeneration occurs in P. gingivalis-infected neurons that keep active gingipains </w:t>
      </w:r>
      <w:r>
        <w:t>[48]</w:t>
      </w:r>
      <w:r>
        <w:t xml:space="preserve">. Repeated oral application of a periodontal pathogen in wild-type mice produces neuroinflammation and Aβ-related changes </w:t>
      </w:r>
      <w:r>
        <w:t>[15]</w:t>
      </w:r>
      <w:r>
        <w:t xml:space="preserve">. P. gingivalis bacteremia increases endothelial permeability through an Mfsd2a/Caveolin-1 transcytosis path </w:t>
      </w:r>
      <w:r>
        <w:t>[49]</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justify looking at oral products at the PAS. Assignment of the twelve peptides to P. gingivalis, or proof that any one string crosses endothelium, lies outside those reports </w:t>
      </w:r>
      <w:r>
        <w:t>[7–8,25]</w:t>
      </w:r>
      <w:r>
        <w:t xml:space="preserve">. Gingipains, LPS and vesicles already travel, and a 7–9-aa cationic peptide is smaller than those cargos. Survival of such a peptide in saliva, serum and endothelium is outside the present calculation. The docking and MD below address occupancy of the PAS implicated in fibril growth, given an oral heptapeptide placed at AChE.</w:t>
      </w:r>
    </w:p>
    <w:p>
      <w:pPr>
        <w:pStyle w:val="BodyText"/>
      </w:pPr>
      <w:r>
        <w:t xml:space="preserve">Deep-learning peptide mining supplies the filter stack used here. Millions of translated microbiome open reading frames have been scored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not for AChE occupancy </w:t>
      </w:r>
      <w:r>
        <w:t>[31–33]</w:t>
      </w:r>
      <w:r>
        <w:t xml:space="preserve">. Catalogue matches to HOMD, eHOMD and salivary metaproteomes support prior observation of a string, as in other oral peptide studies </w:t>
      </w:r>
      <w:r>
        <w:t>[16,26–30]</w:t>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t>[50]</w:t>
      </w:r>
      <w:r>
        <w:t xml:space="preserve">, and cationic substrate first docks on Asp74 </w:t>
      </w:r>
      <w:r>
        <w:t>[51]</w:t>
      </w:r>
      <w:r>
        <w:t xml:space="preserve">. A short cationic peptide is a plausible PAS occupant on chemical grounds, pending a structure.</w:t>
      </w:r>
    </w:p>
    <w:p>
      <w:pPr>
        <w:pStyle w:val="BodyText"/>
      </w:pPr>
      <w:r>
        <w:t xml:space="preserve">Human AChE (PDB 4EY6) gives an experimental frame for the gorge and PAS </w:t>
      </w:r>
      <w:r>
        <w:t>[22]</w:t>
      </w:r>
      <w:r>
        <w:t xml:space="preserve">, following the aromatic-gorge map on Torpedo AChE </w:t>
      </w:r>
      <w:r>
        <w:t>[23,52]</w:t>
      </w:r>
      <w:r>
        <w:t xml:space="preserve">. The 20-Å gorge couples a catalytic triad at the base to a peripheral cluster at the rim </w:t>
      </w:r>
      <w:r>
        <w:t>[53]</w:t>
      </w:r>
      <w:r>
        <w:t xml:space="preserve">. AutoDock Vina is a first-pass ranking engine </w:t>
      </w:r>
      <w:r>
        <w:t>[34–35]</w:t>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w:t>
      </w:r>
      <w:r>
        <w:t>[22]</w:t>
      </w:r>
      <w:r>
        <w:t xml:space="preserve">. HLLTLKKHV reaches Phe346 in the 344–361 zone occupied by Aβ on a 1-μs trajectory </w:t>
      </w:r>
      <w:r>
        <w:t>[21]</w:t>
      </w:r>
      <w:r>
        <w:t xml:space="preserve">. PAS ligands have been crystallised stacked between Trp286 and Tyr341; the same pair appears for LLHPLRL </w:t>
      </w:r>
      <w:r>
        <w:t>[54]</w:t>
      </w:r>
      <w:r>
        <w:t xml:space="preserve">.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Docking scores put all twelve strings in a favourable window; they are first-pass ranks, not binding constants, and they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docking score with PAS geometry as the requirement for a lasting complex.</w:t>
      </w:r>
    </w:p>
    <w:p>
      <w:pPr>
        <w:pStyle w:val="BodyText"/>
      </w:pPr>
      <w:r>
        <w:t xml:space="preserve">MD studies of AChE–Aβ already treat the enzyme as a nucleation centre. Accelerated sampling pulled Aβ onto the AChE surface </w:t>
      </w:r>
      <w:r>
        <w:t>[20]</w:t>
      </w:r>
      <w:r>
        <w:t xml:space="preserve">. A 1-μs PAS-centred trajectory remained bound without unfolding the fold </w:t>
      </w:r>
      <w:r>
        <w:t>[21]</w:t>
      </w:r>
      <w:r>
        <w:t xml:space="preserve">. The same occupancy pattern appears here on a 100-ns window. Apo AChE levels as a compact hydrolase. ALLLHRC tracks that control. FLLHTTR and YLSLLQR sit below apo after the first half of the run, which reads as rigidification, not unfolding. A complex that is more compact than apo is local rigidity after binding. That reading matches the surface-bound, non-dissociating AChE–Aβ complex </w:t>
      </w:r>
      <w:r>
        <w:t>[20,21]</w:t>
      </w:r>
      <w:r>
        <w:t xml:space="preserve">. Peptide self-fit compactness ranks the ligands in the same order as PAS contact: YLSLLQR the most compact on the enzyme, ALLLHRC the most mobile, FLLHTTR in between. Apo AChE is already a stiff α/β hydrolase; the deep aromatic gorge does not require large domain motion for catalysis </w:t>
      </w:r>
      <w:r>
        <w:t>[52]</w:t>
      </w:r>
      <w:r>
        <w:t xml:space="preserve">. A small drop in complex compactness relative to that apo baseline is a tightening of an already compact fold, short of rebuilding the enzyme. AChE itself has two jobs on the same fold: feeding the catalytic triad and templating Aβ at the PAS. That dual role is why a PAS occupant and a catalytic-site occupant were both sent to MD: a strong pose at Ser203 can still fail as a chaperone surface.</w:t>
      </w:r>
    </w:p>
    <w:p>
      <w:pPr>
        <w:pStyle w:val="BodyText"/>
      </w:pPr>
      <w:r>
        <w:t xml:space="preserve">Mean fluctuation is below apo for FLLHTTR and YLSLLQR and slightly above apo for ALLLHRC. Catalytic-core fluctuations stay low in all four systems. Loop residues at the gorge rim fluctuate more than the triad, as expected from the PAS being a surface cluster rather than a buried pocket </w:t>
      </w:r>
      <w:r>
        <w:t>[46,54]</w:t>
      </w:r>
      <w:r>
        <w:t xml:space="preserve">. PAS binding has been described as a surface event that need not open the fold; the fluctuation pattern is that event. Radius of gyration barely shifts across apo and the three complexes. A shift of that size is spatial accommodation of a heptapeptide, not unravelling of the α/β hydrolase core. Helix and sheet overlay the apo bars, so secondary structure is not rewritten on this window. A more compact complex plus preserved secondary structure has been read as ligand-induced rigidity at this enzyme </w:t>
      </w:r>
      <w:r>
        <w:t>[20,21]</w:t>
      </w:r>
      <w:r>
        <w:t xml:space="preserve">; the present traces follow that reading.</w:t>
      </w:r>
    </w:p>
    <w:p>
      <w:pPr>
        <w:pStyle w:val="BodyText"/>
      </w:pPr>
      <w:r>
        <w:t xml:space="preserve">Intermolecular hydrogen bonds separate the ligands more sharply than compactness. ALLLHRC decays from early occupancy to a thin net by the end of the window. FLLHTTR holds a dense net for the full 100 ns. YLSLLQR sits between those extremes. Persistent intermolecular contacts remain in each complex. Centre-of-mass distances stay in the surface-residence range rather than bulk solvent. Solvent-accessible surface rises for ALLLHRC relative to apo, sits near apo for FLLHTTR, and falls only for YLSLLQR.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docking score on Ser203, does not leave a lasting PAS-type network. The three complexes therefore do not tell one story. FLLHTTR is the hydrogen-bond-rich PAS ligand. YLSLLQR is the compact PAS ligand. ALLLHRC is a catalytic-site scorer that later loses occupancy. That split is the docking–MD equivalent of the biochemical split between PAS-directed ligands, which suppress AChE-induced aggregation, and catalytic-site ligands, which need not </w:t>
      </w:r>
      <w:r>
        <w:t>[6]</w:t>
      </w:r>
      <w:r>
        <w:t xml:space="preserve">. A 1-μs Aβ trajectory and the present 100-ns peptide trajectories differ in ligand length and sampling window. Both still show a ligand remaining at the PAS with the fold closed </w:t>
      </w:r>
      <w:r>
        <w:t>[21]</w:t>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t>[3,22,51]</w:t>
      </w:r>
      <w:r>
        <w:t xml:space="preserve">. Second, a lasting enzyme–peptide complex: intermolecular hydrogen bonds persist, as in AChE–Aβ trajectories and in isolated stable complexes </w:t>
      </w:r>
      <w:r>
        <w:t>[20,21,38]</w:t>
      </w:r>
      <w:r>
        <w:t xml:space="preserve">. Third, restricted acetylcholine access: physical blockage at the 20-Å gorge entrance can hinder substrate even while the catalytic core remains folded, the steric-blockade mode described for PAS ligands </w:t>
      </w:r>
      <w:r>
        <w:t>[46,53]</w:t>
      </w:r>
      <w:r>
        <w:t xml:space="preserve">. Fourth, pathological chaperone activity: because the PAS is a documented pro-fibrillar site </w:t>
      </w:r>
      <w:r>
        <w:t>[4–5,43]</w:t>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t>[45]</w:t>
      </w:r>
      <w:r>
        <w:t xml:space="preserve">.</w:t>
      </w:r>
    </w:p>
    <w:p>
      <w:pPr>
        <w:pStyle w:val="BodyText"/>
      </w:pPr>
      <w:r>
        <w:t xml:space="preserve">PAS pharmacology in AChE has mostly been small molecules. PAS ligands reduce AChE-induced aggregation without requiring catalytic-site occupancy </w:t>
      </w:r>
      <w:r>
        <w:t>[6]</w:t>
      </w:r>
      <w:r>
        <w:t xml:space="preserve">. Donepezil in 4EY6 spans PAS Trp286 to the catalytic anionic site, a dual-binding template mapped on Torpedo AChE </w:t>
      </w:r>
      <w:r>
        <w:t>[22–23]</w:t>
      </w:r>
      <w:r>
        <w:t xml:space="preserve">. That surface has been treated as a design handle for ligands that modulate heterologous protein associations, including Aβ </w:t>
      </w:r>
      <w:r>
        <w:t>[46]</w:t>
      </w:r>
      <w:r>
        <w:t xml:space="preserve">. Short cationic peptides occupy a larger surface than those ligands. The present poses place an oral heptapeptide on the same aromatic cluster. They are not a claim that the peptides are drugs. Dual-binding inhibitors were designed to occupy PAS and the catalytic anionic site at once, with the therapeutic aim of slowing both acetylcholine hydrolysis and PAS-templated Aβ assembly </w:t>
      </w:r>
      <w:r>
        <w:t>[44,46]</w:t>
      </w:r>
      <w:r>
        <w:t xml:space="preserve">. An oral heptapeptide that covers only the rim cannot be scored against that dual-binding template. What FLLHTTR and YLSLLQR can do, on the present evidence, is remain at the rim. That is the occupancy treated as the chaperone trigger </w:t>
      </w:r>
      <w:r>
        <w:t>[4]</w:t>
      </w:r>
      <w:r>
        <w:t xml:space="preserve">, not the longer dual-binding pose crystallised for donepezil </w:t>
      </w:r>
      <w:r>
        <w:t>[22]</w:t>
      </w:r>
      <w:r>
        <w:t xml:space="preserve">. PAS therefore carries both a catalytic-access function and a pro-fibrillar function on one protein. A rim peptide can touch the second without covering the first. That is why FLLHTTR and YLSLLQR are read as PAS ligands and ALLLHRC is not, even though all three docked in a favourable window.</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