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Those observations justify looking at oral products. They do not, by themselves, name a peptide that occupies AChE.</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for docking </w:t>
      </w:r>
      <w:r>
        <w:t>[22]</w:t>
      </w:r>
      <w:r>
        <w:t xml:space="preserve">. The aromatic gorge that joins the catalytic triad to the PAS was mapped on </w:t>
      </w:r>
      <w:r>
        <w:rPr>
          <w:i/>
        </w:rPr>
        <w:t>Torpedo</w:t>
      </w:r>
      <w:r>
        <w:t xml:space="preserve"> AChE </w:t>
      </w:r>
      <w:r>
        <w:t>[23]</w:t>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[36–37]</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[4]. Stable enzyme–peptide complexes change AChE biochemistry and raise fibril neurotoxicity; the enzyme binds growing fibrils rather than free monomer alone [38–39]. A short hydrophobic PAS motif is sufficient for that chaperone effect [5]. A monoclonal antibody to AChE blocks the effect [40], and PAS-directed small molecules reach the same endpoint [6]. Excess AChE promotes cortical Aβ plaques in mice [41]. Reviews of AChE in AD place plaque-associated enzyme in cross-talk with Aβ and phospho-tau, still sensitive to PAS blockade [42–44]. Hippocampal AChE–Aβ complexes produce more damage than free fibrils [45]. The PAS maps to Tyr72, Asp74, Tyr124, Trp286 and Tyr341, about 20 Å from the catalytic triad at the gorge mouth [46]. Those experiments identify the PAS as a structural hinge between cholinergic failure and amyloid deposition [2–3]. The present docking and MD trajectories examine occupancy of that hinge by periodontitis-derived micropeptides.</w:t>
      </w:r>
    </w:p>
    <w:p>
      <w:pPr>
        <w:pStyle w:val="BodyText"/>
      </w:pPr>
      <w:r>
        <w:t xml:space="preserve">An oral exposure path is already documented at the organism and protease level. Periodontopathic virulence factors have been detected in short-term postmortem AD brain [47]. P. gingivalis and gingipains have been reported in AD brains, and oral infection in mice raises brain Aβ1–42 [14]. AD-like neurodegeneration occurs in P. gingivalis-infected neurons that keep active gingipains [48]. Repeated oral application of a periodontal pathogen in wild-type mice produces neuroinflammation and Aβ-related changes [15]. P. gingivalis bacteremia increases endothelial permeability through an Mfsd2a/Caveolin-1 transcytosis path [49]. Gingipains and outer-membrane vesicles supply vehicles for bacterial cargo beyond the producing cell [12–13]. Meta-analyses and an AD cohort link periodontitis to later cognitive decline [9–10]. A two-sample Mendelian randomization analysis did not support a genetic causal effect [11]. Those reports justify looking at oral products at the PAS. Assignment of the twelve peptides to P. gingivalis, or proof that any one string crosses endothelium, lies outside those reports [7–8,25]. Gingipains, LPS and vesicles already travel, and a 7–9-aa cationic peptide is smaller than those cargos. Survival of such a peptide in saliva, serum and endothelium is outside the present calculation.</w:t>
      </w:r>
    </w:p>
    <w:p>
      <w:pPr>
        <w:pStyle w:val="BodyText"/>
      </w:pPr>
      <w:r>
        <w:t xml:space="preserve">Deep-learning peptide mining supplies the filter stack used here. Millions of translated microbiome open reading frames have been scored before experimental filters [18]. UniDL4BioPep uses the same predict-then-filter logic on ESM-2 embeddings [19]. NTxPred2, mebipred and AnOxPePred were trained for neurotoxic, metal-binding and antioxidant endpoints, not for AChE occupancy [31–33]. Catalogue matches to HOMD, eHOMD and salivary metaproteomes support prior observation of a string, as in other oral peptide studies [16,26–30], so the serial scores function as a triage stack. The twelve docking ligands are 7–9 residues, alkaline, and net-positive at pH 7.4, with leucine-rich cores. That composition matches the electrostatic character of the PAS. Asp74 and Trp286 form a common core for peripheral ligands [50], and cationic substrate first docks on Asp74 [51]. A short cationic peptide is a plausible PAS occupant on chemical grounds, pending a structure.</w:t>
      </w:r>
    </w:p>
    <w:p>
      <w:pPr>
        <w:pStyle w:val="BodyText"/>
      </w:pPr>
      <w:r>
        <w:t xml:space="preserve">Human AChE (PDB 4EY6) gives an experimental frame for the gorge and PAS [22], following the aromatic-gorge map on Torpedo AChE [23,52]. The 20-Å gorge couples a catalytic triad at the base to a peripheral cluster at the rim [53]. AutoDock Vina is a first-pass ranking engine [34–35]. Recurring contacts fall on the PAS array (Asp74, Tyr72, Trp286, Tyr341) rather than on a new pocket, matching the Aβ-binding surface defined previously [4,21,46,54]. Dual PAS–catalytic geometry of the kind crystallised for donepezil in 4EY6 is not required for a rim occupant [22]. A strong docking score at Ser203 is not equivalent to PAS occupancy.</w:t>
      </w:r>
    </w:p>
    <w:p>
      <w:pPr>
        <w:pStyle w:val="BodyText"/>
      </w:pPr>
      <w:r>
        <w:t xml:space="preserve">MD studies of AChE–Aβ already treat the enzyme as a nucleation centre. Accelerated sampling pulled Aβ onto the AChE surface [20]. A 1-μs PAS-centred trajectory remained bound without unfolding the fold [21]. Apo AChE is already a stiff α/β hydrolase; the deep aromatic gorge does not require large domain motion for catalysis [52]. PAS binding has been described as a surface event that need not open the fold [46,54]. On that reading, a complex that stays compact relative to apo, keeps secondary structure, and remains at the rim is ligand-induced rigidity at a surface cluster, not peptide-driven unfolding. The same occupancy pattern is the one reported for surface-bound, non-dissociating AChE–Aβ complexes [20,21]. PAS-directed ligands suppress AChE-induced aggregation without requiring catalytic-site occupancy [6].</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assigned to cationic substrate at this enzyme [3,22,51]. Second, a lasting enzyme–peptide complex: intermolecular hydrogen bonds persist, as in AChE–Aβ trajectories and in isolated stable complexes [20,21,38]. Third, restricted acetylcholine access: physical blockage at the 20-Å gorge entrance can hinder substrate even while the catalytic core remains folded, the steric-blockade mode described for PAS ligands [46,53]. Fourth, pathological chaperone activity: because the PAS is a documented pro-fibrillar site [4–5,43], a peptide that remains there can lower the nucleation barrier for endogenous Aβ. Folded AChE would then present a peptide-coated PAS on which Aβ oligomers can co-assemble, which accounts for the greater hippocampal damage of AChE–Aβ particles relative to free fibrils [45].</w:t>
      </w:r>
    </w:p>
    <w:p>
      <w:pPr>
        <w:pStyle w:val="BodyText"/>
      </w:pPr>
      <w:r>
        <w:t xml:space="preserve">PAS pharmacology in AChE has mostly been small molecules. PAS ligands reduce AChE-induced aggregation without requiring catalytic-site occupancy [6]. Donepezil in 4EY6 spans PAS Trp286 to the catalytic anionic site, a dual-binding template mapped on Torpedo AChE [22–23]. That surface has been treated as a design handle for ligands that modulate heterologous protein associations, including Aβ [46]. Short cationic peptides occupy a larger surface than those ligands. The present poses place an oral heptapeptide on the same aromatic cluster. Dual-binding inhibitors were designed to occupy PAS and the catalytic anionic site at once, with the therapeutic aim of slowing both acetylcholine hydrolysis and PAS-templated Aβ assembly [44,46]. An oral heptapeptide that covers only the rim cannot be scored against that dual-binding template. Occupancy that remains at the rim is the occupancy treated as the chaperone trigger [4].</w:t>
      </w:r>
    </w:p>
    <w:p>
      <w:pPr>
        <w:pStyle w:val="BodyText"/>
      </w:pPr>
      <w:r>
        <w:t xml:space="preserve">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