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牙周炎与阿尔茨海默病（AD）在临床和实验中有关联，但仍缺少能够作用于突触酶的肽水平配体。用 EMBOSS getorf 从 PRJNA678453 宏基因组组装基因组预测小开放阅读框（sORF；健康 24 例、牙周炎 26 例），再用 UniDL4BioPep 打分。12 条 7–9 残基肽对接到人源乙酰胆碱酯酶（AChE）。apo AChE 与三种复合物随后做 100 ns 分子动力学（MD）。健康标记库 11,269,961 条与牙周炎标记库 11,721,988 条均按 ≥0.80 跑完 22 个分类头。随后仅对牙周炎分支与口腔基因组、宏蛋白质组目录做精确匹配。血脑屏障肽头阳性在健康库为 1,095,861 条（9.72%），在牙周炎库为 1,125,832 条（9.60%）。与 33,786 条目录支持的独特肽取交集得 3,518 条；经 NTxPred2、mebipred 与 AnOxPePred 收至 12 条明示序列。12 条均为 7–9 残基、pH 7.4 带净正电荷且富亮氨酸。本地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[12–13]</w:t>
      </w:r>
      <w:r>
        <w:t>。AD 脑内曾检出该菌与牙龈蛋白酶</w:t>
      </w:r>
      <w:r>
        <w:t>[14]</w:t>
      </w:r>
      <w:r>
        <w:t>，小鼠反复口腔感染可产生神经炎症和 Aβ 相关改变</w:t>
      </w:r>
      <w:r>
        <w:t>[15]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[16–17]</w:t>
      </w:r>
      <w:r>
        <w:t>。人体微生物组抗菌肽挖掘先对数百万条翻译开放阅读框打分，再做实验过滤</w:t>
      </w:r>
      <w:r>
        <w:t>[18]</w:t>
      </w:r>
      <w:r>
        <w:t>。UniDL4BioPep 在 ESM-2 嵌入上提供二十余个二分类活性头</w:t>
      </w:r>
      <w:r>
        <w:t>[19]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[20]</w:t>
      </w:r>
      <w:r>
        <w:t>。1 μs、以 PAS 为中心的 AChE–Aβ 轨迹保持结合，主驻留区为残基 344–361</w:t>
      </w:r>
      <w:r>
        <w:t>[21]</w:t>
      </w:r>
      <w:r>
        <w:t>。PDB 4EY6 给出 2.40 Å 人源 AChE 对接框架</w:t>
      </w:r>
      <w:r>
        <w:t>[22]</w:t>
      </w:r>
      <w:r>
        <w:t>。连接催化三联体与 PAS 的芳香峡部早先在电鳗 AChE 上被定位</w:t>
      </w:r>
      <w:r>
        <w:t>[23]</w:t>
      </w:r>
      <w:r>
        <w:t>。仍缺少的是从口腔 smORF 取出、并在同一 PAS 上检验的肽水平配体。</w:t>
      </w:r>
    </w:p>
    <w:p>
      <w:pPr>
        <w:pStyle w:val="BodyText"/>
      </w:pPr>
      <w:r>
        <w:t>本研究用 EMBOSS getorf 从 PRJNA678453 的 MAG 预测 sORF（健康 24 例、牙周炎 26 例），对两库做 22 项 UniDL4BioPep 打分，将牙周炎分支与口腔基因组和宏蛋白质组目录匹配，再用 NTxPred2、mebipred 和 AnOxPePred 收窄名单。12 条 7–9 aa 肽对接到人源 AChE。三个复合物与 apo 酶一起做 100 ns 模拟，跟踪肽在 PAS 上的驻留，折叠保持闭合。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来源文库与 sORF 预测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。同一 BioProject 另有派生的 MGnify 第三方组装 PRJEB65451（metaSPAdes v3.15.3），并非第二个临床队列。宏基因组组装基因组（MAG）按健康标记 24 例、牙周炎标记 26 例分入样本目录，296 个 MAG 文件经 GCA–SRR 元数据匹配。开放阅读框用 EMBOSS getorf 预测：细菌密码子表 11，起始密码子至终止密码子（</w:t>
      </w:r>
      <w:r>
        <w:rPr>
          <w:rFonts w:ascii="Consolas" w:hAnsi="Consolas" w:eastAsia="等线"/>
          <w:shd w:val="clear" w:color="auto" w:fill="F2F4F7"/>
        </w:rPr>
        <w:t>-find 0</w:t>
      </w:r>
      <w:r>
        <w:t>），长度窗口 15–150 bp</w:t>
      </w:r>
      <w:r>
        <w:t>[24]</w:t>
      </w:r>
      <w:r>
        <w:t>。完全相同的氨基酸串合并。各独特串在样本中的有无按存在/缺失记录，未把读段重新回贴到 MAG。打分库为健康标记 11,269,961 条、牙周炎标记 11,721,988 条 5–50 aa 肽。未新招患者；本研究完成的是 getorf 预测、22 项筛选、目录匹配、对接与 MD。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[26–27]</w:t>
      </w:r>
      <w:r>
        <w:t>。唾液宏蛋白质组在其自身错误发现框架内记录肽</w:t>
      </w:r>
      <w:r>
        <w:t>[28]</w:t>
      </w:r>
      <w:r>
        <w:t>。其他口腔宏蛋白质组集合补充不同临床背景下的序列观察</w:t>
      </w:r>
      <w:r>
        <w:t>[29–30]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[31]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[32]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[33]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[22]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[34–35]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[36–37]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4458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44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 xml:space="preserve">牙周炎 MAG 文库筛出的十二条 7–9 aa 阳离子肽对接到人源 AChE，其中三条在 100 ns 内留在表面且不使酶去折叠。反复出现的接触落在 PAS（Asp74、Tyr72、Trp286、Tyr341），即模板化 Aβ 组装的外周位点</w:t>
      </w:r>
      <w:r>
        <w:t>[4–6]</w:t>
      </w:r>
      <w:r>
        <w:t xml:space="preserve">。AChE–Aβ 颗粒毒性高于游离肽，稳定的酶–肽复合物提高纤丝神经毒性</w:t>
      </w:r>
      <w:r>
        <w:t>[4,38–39]</w:t>
      </w:r>
      <w:r>
        <w:t xml:space="preserve">。一段疏水 PAS 基序即足以产生伴侣效应</w:t>
      </w:r>
      <w:r>
        <w:t>[5]</w:t>
      </w:r>
      <w:r>
        <w:t xml:space="preserve">；抗体阻断与 PAS 导向配体达到同一终点</w:t>
      </w:r>
      <w:r>
        <w:t>[6,40]</w:t>
      </w:r>
      <w:r>
        <w:t xml:space="preserve">。小鼠中过量 AChE 促进皮层斑块</w:t>
      </w:r>
      <w:r>
        <w:t>[41]</w:t>
      </w:r>
      <w:r>
        <w:t xml:space="preserve">，斑块相关酶仍对 PAS 阻断敏感</w:t>
      </w:r>
      <w:r>
        <w:t>[42–44]</w:t>
      </w:r>
      <w:r>
        <w:t xml:space="preserve">。海马区 AChE–Aβ 复合物的损伤强于游离纤丝</w:t>
      </w:r>
      <w:r>
        <w:t>[45]</w:t>
      </w:r>
      <w:r>
        <w:t xml:space="preserve">。PAS 定位于 Tyr72、Asp74、Tyr124、Trp286 和 Tyr341，距催化三联体约 20 Å</w:t>
      </w:r>
      <w:r>
        <w:t>[46]</w:t>
      </w:r>
      <w:r>
        <w:t xml:space="preserve">。下文轨迹问的是口腔微肽能否占据这一铰链</w:t>
      </w:r>
      <w:r>
        <w:t>[2–3]</w:t>
      </w:r>
      <w:r>
        <w:t xml:space="preserve">。</w:t>
      </w:r>
    </w:p>
    <w:p>
      <w:pPr>
        <w:pStyle w:val="BodyText"/>
      </w:pPr>
      <w:r>
        <w:t xml:space="preserve">口腔产物到达脑内 AChE 仍是假说，不是已经证明的转运路径。AD 脑内已有牙周病原货物的报告，小鼠口腔感染可升高脑内 Aβ</w:t>
      </w:r>
      <w:r>
        <w:t>[14,15,47–49]</w:t>
      </w:r>
      <w:r>
        <w:t xml:space="preserve">。牙龈蛋白酶与外膜囊泡已能把货物送出产生细胞</w:t>
      </w:r>
      <w:r>
        <w:t>[12–13]</w:t>
      </w:r>
      <w:r>
        <w:t xml:space="preserve">。流行病学把牙周炎与后续认知下降联系起来</w:t>
      </w:r>
      <w:r>
        <w:t>[9–10]</w:t>
      </w:r>
      <w:r>
        <w:t xml:space="preserve">；孟德尔随机化未支持遗传因果</w:t>
      </w:r>
      <w:r>
        <w:t>[11]</w:t>
      </w:r>
      <w:r>
        <w:t xml:space="preserve">。这些报告支持在 PAS 上检查口腔产物，并不把十二条肽归于 P. gingivalis，也不证明任一字符串穿过内皮</w:t>
      </w:r>
      <w:r>
        <w:t>[7–8,25]</w:t>
      </w:r>
      <w:r>
        <w:t xml:space="preserve">。唾液、血清和内皮中的存活不在本次计算范围内。</w:t>
      </w:r>
    </w:p>
    <w:p>
      <w:pPr>
        <w:pStyle w:val="BodyText"/>
      </w:pPr>
      <w:r>
        <w:t xml:space="preserve">十二条对接配体为 7–9 残基、碱性、pH 7.4 净正电，核心偏亮氨酸，与 PAS 的静电性质相符。Asp74 与 Trp286 构成外周配体的共同核心</w:t>
      </w:r>
      <w:r>
        <w:t>[50]</w:t>
      </w:r>
      <w:r>
        <w:t xml:space="preserve">，阳离子底物首先停在 Asp74</w:t>
      </w:r>
      <w:r>
        <w:t>[51]</w:t>
      </w:r>
      <w:r>
        <w:t xml:space="preserve">。短阳离子肽在化学上是合理的 PAS 占据者，结构上仍待显示。本文深度学习分数只作分诊栈，不是对原预测器的湿实验重复。</w:t>
      </w:r>
    </w:p>
    <w:p>
      <w:pPr>
        <w:pStyle w:val="BodyText"/>
      </w:pPr>
      <w:r>
        <w:t xml:space="preserve">人源 AChE（PDB 4EY6）给出峡部与 PAS 的实验框架</w:t>
      </w:r>
      <w:r>
        <w:t>[22]</w:t>
      </w:r>
      <w:r>
        <w:t xml:space="preserve">，沿用电鳗 AChE 的芳香峡部定位</w:t>
      </w:r>
      <w:r>
        <w:t>[23,52]</w:t>
      </w:r>
      <w:r>
        <w:t xml:space="preserve">。20 Å 峡部把底部催化三联体与 rim 外周簇耦联</w:t>
      </w:r>
      <w:r>
        <w:t>[53]</w:t>
      </w:r>
      <w:r>
        <w:t xml:space="preserve">。AutoDock Vina 是第一轮排序引擎</w:t>
      </w:r>
      <w:r>
        <w:t>[34–35]</w:t>
      </w:r>
      <w:r>
        <w:t xml:space="preserve">。反复出现的接触落在 PAS 阵列上，而不是新口袋。FLLHTTR 碰到 Asp74、Tyr72 与 His287；YLSLLQR 在峡部入口桥接 Tyr72 与 Thr75；LLHPLRL 跨越 Trp286 与 Tyr341，即晶体 PAS 配体与 4EY6 中 donepezil 占据的同一对残基</w:t>
      </w:r>
      <w:r>
        <w:t>[22,54]</w:t>
      </w:r>
      <w:r>
        <w:t xml:space="preserve">。HLLTLKKHV 到达微秒轨迹中 Aβ 所在的 344–361 区 Phe346</w:t>
      </w:r>
      <w:r>
        <w:t>[21]</w:t>
      </w:r>
      <w:r>
        <w:t xml:space="preserve">。ALLLHRC 是例外：它结合催化 Ser203，不接触外侧 PAS 芳香残基。约半数最优构象碰到 PAS 残基。三条 MD 配体是打分最强者，其中两条 PAS 阳性。对接分数把十二条串放进有利窗口；它们是排序，不是结合常数，本身不能把 PAS 占据者与催化位点占据者分开。分开来自接触名单。</w:t>
      </w:r>
    </w:p>
    <w:p>
      <w:pPr>
        <w:pStyle w:val="BodyText"/>
      </w:pPr>
      <w:r>
        <w:t xml:space="preserve">AChE–Aβ 的 MD 已把该酶当作成核中心</w:t>
      </w:r>
      <w:r>
        <w:t>[20,21]</w:t>
      </w:r>
      <w:r>
        <w:t xml:space="preserve">。同一占据模式在此出现。apo AChE 保持紧凑水解酶。ALLLHRC 跟随该对照。FLLHTTR 与 YLSLLQR 在轨迹后半段比 apo 更紧。复合物比 apo 更紧凑、螺旋与片层保留，读作结合后局部变刚，而不是去折叠</w:t>
      </w:r>
      <w:r>
        <w:t>[21,52]</w:t>
      </w:r>
      <w:r>
        <w:t xml:space="preserve">。YLSLLQR 是酶上最紧凑的配体；未碰到 PAS 的 ALLLHRC 最活动。rim loop 比三联体更活动，符合 PAS 是表面簇而非埋藏口袋</w:t>
      </w:r>
      <w:r>
        <w:t>[46,54]</w:t>
      </w:r>
      <w:r>
        <w:t xml:space="preserve">。回转半径几乎不动，二级结构与 apo 轨迹重叠。四个体系中催化核心涨落都低。FLLHTTR 与 YLSLLQR 的平均涨落低于 apo，ALLLHRC 略高。分子间氢键比紧凑程度更能分开配体：FLLHTTR 全程维持密网，YLSLLQR 网较薄，ALLLHRC 在早期占据后衰减。持续接触留在表面而非体相溶剂。溶剂可及表面在 ALLLHRC 上升，FLLHTTR 接近 apo，仅 YLSLLQR 下降。因此 FLLHTTR 读作富氢键的 PAS 占据者，使蛋白变刚但不额外埋藏表面；YLSLLQR 读作紧凑并埋藏表面的 PAS 占据者；ALLLHRC 读作随后失去 PAS 型网络的催化位点高分者。PAS 导向配体与催化位点配体在聚集测定上本已分开</w:t>
      </w:r>
      <w:r>
        <w:t>[6]</w:t>
      </w:r>
      <w:r>
        <w:t xml:space="preserve">。微秒 Aβ 轨迹与此处肽轨迹在配体长度和窗口上不同，两者都显示配体留在 PAS 上且折叠未打开</w:t>
      </w:r>
      <w:r>
        <w:t>[21]</w:t>
      </w:r>
      <w:r>
        <w:t xml:space="preserve">。</w:t>
      </w:r>
    </w:p>
    <w:p>
      <w:pPr>
        <w:pStyle w:val="BodyText"/>
      </w:pPr>
      <w:r>
        <w:t xml:space="preserve">由此推出四步。第一，PAS 识别：占据 Asp74、Tyr72、Trp286、Tyr341，把异源肽放在通向催化三联体的峡部入口</w:t>
      </w:r>
      <w:r>
        <w:t>[3,22,51]</w:t>
      </w:r>
      <w:r>
        <w:t xml:space="preserve">。第二，持续的酶–肽复合物：分子间氢键持续，与 AChE–Aβ 轨迹及分离得到的稳定复合物一致</w:t>
      </w:r>
      <w:r>
        <w:t>[20,21,38]</w:t>
      </w:r>
      <w:r>
        <w:t xml:space="preserve">。第三，乙酰胆碱进入受限：20 Å 峡部入口的物理占据可在催化核心仍折叠时妨碍底物</w:t>
      </w:r>
      <w:r>
        <w:t>[46,53]</w:t>
      </w:r>
      <w:r>
        <w:t xml:space="preserve">。第四，病理性伴侣活性：PAS 是已记录的促纤位点</w:t>
      </w:r>
      <w:r>
        <w:t>[4–5,43]</w:t>
      </w:r>
      <w:r>
        <w:t xml:space="preserve">，停在那里的肽可降低内源 Aβ 的成核壁垒。折叠的 AChE 于是出示覆肽 PAS，Aβ 寡聚体可在其上共组装，从而解释 AChE–Aβ 颗粒相对游离纤丝更强的海马损伤</w:t>
      </w:r>
      <w:r>
        <w:t>[45]</w:t>
      </w:r>
      <w:r>
        <w:t xml:space="preserve">。</w:t>
      </w:r>
    </w:p>
    <w:p>
      <w:pPr>
        <w:pStyle w:val="BodyText"/>
      </w:pPr>
      <w:r>
        <w:t xml:space="preserve">AChE 的 PAS 药理学此前多为小分子。PAS 配体在不要求占据催化位点的情况下降低 AChE 诱导的聚集</w:t>
      </w:r>
      <w:r>
        <w:t>[6]</w:t>
      </w:r>
      <w:r>
        <w:t xml:space="preserve">。4EY6 中的 donepezil 从 PAS Trp286 跨到催化阴离子位点</w:t>
      </w:r>
      <w:r>
        <w:t>[22–23]</w:t>
      </w:r>
      <w:r>
        <w:t xml:space="preserve">。该表面被当作调节异源蛋白结合（包括 Aβ）的设计把手</w:t>
      </w:r>
      <w:r>
        <w:t>[46]</w:t>
      </w:r>
      <w:r>
        <w:t xml:space="preserve">。短阳离子肽占据的表面大于这些配体。双结合抑制剂被设计成同时占据 PAS 与催化阴离子位点</w:t>
      </w:r>
      <w:r>
        <w:t>[44,46]</w:t>
      </w:r>
      <w:r>
        <w:t xml:space="preserve">。只盖住 rim 的口腔七肽不能按该模板打分。留在 rim 的占据，即被当作伴侣触发的占据</w:t>
      </w:r>
      <w:r>
        <w:t>[4]</w:t>
      </w:r>
      <w:r>
        <w:t xml:space="preserve">。FLLHTTR 与 YLSLLQR 留在 rim；ALLLHRC 不在。</w:t>
      </w:r>
    </w:p>
    <w:p>
      <w:pPr>
        <w:pStyle w:val="BodyText"/>
      </w:pPr>
      <w:r>
        <w:t xml:space="preserve">综上，从 PRJNA678453 MAG 预测的短、带正电、富亮氨酸口腔微肽可以占据实验已定位的 Aβ 结合 PAS，并在 100 ns 尺度上留在那里。结合测定和 Aβ 聚集实验仍不可少。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Rice P, Longden I, Bleasby A. EMBOSS: the European Molecular Biology Open Software Suite. </w:t>
      </w:r>
      <w:r>
        <w:rPr>
          <w:i/>
          <w:sz w:val="24"/>
          <w:szCs w:val="24"/>
        </w:rPr>
        <w:t>Trends Genet</w:t>
      </w:r>
      <w:r>
        <w:rPr>
          <w:sz w:val="24"/>
          <w:szCs w:val="24"/>
        </w:rPr>
        <w:t>. 2000;16(6):276–277. doi:10.1016/S0168-9525(00)02024-2.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37.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38. Alvarez A, Alarcón R, Opazo C, Campos EO, Muñoz FJ, Calderón FH, Dajas F, Gentry MK, Doctor BP, De Mello FG, Inestrosa NC. Stable complexes involving acetylcholinesterase and amyloid-β peptide change the biochemical properties of the enzyme and increase the neurotoxicity of Alzheimer’s fibrils. </w:t>
      </w:r>
      <w:r>
        <w:rPr>
          <w:i/>
          <w:sz w:val="24"/>
          <w:szCs w:val="24"/>
        </w:rPr>
        <w:t>J Neurosci</w:t>
      </w:r>
      <w:r>
        <w:rPr>
          <w:sz w:val="24"/>
          <w:szCs w:val="24"/>
        </w:rPr>
        <w:t>. 1998;18(9):3213–3223. doi:10.1523/JNEUROSCI.18-09-03213.1998.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39. Alvarez A, Opazo C, Alarcón R, Garrido J, Inestrosa NC. Acetylcholinesterase promotes the aggregation of amyloid-β-peptide fragments by forming a complex with the growing fibrils. </w:t>
      </w:r>
      <w:r>
        <w:rPr>
          <w:i/>
          <w:sz w:val="24"/>
          <w:szCs w:val="24"/>
        </w:rPr>
        <w:t>J Mol Biol</w:t>
      </w:r>
      <w:r>
        <w:rPr>
          <w:sz w:val="24"/>
          <w:szCs w:val="24"/>
        </w:rPr>
        <w:t>. 1997;272(3):348–361. doi:10.1006/jmbi.1997.1245.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40. Reyes AE, Perez DR, Alvarez A, Garrido J, Gentry MK, Doctor BP, Inestrosa NC. A monoclonal antibody against acetylcholinesterase inhibits the formation of amyloid fibrils induced by the enzyme. </w:t>
      </w:r>
      <w:r>
        <w:rPr>
          <w:i/>
          <w:sz w:val="24"/>
          <w:szCs w:val="24"/>
        </w:rPr>
        <w:t>Biochem Biophys Res Commun</w:t>
      </w:r>
      <w:r>
        <w:rPr>
          <w:sz w:val="24"/>
          <w:szCs w:val="24"/>
        </w:rPr>
        <w:t>. 1997;232(3):652–655. doi:10.1006/bbrc.1997.6357.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41. Rees T, Hammond PI, Soreq H, Younkin S, Brimijoin S. Acetylcholinesterase promotes β-amyloid plaques in cerebral cortex. </w:t>
      </w:r>
      <w:r>
        <w:rPr>
          <w:i/>
          <w:sz w:val="24"/>
          <w:szCs w:val="24"/>
        </w:rPr>
        <w:t>Neurobiol Aging</w:t>
      </w:r>
      <w:r>
        <w:rPr>
          <w:sz w:val="24"/>
          <w:szCs w:val="24"/>
        </w:rPr>
        <w:t>. 2003;24(6):777–787. doi:10.1016/S0197-4580(02)00230-0.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42. García-Ayllón MS, Small DH, Avila J, Sáez-Valero J. Revisiting the role of acetylcholinesterase in Alzheimer’s disease: cross-talk with P-tau and β-amyloid.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2011;4:22. doi:10.3389/fnmol.2011.00022.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43. Carvajal FJ, Inestrosa NC. Interactions of AChE with Aβ aggregates in Alzheimer’s brain: therapeutic relevance of IDN 5706.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2011;4:19. doi:10.3389/fnmol.2011.00019.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44. Inestrosa NC, Dinamarca MC, Alvarez A. Amyloid–cholinesterase interactions. </w:t>
      </w:r>
      <w:r>
        <w:rPr>
          <w:i/>
          <w:sz w:val="24"/>
          <w:szCs w:val="24"/>
        </w:rPr>
        <w:t>FEBS J</w:t>
      </w:r>
      <w:r>
        <w:rPr>
          <w:sz w:val="24"/>
          <w:szCs w:val="24"/>
        </w:rPr>
        <w:t>. 2008;275(4):625–632. doi:10.1111/j.1742-4658.2007.06238.x.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45. Dinamarca MC, Sagal JP, Quintanilla RA, Godoy JA, Arrázola MS, Inestrosa NC. Amyloid-β–acetylcholinesterase complexes potentiate neurodegenerative changes induced by the Aβ peptide. Implications for the pathogenesis of Alzheimer’s disease. </w:t>
      </w:r>
      <w:r>
        <w:rPr>
          <w:i/>
          <w:sz w:val="24"/>
          <w:szCs w:val="24"/>
        </w:rPr>
        <w:t>Mol Neurodegener</w:t>
      </w:r>
      <w:r>
        <w:rPr>
          <w:sz w:val="24"/>
          <w:szCs w:val="24"/>
        </w:rPr>
        <w:t>. 2010;5:4. doi:10.1186/1750-1326-5-4.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46. Johnson G, Moore SW. The peripheral anionic site of acetylcholinesterase: structure, functions and potential role in rational drug design. </w:t>
      </w:r>
      <w:r>
        <w:rPr>
          <w:i/>
          <w:sz w:val="24"/>
          <w:szCs w:val="24"/>
        </w:rPr>
        <w:t>Curr Pharm Des</w:t>
      </w:r>
      <w:r>
        <w:rPr>
          <w:sz w:val="24"/>
          <w:szCs w:val="24"/>
        </w:rPr>
        <w:t>. 2006;12(2):217–225. doi:10.2174/138161206775193127.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47. Poole S, Singhrao SK, Kesavalu L, Curtis MA, Crean S. Determining the presence of periodontopathic virulence factors in short-term postmortem Alzheimer’s disease brain tissue.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2013;36(4):665–677. doi:10.3233/JAD-121918.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48. Haditsch U, Roth T, Rodriguez L, et al. Alzheimer’s disease-like neurodegeneration in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infected neurons with persistent expression of active gingipains.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2020;75(4):1361–1376. doi:10.3233/JAD-200393.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49. Lei S, Li J, Yu J,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bacteremia increases the permeability of the blood-brain barrier via the Mfsd2a/Caveolin-1 mediated transcytosis pathway. </w:t>
      </w:r>
      <w:r>
        <w:rPr>
          <w:i/>
          <w:sz w:val="24"/>
          <w:szCs w:val="24"/>
        </w:rPr>
        <w:t>Int J Oral Sci</w:t>
      </w:r>
      <w:r>
        <w:rPr>
          <w:sz w:val="24"/>
          <w:szCs w:val="24"/>
        </w:rPr>
        <w:t>. 2023;15:3. doi:10.1038/s41368-022-00215-y.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50. Barak D, Kronman C, Ordentlich A, Ariel N, Bromberg A, Marcus D, Lazar A, Velan B, Shafferman A. Acetylcholinesterase peripheral anionic site degeneracy conferred by amino acid arrays sharing a common core. </w:t>
      </w:r>
      <w:r>
        <w:rPr>
          <w:i/>
          <w:sz w:val="24"/>
          <w:szCs w:val="24"/>
        </w:rPr>
        <w:t>J Biol Chem</w:t>
      </w:r>
      <w:r>
        <w:rPr>
          <w:sz w:val="24"/>
          <w:szCs w:val="24"/>
        </w:rPr>
        <w:t>. 1994;269(9):6296–6305. doi:10.1016/S0021-9258(17)37603-X.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51. Mallender WD, Szegletes T, Rosenberry TL. Acetylthiocholine binds to Asp74 at the peripheral site of human acetylcholinesterase as the first step in the catalytic pathway.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2000;39(26):7753–7763. doi:10.1021/bi000210o.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52. Sussman JL, Harel M, Frolow F, Oefner C, Goldman A, Toker L, Silman I. Atomic structure of acetylcholinesterase from </w:t>
      </w:r>
      <w:r>
        <w:rPr>
          <w:i/>
          <w:sz w:val="24"/>
          <w:szCs w:val="24"/>
        </w:rPr>
        <w:t>Torpedo californica</w:t>
      </w:r>
      <w:r>
        <w:rPr>
          <w:sz w:val="24"/>
          <w:szCs w:val="24"/>
        </w:rPr>
        <w:t xml:space="preserve">: a prototypic acetylcholine-binding protein.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. 1991;253(5022):872–879. doi:10.1126/science.1678899.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53. Dvir H, Silman I, Harel M, Rosenberry TL, Sussman JL. Acetylcholinesterase: from 3D structure to function. </w:t>
      </w:r>
      <w:r>
        <w:rPr>
          <w:i/>
          <w:sz w:val="24"/>
          <w:szCs w:val="24"/>
        </w:rPr>
        <w:t>Chem Biol Interact</w:t>
      </w:r>
      <w:r>
        <w:rPr>
          <w:sz w:val="24"/>
          <w:szCs w:val="24"/>
        </w:rPr>
        <w:t>. 2010;187(1-3):10–22. doi:10.1016/j.cbi.2010.01.042.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54. Bourne Y, Taylor P, Radić Z, Marchot P. Structural insights into ligand interactions at the acetylcholinesterase peripheral anionic site. </w:t>
      </w:r>
      <w:r>
        <w:rPr>
          <w:i/>
          <w:sz w:val="24"/>
          <w:szCs w:val="24"/>
        </w:rPr>
        <w:t>EMBO J</w:t>
      </w:r>
      <w:r>
        <w:rPr>
          <w:sz w:val="24"/>
          <w:szCs w:val="24"/>
        </w:rPr>
        <w:t>. 2003;22(1):1–12. doi:10.1093/emboj/cdg005.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