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and scored with UniDL4BioPep. Twelve 7–9-residue peptides were docked into human acetylcholinesterase (AChE). Apo AChE and three complexes were then run for 100-ns molecular dynamics (MD).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[6]</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[7]</w:t>
      </w:r>
      <w:r>
        <w:t xml:space="preserve">. Oral activity is species- and site-specific, so 16S abundance cannot stand in for a molecular ligand </w:t>
      </w:r>
      <w:r>
        <w:t>[8]</w:t>
      </w:r>
      <w:r>
        <w:t xml:space="preserve">. Meta-analyses report associations between periodontal disease and cognitive disorders, although effect sizes move with case definitions </w:t>
      </w:r>
      <w:r>
        <w:t>[9]</w:t>
      </w:r>
      <w:r>
        <w:t xml:space="preserve">. In an AD cohort, periodontitis tracked later decline </w:t>
      </w:r>
      <w:r>
        <w:t>[10]</w:t>
      </w:r>
      <w:r>
        <w:t xml:space="preserve">. A two-sample Mendelian randomization analysis did not support a genetic causal effect of periodontal disease on AD </w:t>
      </w:r>
      <w:r>
        <w:t>[11]</w:t>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t>[12–13]</w:t>
      </w:r>
      <w:r>
        <w:t xml:space="preserve">. The organism and gingipains have been reported in AD brains </w:t>
      </w:r>
      <w:r>
        <w:t>[14]</w:t>
      </w:r>
      <w:r>
        <w:t xml:space="preserve">, and repeated oral infection in mice produces neuroinflammation and Aβ-related changes </w:t>
      </w:r>
      <w:r>
        <w:t>[15]</w:t>
      </w:r>
      <w:r>
        <w:t>. Those observations justify looking at oral products. They do not, by themselves, name a peptide that occupies AChE.</w:t>
      </w:r>
    </w:p>
    <w:p>
      <w:pPr>
        <w:pStyle w:val="BodyText"/>
      </w:pPr>
      <w:r>
        <w:t xml:space="preserve">Microbiome smORFs encode a large pool of uncharted small proteins </w:t>
      </w:r>
      <w:r>
        <w:t>[16–17]</w:t>
      </w:r>
      <w:r>
        <w:t xml:space="preserve">. Mining of human microbiomes for peptide antibiotics first scored millions of translated open reading frames and then applied experimental filters </w:t>
      </w:r>
      <w:r>
        <w:t>[18]</w:t>
      </w:r>
      <w:r>
        <w:t xml:space="preserve">. UniDL4BioPep supplies more than twenty binary bioactivity heads on ESM-2 embeddings </w:t>
      </w:r>
      <w:r>
        <w:t>[19]</w:t>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t>[20]</w:t>
      </w:r>
      <w:r>
        <w:t xml:space="preserve">. A 1-μs PAS-centred AChE–Aβ trajectory remains bound, with the main residence at residues 344–361 </w:t>
      </w:r>
      <w:r>
        <w:t>[21]</w:t>
      </w:r>
      <w:r>
        <w:t xml:space="preserve">. PDB 4EY6 gives a 2.40 Å human AChE frame for docking </w:t>
      </w:r>
      <w:r>
        <w:t>[22]</w:t>
      </w:r>
      <w:r>
        <w:t xml:space="preserve">. The aromatic gorge that joins the catalytic triad to the PAS was mapped on </w:t>
      </w:r>
      <w:r>
        <w:rPr>
          <w:i/>
        </w:rPr>
        <w:t>Torpedo</w:t>
      </w:r>
      <w:r>
        <w:t xml:space="preserve"> AChE </w:t>
      </w:r>
      <w:r>
        <w:t>[23]</w:t>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t>[8]</w:t>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t>[24]</w:t>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[18–19]</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[25]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[26–27]</w:t>
      </w:r>
      <w:r>
        <w:t xml:space="preserve">. Salivary metaproteomes record peptides inside their own false-discovery framework </w:t>
      </w:r>
      <w:r>
        <w:t>[28]</w:t>
      </w:r>
      <w:r>
        <w:t xml:space="preserve">. Further oral metaproteomic sets add sequence observations from other clinical contexts </w:t>
      </w:r>
      <w:r>
        <w:t>[29–30]</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[31]</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[32]</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[33]</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[22]</w:t>
      </w:r>
      <w:r>
        <w:t xml:space="preserve">. The twelve ligands ALLLHRC, FCLHLQLR, FLLHTTR, HLLTLKKHV, HLPLLHRCC, HVLLLRQCA, LLHLPKRTT, LLHPLRC, LLHPLRL, WLLVHLKK, YHHLLCRR and YLSLLQR were docked with AutoDock Vina, exhaustiveness 32 </w:t>
      </w:r>
      <w:r>
        <w:t>[34–35]</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[36–37]</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[21]</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Twelve 7–9-aa cationic peptides from the periodontitis MAG library dock to human AChE, and three remain on the surface for 100 ns without unfolding the enzyme. Recurring contacts sit on the PAS (Asp74, Tyr72, Trp286, Tyr341), the peripheral site that templates Aβ assembly </w:t>
      </w:r>
      <w:r>
        <w:t>[4–6]</w:t>
      </w:r>
      <w:r>
        <w:t xml:space="preserve">. AChE–Aβ particles are more toxic than free peptide, and stable enzyme–peptide complexes raise fibril neurotoxicity </w:t>
      </w:r>
      <w:r>
        <w:t>[4,38–39]</w:t>
      </w:r>
      <w:r>
        <w:t xml:space="preserve">. A short hydrophobic PAS motif is sufficient for that chaperone effect </w:t>
      </w:r>
      <w:r>
        <w:t>[5]</w:t>
      </w:r>
      <w:r>
        <w:t xml:space="preserve">; antibody blockade and PAS-directed ligands reach the same endpoint </w:t>
      </w:r>
      <w:r>
        <w:t>[6,40]</w:t>
      </w:r>
      <w:r>
        <w:t xml:space="preserve">. Excess AChE promotes cortical plaques in mice </w:t>
      </w:r>
      <w:r>
        <w:t>[41]</w:t>
      </w:r>
      <w:r>
        <w:t xml:space="preserve">, and plaque-associated enzyme remains PAS-sensitive </w:t>
      </w:r>
      <w:r>
        <w:t>[42–44]</w:t>
      </w:r>
      <w:r>
        <w:t xml:space="preserve">. Hippocampal AChE–Aβ complexes out-damage free fibrils </w:t>
      </w:r>
      <w:r>
        <w:t>[45]</w:t>
      </w:r>
      <w:r>
        <w:t xml:space="preserve">. The PAS maps to Tyr72, Asp74, Tyr124, Trp286 and Tyr341, about 20 Å from the catalytic triad </w:t>
      </w:r>
      <w:r>
        <w:t>[46]</w:t>
      </w:r>
      <w:r>
        <w:t xml:space="preserve">. The trajectories below ask whether an oral micropeptide can occupy that hinge </w:t>
      </w:r>
      <w:r>
        <w:t>[2–3]</w:t>
      </w:r>
      <w:r>
        <w:t xml:space="preserve">.</w:t>
      </w:r>
    </w:p>
    <w:p>
      <w:pPr>
        <w:pStyle w:val="BodyText"/>
      </w:pPr>
      <w:r>
        <w:t xml:space="preserve">An oral path to brain AChE is a hypothesis, not a demonstrated traffic route. Periodontopathic cargo has been reported in AD brain, and oral infection can raise brain Aβ in mice </w:t>
      </w:r>
      <w:r>
        <w:t>[14,15,47–49]</w:t>
      </w:r>
      <w:r>
        <w:t xml:space="preserve">. Gingipains and outer-membrane vesicles already leave the producing cell </w:t>
      </w:r>
      <w:r>
        <w:t>[12–13]</w:t>
      </w:r>
      <w:r>
        <w:t xml:space="preserve">. Epidemiology links periodontitis to later cognitive decline </w:t>
      </w:r>
      <w:r>
        <w:t>[9–10]</w:t>
      </w:r>
      <w:r>
        <w:t xml:space="preserve">; Mendelian randomization did not support a genetic causal effect </w:t>
      </w:r>
      <w:r>
        <w:t>[11]</w:t>
      </w:r>
      <w:r>
        <w:t xml:space="preserve">. Those reports justify looking at oral products at the PAS. They do not assign the twelve peptides to P. gingivalis, or prove that any string crosses endothelium </w:t>
      </w:r>
      <w:r>
        <w:t>[7–8,25]</w:t>
      </w:r>
      <w:r>
        <w:t xml:space="preserve">. Survival in saliva, serum and endothelium is outside this calculation.</w:t>
      </w:r>
    </w:p>
    <w:p>
      <w:pPr>
        <w:pStyle w:val="BodyText"/>
      </w:pPr>
      <w:r>
        <w:t xml:space="preserve">The twelve docking ligands are 7–9 residues, alkaline, and net-positive at pH 7.4, with leucine-rich cores. That composition matches the electrostatic character of the PAS: Asp74 and Trp286 form a common core for peripheral ligands </w:t>
      </w:r>
      <w:r>
        <w:t>[50]</w:t>
      </w:r>
      <w:r>
        <w:t xml:space="preserve">, and cationic substrate first docks on Asp74 </w:t>
      </w:r>
      <w:r>
        <w:t>[51]</w:t>
      </w:r>
      <w:r>
        <w:t xml:space="preserve">. A short cationic peptide is a plausible PAS occupant on chemical grounds, pending a structure. Deep-learning scores in this work are a triage stack, not a replication of the original predictors.</w:t>
      </w:r>
    </w:p>
    <w:p>
      <w:pPr>
        <w:pStyle w:val="BodyText"/>
      </w:pPr>
      <w:r>
        <w:t xml:space="preserve">Human AChE (PDB 4EY6) frames the gorge and PAS </w:t>
      </w:r>
      <w:r>
        <w:t>[22]</w:t>
      </w:r>
      <w:r>
        <w:t xml:space="preserve">, following the aromatic-gorge map on Torpedo AChE </w:t>
      </w:r>
      <w:r>
        <w:t>[23,52]</w:t>
      </w:r>
      <w:r>
        <w:t xml:space="preserve">. The 20-Å gorge couples a catalytic triad at the base to a peripheral cluster at the rim </w:t>
      </w:r>
      <w:r>
        <w:t>[53]</w:t>
      </w:r>
      <w:r>
        <w:t xml:space="preserve">. AutoDock Vina is a first-pass ranking engine </w:t>
      </w:r>
      <w:r>
        <w:t>[34–35]</w:t>
      </w:r>
      <w:r>
        <w:t xml:space="preserve">. Recurring contacts fall on the PAS array rather than a new pocket. FLLHTTR meets Asp74, Tyr72 and His287; YLSLLQR bridges Tyr72 and Thr75 at the gorge mouth; LLHPLRL spans Trp286 and Tyr341, the pair occupied by crystallised PAS ligands </w:t>
      </w:r>
      <w:r>
        <w:t>[54]</w:t>
      </w:r>
      <w:r>
        <w:t xml:space="preserve"> and by donepezil in 4EY6 </w:t>
      </w:r>
      <w:r>
        <w:t>[22]</w:t>
      </w:r>
      <w:r>
        <w:t xml:space="preserve">. HLLTLKKHV reaches Phe346 in the 344–361 zone occupied by Aβ on a microsecond trajectory </w:t>
      </w:r>
      <w:r>
        <w:t>[21]</w:t>
      </w:r>
      <w:r>
        <w:t xml:space="preserve">. ALLLHRC is the exception: it binds catalytic Ser203 and misses the outer PAS aromatics. About half of the twelve best poses meet PAS residues. The three MD ligands were the strongest scorers, two of them PAS-positive. Docking scores put all twelve strings in a favourable window; they are ranks, not binding constants, and they do not by themselves separate a PAS occupant from a catalytic-site occupant. That distinction is the contact list.</w:t>
      </w:r>
    </w:p>
    <w:p>
      <w:pPr>
        <w:pStyle w:val="BodyText"/>
      </w:pPr>
      <w:r>
        <w:t xml:space="preserve">MD studies of AChE–Aβ already treat the enzyme as a nucleation centre </w:t>
      </w:r>
      <w:r>
        <w:t>[20,21]</w:t>
      </w:r>
      <w:r>
        <w:t xml:space="preserve">. The same occupancy pattern appears here. Apo AChE stays a compact hydrolase. ALLLHRC tracks that control. FLLHTTR and YLSLLQR sit tighter than apo after the first half of the run. A complex that is more compact than apo, with helix and sheet retained, is read as local rigidity after binding, not as unfolding </w:t>
      </w:r>
      <w:r>
        <w:t>[21,52]</w:t>
      </w:r>
      <w:r>
        <w:t xml:space="preserve">. YLSLLQR is the most compact ligand on the enzyme; ALLLHRC, which missed the PAS, is the most mobile. Rim loops fluctuate more than the triad, as expected for a surface cluster rather than a buried pocket </w:t>
      </w:r>
      <w:r>
        <w:t>[46,54]</w:t>
      </w:r>
      <w:r>
        <w:t xml:space="preserve">. Radius of gyration barely shifts, and secondary structure overlays the apo trace.</w:t>
      </w:r>
    </w:p>
    <w:p>
      <w:pPr>
        <w:pStyle w:val="BodyText"/>
      </w:pPr>
      <w:r>
        <w:t xml:space="preserve">Fluctuations at the catalytic core stay low in all four systems. FLLHTTR and YLSLLQR sit below apo in mean fluctuation; ALLLHRC sits slightly above. That pattern matches PAS binding as a surface event that need not open the fold </w:t>
      </w:r>
      <w:r>
        <w:t>[46,54]</w:t>
      </w:r>
      <w:r>
        <w:t xml:space="preserve">.</w:t>
      </w:r>
    </w:p>
    <w:p>
      <w:pPr>
        <w:pStyle w:val="BodyText"/>
      </w:pPr>
      <w:r>
        <w:t xml:space="preserve">Intermolecular hydrogen bonds separate the ligands more clearly than compactness alone. FLLHTTR holds a dense net for the whole window; YLSLLQR a thinner net; ALLLHRC decays after early occupancy. Persistent contacts remain at the surface rather than in bulk solvent. Solvent-accessible surface rises for ALLLHRC, stays near apo for FLLHTTR, and falls only for YLSLLQR. FLLHTTR therefore reads as a hydrogen-bond-rich PAS occupant that rigidifies the protein without burying extra surface; YLSLLQR as a compact PAS occupant that does bury surface; ALLLHRC as a catalytic-site scorer that does not leave a lasting PAS-type network. PAS-directed ligands already separate from catalytic-site ligands on aggregation assays </w:t>
      </w:r>
      <w:r>
        <w:t>[6]</w:t>
      </w:r>
      <w:r>
        <w:t xml:space="preserve">. A microsecond Aβ trajectory and the present peptide trajectories differ in ligand length and window; both still show a ligand remaining at the PAS with the fold closed </w:t>
      </w:r>
      <w:r>
        <w:t>[21]</w:t>
      </w:r>
      <w:r>
        <w:t xml:space="preserve">.</w:t>
      </w:r>
    </w:p>
    <w:p>
      <w:pPr>
        <w:pStyle w:val="BodyText"/>
      </w:pPr>
      <w:r>
        <w:t xml:space="preserve">Four linked steps then follow. First, PAS recognition: occupancy of Asp74, Tyr72, Trp286 and Tyr341 places a heterologous peptide at the gorge mouth that feeds the catalytic triad </w:t>
      </w:r>
      <w:r>
        <w:t>[3,22,51]</w:t>
      </w:r>
      <w:r>
        <w:t xml:space="preserve">. Second, a lasting enzyme–peptide complex: intermolecular hydrogen bonds persist, as in AChE–Aβ trajectories and in isolated stable complexes </w:t>
      </w:r>
      <w:r>
        <w:t>[20,21,38]</w:t>
      </w:r>
      <w:r>
        <w:t xml:space="preserve">. Third, restricted acetylcholine access: physical blockage at the 20-Å gorge entrance can hinder substrate even while the catalytic core remains folded </w:t>
      </w:r>
      <w:r>
        <w:t>[46,53]</w:t>
      </w:r>
      <w:r>
        <w:t xml:space="preserve">. Fourth, pathological chaperone activity: because the PAS is a documented pro-fibrillar site </w:t>
      </w:r>
      <w:r>
        <w:t>[4–5,43]</w:t>
      </w:r>
      <w:r>
        <w:t xml:space="preserve">, a peptide that remains there can lower the nucleation barrier for endogenous Aβ. Folded AChE would then present a peptide-coated PAS on which Aβ oligomers can co-assemble, which accounts for the greater hippocampal damage of AChE–Aβ particles relative to free fibrils </w:t>
      </w:r>
      <w:r>
        <w:t>[45]</w:t>
      </w:r>
      <w:r>
        <w:t xml:space="preserve">.</w:t>
      </w:r>
    </w:p>
    <w:p>
      <w:pPr>
        <w:pStyle w:val="BodyText"/>
      </w:pPr>
      <w:r>
        <w:t xml:space="preserve">PAS pharmacology in AChE has mostly been small molecules. PAS ligands reduce AChE-induced aggregation without requiring catalytic-site occupancy </w:t>
      </w:r>
      <w:r>
        <w:t>[6]</w:t>
      </w:r>
      <w:r>
        <w:t xml:space="preserve">. Donepezil in 4EY6 spans PAS Trp286 to the catalytic anionic site </w:t>
      </w:r>
      <w:r>
        <w:t>[22–23]</w:t>
      </w:r>
      <w:r>
        <w:t xml:space="preserve">. That surface has been treated as a design handle for ligands that modulate heterologous protein associations, including Aβ </w:t>
      </w:r>
      <w:r>
        <w:t>[46]</w:t>
      </w:r>
      <w:r>
        <w:t xml:space="preserve">. Short cationic peptides occupy a larger surface than those ligands. Dual-binding inhibitors were designed to occupy PAS and the catalytic anionic site at once </w:t>
      </w:r>
      <w:r>
        <w:t>[44,46]</w:t>
      </w:r>
      <w:r>
        <w:t xml:space="preserve">. An oral heptapeptide that covers only the rim cannot be scored against that template. Occupancy that remains at the rim is the occupancy treated as the chaperone trigger </w:t>
      </w:r>
      <w:r>
        <w:t>[4]</w:t>
      </w:r>
      <w:r>
        <w:t xml:space="preserve">. FLLHTTR and YLSLLQR remain at that rim; ALLLHRC does not.</w:t>
      </w:r>
    </w:p>
    <w:p>
      <w:pPr>
        <w:pStyle w:val="BodyText"/>
      </w:pPr>
      <w:r>
        <w:t xml:space="preserve">Taken together,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