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100-ns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Oral small open reading frames (smORFs) were scored with UniDL4BioPep, twelve 7–9-residue peptides were docked into human acetylcholinesterase (AChE), and 100-ns molecular dynamics (MD) was run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Those observations justify looking at oral products. They do not, by themselves, name a peptide that occupies AChE.</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for docking </w:t>
      </w:r>
      <w:r>
        <w:t>[22]</w:t>
      </w:r>
      <w:r>
        <w:t xml:space="preserve">. The aromatic gorge that joins the catalytic triad to the PAS was mapped on </w:t>
      </w:r>
      <w:r>
        <w:rPr>
          <w:i/>
        </w:rPr>
        <w:t>Torpedo</w:t>
      </w:r>
      <w:r>
        <w:t xml:space="preserve"> AChE </w:t>
      </w:r>
      <w:r>
        <w:t>[23]</w:t>
      </w:r>
      <w:r>
        <w:t>. What remains missing is a peptide-level ligand drawn from oral smORFs and tested on that same PAS.</w:t>
      </w:r>
    </w:p>
    <w:p>
      <w:pPr>
        <w:pStyle w:val="BodyText"/>
      </w:pPr>
      <w:r>
        <w:t>Here we scored oral smORF libraries from PRJNA678453 with 22 UniDL4BioPep heads, compared healthy and periodontitis hit rates, matched the periodontitis branch to oral genomic and metaproteomic catalogues, and reduced the list with NTxPred2, mebipred and AnOxPePred. Twelve 7–9-aa peptides were docked into human AChE. Three complexes, together with apo enzyme, were simulated for 100 ns to test whether the peptides remain at the PAS without unfolding the fold.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w:t>
      </w:r>
    </w:p>
    <w:p>
      <w:pPr>
        <w:pStyle w:val="BodyText"/>
      </w:pPr>
      <w:r>
        <w:t xml:space="preserve">The public source is PRJNA678453, paired oral metagenomes and metatranscriptomes from periodontitis and orally healthy donors </w:t>
      </w:r>
      <w:r>
        <w:t>[8]</w:t>
      </w:r>
      <w:r>
        <w:t>. Upstream processing of that BioProject produced translated smORF strings of 4–50 aa; a derived MGnify third-party assembly, PRJEB65451 (metaSPAdes v3.15.3), exists for the same project and is not a second clinical cohort. We did not reassemble reads or call genes de novo. The present work scored those strings with 22 UniDL4BioPep heads, matched the periodontitis branch to oral catalogues, and took twelve peptides into docking and MD. Library sizes were 11,269,961 healthy-labelled and 11,721,988 periodontitis-labelled sequences.</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[24]</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[25–26]</w:t>
      </w:r>
      <w:r>
        <w:t xml:space="preserve">. Salivary metaproteomes record peptides inside their own false-discovery framework </w:t>
      </w:r>
      <w:r>
        <w:t>[27]</w:t>
      </w:r>
      <w:r>
        <w:t xml:space="preserve">. Further oral metaproteomic sets add sequence observations from other clinical contexts </w:t>
      </w:r>
      <w:r>
        <w:t>[28–29]</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[30]</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[31]</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[32]</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[33–34]</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[35–36]</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313045"/>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313045"/>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is not only a hydrolase of acetylcholine. Inestrosa et al. showed that the enzyme accelerates Aβ fibril assembly through the PAS and that AChE–Aβ particles are more toxic than free peptide </w:t>
      </w:r>
      <w:r>
        <w:t>[4]</w:t>
      </w:r>
      <w:r>
        <w:t xml:space="preserve">. A short hydrophobic PAS motif is sufficient for that chaperone effect </w:t>
      </w:r>
      <w:r>
        <w:t>[5]</w:t>
      </w:r>
      <w:r>
        <w:t xml:space="preserve">, and PAS-directed ligands can suppress AChE-induced aggregation in biochemical assays </w:t>
      </w:r>
      <w:r>
        <w:t>[6]</w:t>
      </w:r>
      <w:r>
        <w:t xml:space="preserve">. Those experiments identify the PAS as a structural hinge between cholinergic failure and amyloid deposition </w:t>
      </w:r>
      <w:r>
        <w:t>[2–3]</w:t>
      </w:r>
      <w:r>
        <w:t>. The present docking and 100-ns trajectories ask whether periodontitis-derived micropeptides can occupy that same site.</w:t>
      </w:r>
    </w:p>
    <w:p>
      <w:pPr>
        <w:pStyle w:val="BodyText"/>
      </w:pPr>
      <w:r>
        <w:t xml:space="preserve">Deep-learning peptide mining supplies a practical route into that question. Torres et al. scored millions of translated microbiome open reading frames before applying experimental filters </w:t>
      </w:r>
      <w:r>
        <w:t>[18]</w:t>
      </w:r>
      <w:r>
        <w:t xml:space="preserve">. UniDL4BioPep uses the same predict-then-filter logic on ESM-2 embeddings, with a convolutional head reused across bioactivity tasks </w:t>
      </w:r>
      <w:r>
        <w:t>[19]</w:t>
      </w:r>
      <w:r>
        <w:t xml:space="preserve">. NTxPred2, mebipred and AnOxPePred were trained for neurotoxic, metal-binding and antioxidant endpoints rather than for AChE occupancy </w:t>
      </w:r>
      <w:r>
        <w:t>[30–32]</w:t>
      </w:r>
      <w:r>
        <w:t xml:space="preserve">. Serial scores are therefore a triage stack, as in those original reports, not independent wet-lab replication. Catalogue matches to HOMD, eHOMD and salivary metaproteomes support prior observation of a string </w:t>
      </w:r>
      <w:r>
        <w:t>[25–27]</w:t>
      </w:r>
      <w:r>
        <w:t xml:space="preserve">, which is the same role those resources play in other oral peptide studies </w:t>
      </w:r>
      <w:r>
        <w:t>[16,28–29]</w:t>
      </w:r>
      <w:r>
        <w:t>.</w:t>
      </w:r>
    </w:p>
    <w:p>
      <w:pPr>
        <w:pStyle w:val="BodyText"/>
      </w:pPr>
      <w:r>
        <w:t xml:space="preserve">Human AChE (PDB 4EY6) provides an experimentally determined frame for the gorge and PAS </w:t>
      </w:r>
      <w:r>
        <w:t>[22]</w:t>
      </w:r>
      <w:r>
        <w:t xml:space="preserve">, following the aromatic-gorge map obtained on </w:t>
      </w:r>
      <w:r>
        <w:rPr>
          <w:i/>
        </w:rPr>
        <w:t>Torpedo</w:t>
      </w:r>
      <w:r>
        <w:t xml:space="preserve"> AChE </w:t>
      </w:r>
      <w:r>
        <w:t>[23]</w:t>
      </w:r>
      <w:r>
        <w:t xml:space="preserve">. AutoDock Vina is widely used as a first-pass ranking engine </w:t>
      </w:r>
      <w:r>
        <w:t>[33–34]</w:t>
      </w:r>
      <w:r>
        <w:t xml:space="preserve">. In that setting, best poses of FLLHTTR, YLSLLQR and LLHPLRL contact the PAS residues that Inestrosa and De Ferrari implicated in Aβ assembly, and HLLTLKKHV reaches Phe346 in the 344–361 zone where Atanasova et al. kept Aβ for 1 μs </w:t>
      </w:r>
      <w:r>
        <w:t>[21]</w:t>
      </w:r>
      <w:r>
        <w:t>. Those contacts are consistent with the earlier PAS pharmacology rather than a new binding site invented by the screen.</w:t>
      </w:r>
    </w:p>
    <w:p>
      <w:pPr>
        <w:pStyle w:val="BodyText"/>
      </w:pPr>
      <w:r>
        <w:t xml:space="preserve">MD studies of AChE–Aβ already treat the enzyme as a nucleation centre. Accelerated sampling pulled Aβ onto the AChE surface </w:t>
      </w:r>
      <w:r>
        <w:t>[20]</w:t>
      </w:r>
      <w:r>
        <w:t xml:space="preserve">, and a 1-μs PAS-centred trajectory remained bound without unfolding the fold </w:t>
      </w:r>
      <w:r>
        <w:t>[21]</w:t>
      </w:r>
      <w:r>
        <w:t>. The same occupancy pattern appears here on a 100-ns window: FLLHTTR and YLSLLQR complexes stay more compact than apo AChE, hydrogen bonds persist, and centre-of-mass distances remain in the surface-residence range. Lower complex RMSD than apo has been read in other ligand–protein MD work as increased local rigidity after binding; that reading matches Lushchekina’s surface-bound, non-dissociating complex rather than peptide-driven unfolding.</w:t>
      </w:r>
    </w:p>
    <w:p>
      <w:pPr>
        <w:pStyle w:val="BodyText"/>
      </w:pPr>
      <w:r>
        <w:t xml:space="preserve">An oral exposure path is supported by specific prior cases, not by the present score tables. </w:t>
      </w:r>
      <w:r>
        <w:rPr>
          <w:i/>
        </w:rPr>
        <w:t>P. gingivalis</w:t>
      </w:r>
      <w:r>
        <w:t xml:space="preserve"> and gingipains have been reported in AD brains </w:t>
      </w:r>
      <w:r>
        <w:t>[14]</w:t>
      </w:r>
      <w:r>
        <w:t xml:space="preserve">. Repeated oral infection in wild-type mice produced neuroinflammation and Aβ-related changes </w:t>
      </w:r>
      <w:r>
        <w:t>[15]</w:t>
      </w:r>
      <w:r>
        <w:t xml:space="preserve">. Gingipains and outer-membrane vesicles provide vehicles for bacterial cargo beyond the producing cell </w:t>
      </w:r>
      <w:r>
        <w:t>[12–13]</w:t>
      </w:r>
      <w:r>
        <w:t xml:space="preserve">. Meta-analyses and an AD cohort link periodontitis to later cognitive decline </w:t>
      </w:r>
      <w:r>
        <w:t>[9–10]</w:t>
      </w:r>
      <w:r>
        <w:t xml:space="preserve">, whereas a two-sample Mendelian randomization analysis did not support a genetic causal effect </w:t>
      </w:r>
      <w:r>
        <w:t>[11]</w:t>
      </w:r>
      <w:r>
        <w:t xml:space="preserve">. Those reports justify looking at oral products at the PAS; they do not assign the twelve peptides to </w:t>
      </w:r>
      <w:r>
        <w:rPr>
          <w:i/>
        </w:rPr>
        <w:t>P. gingivalis</w:t>
      </w:r>
      <w:r>
        <w:t xml:space="preserve"> or prove blood–brain transport </w:t>
      </w:r>
      <w:r>
        <w:t>[7–8,24]</w:t>
      </w:r>
      <w:r>
        <w:t>.</w:t>
      </w:r>
    </w:p>
    <w:p>
      <w:pPr>
        <w:pStyle w:val="BodyText"/>
      </w:pPr>
      <w:r>
        <w:t>Taken together, the literature examples above support a bounded structural hypothesis: short, cationic, leucine-rich oral micropeptides can occupy the experimentally mapped Aβ-binding PAS and remain there on a 100-ns timescale. They do not replace a binding assay or an Aβ-aggregation experiment.</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25.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26.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27.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28.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29.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30.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31.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32.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33.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34.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35.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36.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