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vanish/>
          <w:sz w:val="2"/>
        </w:rPr>
      </w:pPr>
      <w:r>
        <w:rPr>
          <w:vanish/>
          <w:sz w:val="2"/>
        </w:rPr>
        <w:fldChar w:fldCharType="begin"/>
      </w:r>
      <w:r>
        <w:rPr>
          <w:vanish/>
          <w:sz w:val="2"/>
        </w:rPr>
        <w:instrText xml:space="preserve"> ADDIN ZOTERO_PREF &lt;data data-version="3" zotero-version="7.0.11"&gt;&lt;session id="6bfef06db53a48a9a807e20860c2cc67"/&gt;&lt;style id="http://www.zotero.org/styles/vancouver" locale="en-US" hasBibliography="1" bibliographyStyleHasBeenSet="1"/&gt;&lt;prefs&gt;&lt;pref name="fieldType" value="Field"/&gt;&lt;pref name="automaticJournalAbbreviations" value="true"/&gt;&lt;pref name="noteType" value="0"/&gt;&lt;/prefs&gt;&lt;/data&gt;</w:instrText>
      </w:r>
      <w:r>
        <w:rPr>
          <w:vanish/>
          <w:sz w:val="2"/>
        </w:rPr>
        <w:fldChar w:fldCharType="end"/>
      </w:r>
    </w:p>
    <w:p>
      <w:pPr>
        <w:pStyle w:val="2"/>
        <w:keepNext/>
        <w:rPr>
          <w:rFonts w:hint="eastAsia"/>
          <w:lang w:val="en-US" w:eastAsia="zh-CN"/>
        </w:rPr>
      </w:pPr>
      <w:r>
        <w:t>Deep-learning screening, molecular docking and molecular dynamics of periodontitis oral micropeptides targeting human acetylcholinesterase</w:t>
      </w:r>
      <w:r>
        <w:rPr>
          <w:rFonts w:hint="eastAsia"/>
          <w:lang w:val="en-US" w:eastAsia="zh-CN"/>
        </w:rPr>
        <w:t>促进Aβ聚集的模型 有神经毒性的肽 2-3条pc12</w:t>
      </w:r>
    </w:p>
    <w:p>
      <w:pPr>
        <w:rPr>
          <w:rFonts w:hint="default"/>
          <w:lang w:val="en-US" w:eastAsia="zh-CN"/>
        </w:rPr>
      </w:pPr>
      <w:r>
        <w:rPr>
          <w:rFonts w:hint="eastAsia"/>
          <w:lang w:val="en-US" w:eastAsia="zh-CN"/>
        </w:rPr>
        <w:t>Aβ聚集实验 神经毒性的肽pc12</w:t>
      </w:r>
      <w:bookmarkStart w:id="0" w:name="_GoBack"/>
      <w:bookmarkEnd w:id="0"/>
    </w:p>
    <w:p>
      <w:pPr>
        <w:pStyle w:val="3"/>
        <w:keepNext/>
      </w:pPr>
      <w:r>
        <w:t>Abstract</w:t>
      </w:r>
    </w:p>
    <w:p>
      <w:r>
        <w:t>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11"/>
      </w:pPr>
      <w:r>
        <w:rPr>
          <w:b/>
        </w:rPr>
        <w:t>Keywords:</w:t>
      </w:r>
      <w:r>
        <w:t xml:space="preserve"> Alzheimer’s disease; periodontitis; micropeptide; molecular docking; molecular dynamics</w:t>
      </w:r>
    </w:p>
    <w:p>
      <w:pPr>
        <w:pStyle w:val="3"/>
        <w:keepNext/>
      </w:pPr>
      <w:r>
        <w:t>Introduction</w:t>
      </w:r>
    </w:p>
    <w:p>
      <w:pPr>
        <w:pStyle w:val="7"/>
      </w:pPr>
      <w:r>
        <w:t xml:space="preserve">Alzheimer’s disease (AD) combines amyloid deposition, tau pathology, synaptic failure, immune activation and vascular injury over a long preclinical course </w:t>
      </w:r>
      <w:r>
        <w:fldChar w:fldCharType="begin"/>
      </w:r>
      <w:r>
        <w:instrText xml:space="preserve"> ADDIN ZOTERO_ITEM CSL_CITATION {"citationID":"c54bad23","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fldChar w:fldCharType="separate"/>
      </w:r>
      <w:r>
        <w:t>[1]</w:t>
      </w:r>
      <w:r>
        <w:fldChar w:fldCharType="end"/>
      </w:r>
      <w:r>
        <w:t xml:space="preserve">. Sequential cleavage of APP by β- and γ-secretases releases Aβ40 and Aβ42; soluble oligomers injure synapses; familial APP/PSEN mutations change peptide length and amount </w:t>
      </w:r>
      <w:r>
        <w:fldChar w:fldCharType="begin"/>
      </w:r>
      <w:r>
        <w:instrText xml:space="preserve"> ADDIN ZOTERO_ITEM CSL_CITATION {"citationID":"c1b22d3e","properties":{"formattedCitation":"[2]","plainCitation":"[2]","dontUpdate":false,"noteIndex":0},"citationItems":[{"id":2,"uris":["http://zotero.org/users/local/items/selkoe2016amyloid"],"itemData":{"id":2,"type":"article-journal","title":"The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fldChar w:fldCharType="separate"/>
      </w:r>
      <w:r>
        <w:t>[2]</w:t>
      </w:r>
      <w:r>
        <w:fldChar w:fldCharType="end"/>
      </w:r>
      <w:r>
        <w:t>.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7"/>
      </w:pPr>
      <w:r>
        <w:t xml:space="preserve">Loss of basal-forebrain acetylcholine accounts for a large fraction of the cognitive picture, which is why AChE inhibitors remain in routine use </w:t>
      </w:r>
      <w:r>
        <w:fldChar w:fldCharType="begin"/>
      </w:r>
      <w:r>
        <w:instrText xml:space="preserve"> ADDIN ZOTERO_ITEM CSL_CITATION {"citationID":"595e325e","properties":{"formattedCitation":"[3]","plainCitation":"[3]","dontUpdate":false,"noteIndex":0},"citationItems":[{"id":3,"uris":["http://zotero.org/users/local/items/hampel2018cholinergic"],"itemData":{"id":3,"type":"article-journal","title":"The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[3]</w:t>
      </w:r>
      <w:r>
        <w:fldChar w:fldCharType="end"/>
      </w:r>
      <w:r>
        <w:t xml:space="preserve">. Catalysis is only part of the enzyme’s role. AChE accelerates Aβ fibril growth through the peripheral anionic site (PAS), and AChE–Aβ particles are more toxic than free peptide </w:t>
      </w:r>
      <w:r>
        <w:fldChar w:fldCharType="begin"/>
      </w:r>
      <w:r>
        <w:instrText xml:space="preserve"> ADDIN ZOTERO_ITEM CSL_CITATION {"citationID":"c3e95eb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A short hydrophobic PAS motif is sufficient for that chaperone effect </w:t>
      </w:r>
      <w:r>
        <w:fldChar w:fldCharType="begin"/>
      </w:r>
      <w:r>
        <w:instrText xml:space="preserve"> ADDIN ZOTERO_ITEM CSL_CITATION {"citationID":"50718778","properties":{"formattedCitation":"[5]","plainCitation":"[5]","dontUpdate":false,"noteIndex":0},"citationItems":[{"id":5,"uris":["http://zotero.org/users/local/items/deferrari2001motif"],"itemData":{"id":5,"type":"article-journal","title":"A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PAS-directed small molecules can block AChE-induced aggregation in biochemical assays </w:t>
      </w:r>
      <w:r>
        <w:fldChar w:fldCharType="begin"/>
      </w:r>
      <w:r>
        <w:instrText xml:space="preserve"> ADDIN ZOTERO_ITEM CSL_CITATION {"citationID":"54b91b64","properties":{"formattedCitation":"[6]","plainCitation":"[6]","dontUpdate":false,"noteIndex":0},"citationItems":[{"id":6,"uris":["http://zotero.org/users/local/items/bartolini2003pas"],"itemData":{"id":6,"type":"article-journal","title":"$\\beta$-Amyloid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same protein surface therefore joins cholinergic failure to amyloid deposition.</w:t>
      </w:r>
    </w:p>
    <w:p>
      <w:pPr>
        <w:pStyle w:val="7"/>
      </w:pPr>
      <w:r>
        <w:t xml:space="preserve">Chronic periodontitis maintains a low-grade inflammatory load at a disrupted mucosal barrier and allows microbial products into blood </w:t>
      </w:r>
      <w:r>
        <w:fldChar w:fldCharType="begin"/>
      </w:r>
      <w:r>
        <w:instrText xml:space="preserve"> ADDIN ZOTERO_ITEM CSL_CITATION {"citationID":"3d59f59f","properties":{"formattedCitation":"[7]","plainCitation":"[7]","dontUpdate":false,"noteIndex":0},"citationItems":[{"id":7,"uris":["http://zotero.org/users/local/items/chalmers2025primer"],"itemData":{"id":7,"type":"article-journal","title":"The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fldChar w:fldCharType="separate"/>
      </w:r>
      <w:r>
        <w:t>[7]</w:t>
      </w:r>
      <w:r>
        <w:fldChar w:fldCharType="end"/>
      </w:r>
      <w:r>
        <w:t xml:space="preserve">. Oral activity is species- and site-specific, so 16S abundance cannot stand in for a molecular ligand </w:t>
      </w:r>
      <w:r>
        <w:fldChar w:fldCharType="begin"/>
      </w:r>
      <w:r>
        <w:instrText xml:space="preserve"> ADDIN ZOTERO_ITEM CSL_CITATION {"citationID":"815f6293","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xml:space="preserve">. Meta-analyses report associations between periodontal disease and cognitive disorders, although effect sizes move with case definitions </w:t>
      </w:r>
      <w:r>
        <w:fldChar w:fldCharType="begin"/>
      </w:r>
      <w:r>
        <w:instrText xml:space="preserve"> ADDIN ZOTERO_ITEM CSL_CITATION {"citationID":"31d56bc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fldChar w:fldCharType="separate"/>
      </w:r>
      <w:r>
        <w:t>[9]</w:t>
      </w:r>
      <w:r>
        <w:fldChar w:fldCharType="end"/>
      </w:r>
      <w:r>
        <w:t xml:space="preserve">. In an AD cohort, periodontitis tracked later decline </w:t>
      </w:r>
      <w:r>
        <w:fldChar w:fldCharType="begin"/>
      </w:r>
      <w:r>
        <w:instrText xml:space="preserve"> ADDIN ZOTERO_ITEM CSL_CITATION {"citationID":"5e87c57c","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[10]</w:t>
      </w:r>
      <w:r>
        <w:fldChar w:fldCharType="end"/>
      </w:r>
      <w:r>
        <w:t xml:space="preserve">. A two-sample Mendelian randomization analysis did not support a genetic causal effect of periodontal disease on AD </w:t>
      </w:r>
      <w:r>
        <w:fldChar w:fldCharType="begin"/>
      </w:r>
      <w:r>
        <w:instrText xml:space="preserve"> ADDIN ZOTERO_ITEM CSL_CITATION {"citationID":"1d1785e2","properties":{"formattedCitation":"[11]","plainCitation":"[11]","dontUpdate":false,"noteIndex":0},"citationItems":[{"id":11,"uris":["http://zotero.org/users/local/items/hu2024mendelian"],"itemData":{"id":11,"type":"article-journal","title":"Periodontal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Epidemiology therefore motivates a molecular search; it does not identify the ligand.</w:t>
      </w:r>
    </w:p>
    <w:p>
      <w:pPr>
        <w:pStyle w:val="7"/>
      </w:pPr>
      <w:r>
        <w:t xml:space="preserve">Gingipains and outer-membrane vesicles of Porphyromonas gingivalis supply one mapped virulence pair </w:t>
      </w:r>
      <w:r>
        <w:fldChar w:fldCharType="begin"/>
      </w:r>
      <w:r>
        <w:instrText xml:space="preserve"> ADDIN ZOTERO_ITEM CSL_CITATION {"citationID":"ae4f191b","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The organism and gingipains have been reported in AD brains </w:t>
      </w:r>
      <w:r>
        <w:fldChar w:fldCharType="begin"/>
      </w:r>
      <w:r>
        <w:instrText xml:space="preserve"> ADDIN ZOTERO_ITEM CSL_CITATION {"citationID":"0dd6281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and repeated oral infection in mice produces neuroinflammation and Aβ-related changes </w:t>
      </w:r>
      <w:r>
        <w:fldChar w:fldCharType="begin"/>
      </w:r>
      <w:r>
        <w:instrText xml:space="preserve"> ADDIN ZOTERO_ITEM CSL_CITATION {"citationID":"9bf26aa6","properties":{"formattedCitation":"[15]","plainCitation":"[15]","dontUpdate":false,"noteIndex":0},"citationItems":[{"id":15,"uris":["http://zotero.org/users/local/items/ilievski2018oral"],"itemData":{"id":15,"type":"article-journal","title":"Chronic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7"/>
      </w:pPr>
      <w:r>
        <w:t xml:space="preserve">Microbiome smORFs encode a large pool of uncharted small proteins </w:t>
      </w:r>
      <w:r>
        <w:fldChar w:fldCharType="begin"/>
      </w:r>
      <w:r>
        <w:instrText xml:space="preserve"> ADDIN ZOTERO_ITEM CSL_CITATION {"citationID":"8dba9413","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fldChar w:fldCharType="separate"/>
      </w:r>
      <w:r>
        <w:t>[16–17]</w:t>
      </w:r>
      <w:r>
        <w:fldChar w:fldCharType="end"/>
      </w:r>
      <w:r>
        <w:t xml:space="preserve">. Mining of human microbiomes for peptide antibiotics first scored millions of translated open reading frames and then applied experimental filters </w:t>
      </w:r>
      <w:r>
        <w:fldChar w:fldCharType="begin"/>
      </w:r>
      <w:r>
        <w:instrText xml:space="preserve"> ADDIN ZOTERO_ITEM CSL_CITATION {"citationID":"babe1112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supplies more than twenty binary bioactivity heads on ESM-2 embeddings </w:t>
      </w:r>
      <w:r>
        <w:fldChar w:fldCharType="begin"/>
      </w:r>
      <w:r>
        <w:instrText xml:space="preserve"> ADDIN ZOTERO_ITEM CSL_CITATION {"citationID":"ca3f323e","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7"/>
      </w:pPr>
      <w:r>
        <w:t xml:space="preserve">Molecular docking and MD are the usual next step once a ligand list exists. Accelerated MD places Aβ on the AChE surface and treats the enzyme as a nucleation centre </w:t>
      </w:r>
      <w:r>
        <w:fldChar w:fldCharType="begin"/>
      </w:r>
      <w:r>
        <w:instrText xml:space="preserve"> ADDIN ZOTERO_ITEM CSL_CITATION {"citationID":"8c053990","properties":{"formattedCitation":"[20]","plainCitation":"[20]","dontUpdate":false,"noteIndex":0},"citationItems":[{"id":20,"uris":["http://zotero.org/users/local/items/lushchekina2017amd"],"itemData":{"id":20,"type":"article-journal","title":"Role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AChE–Aβ trajectory remains bound, with the main residence at residues 344–361 </w:t>
      </w:r>
      <w:r>
        <w:fldChar w:fldCharType="begin"/>
      </w:r>
      <w:r>
        <w:instrText xml:space="preserve"> ADDIN ZOTERO_ITEM CSL_CITATION {"citationID":"b2da4752","properties":{"formattedCitation":"[21]","plainCitation":"[21]","dontUpdate":false,"noteIndex":0},"citationItems":[{"id":21,"uris":["http://zotero.org/users/local/items/atanasova2020md"],"itemData":{"id":21,"type":"article-journal","title":"Molecular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PDB 4EY6 gives a 2.40 Å human AChE frame </w:t>
      </w:r>
      <w:r>
        <w:fldChar w:fldCharType="begin"/>
      </w:r>
      <w:r>
        <w:instrText xml:space="preserve"> ADDIN ZOTERO_ITEM CSL_CITATION {"citationID":"641944e3","properties":{"formattedCitation":"[22]","plainCitation":"[22]","dontUpdate":false,"noteIndex":0},"citationItems":[{"id":22,"uris":["http://zotero.org/users/local/items/cheung2012ache"],"itemData":{"id":22,"type":"article-journal","title":"Structures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aromatic gorge that joins the catalytic triad to the PAS was mapped on Torpedo AChE </w:t>
      </w:r>
      <w:r>
        <w:fldChar w:fldCharType="begin"/>
      </w:r>
      <w:r>
        <w:instrText xml:space="preserve"> ADDIN ZOTERO_ITEM CSL_CITATION {"citationID":"96c9c941","properties":{"formattedCitation":"[23]","plainCitation":"[23]","dontUpdate":false,"noteIndex":0},"citationItems":[{"id":23,"uris":["http://zotero.org/users/local/items/kryger1999e2020"],"itemData":{"id":23,"type":"article-journal","title":"Structure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[23]</w:t>
      </w:r>
      <w:r>
        <w:fldChar w:fldCharType="end"/>
      </w:r>
      <w:r>
        <w:t>. Docking can assess whether oral short peptides may interact with that same PAS; MD can assess conformational features of the complex. What remains missing is that peptide-level test, drawn from oral smORFs rather than from Aβ itself.</w:t>
      </w:r>
    </w:p>
    <w:p>
      <w:pPr>
        <w:pStyle w:val="7"/>
      </w:pPr>
      <w:r>
        <w:t>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3"/>
        <w:keepNext/>
      </w:pPr>
      <w:r>
        <w:t>Materials and methods</w:t>
      </w:r>
    </w:p>
    <w:p>
      <w:pPr>
        <w:pStyle w:val="4"/>
        <w:keepNext/>
      </w:pPr>
      <w:r>
        <w:t>Study design</w:t>
      </w:r>
    </w:p>
    <w:p>
      <w:pPr>
        <w:pStyle w:val="7"/>
      </w:pPr>
      <w:r>
        <w:t>The work is computational. No new patients, specimens, sequencing runs or wet assays were added. Healthy and periodontitis tags are library labels; they are not peptide-level clinical diagnoses. Ligand starting coordinates for docking were AlphaFold3-predicted structures of the twelve peptides. All twelve were docked with local three-run AutoDock Vina. MD used GROMACS 2025.1 on apo AChE and three complexes taken from the best-run poses, as described below.</w:t>
      </w:r>
    </w:p>
    <w:p>
      <w:pPr>
        <w:pStyle w:val="4"/>
        <w:keepNext/>
      </w:pPr>
      <w:r>
        <w:t>Source libraries and sORF prediction</w:t>
      </w:r>
    </w:p>
    <w:p>
      <w:pPr>
        <w:pStyle w:val="7"/>
      </w:pPr>
      <w:r>
        <w:t xml:space="preserve">The public source is PRJNA678453, paired oral metagenomes and metatranscriptomes from periodontitis and orally healthy donors </w:t>
      </w:r>
      <w:r>
        <w:fldChar w:fldCharType="begin"/>
      </w:r>
      <w:r>
        <w:instrText xml:space="preserve"> ADDIN ZOTERO_ITEM CSL_CITATION {"citationID":"a755c62d","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fldChar w:fldCharType="begin"/>
      </w:r>
      <w:r>
        <w:instrText xml:space="preserve"> ADDIN ZOTERO_ITEM CSL_CITATION {"citationID":"fa7588f6","properties":{"formattedCitation":"[24]","plainCitation":"[24]","dontUpdate":false,"noteIndex":0},"citationItems":[{"id":24,"uris":["http://zotero.org/users/local/items/rice2000emboss"],"itemData":{"id":24,"type":"article-journal","title":"EMBOSS: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fldChar w:fldCharType="separate"/>
      </w:r>
      <w:r>
        <w:t>[24]</w:t>
      </w:r>
      <w: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4"/>
        <w:keepNext/>
      </w:pPr>
      <w:r>
        <w:t>UniDL4BioPep (22 tasks)</w:t>
      </w:r>
    </w:p>
    <w:p>
      <w:pPr>
        <w:pStyle w:val="7"/>
      </w:pPr>
      <w:r>
        <w:t xml:space="preserve">UniDL4BioPep was applied first to both full libraries, following the predict-then-filter order used when mining microbiome peptide antibiotics </w:t>
      </w:r>
      <w:r>
        <w:fldChar w:fldCharType="begin"/>
      </w:r>
      <w:r>
        <w:instrText xml:space="preserve"> ADDIN ZOTERO_ITEM CSL_CITATION {"citationID":"6c1f1e38","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[18–19]</w:t>
      </w:r>
      <w: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fldChar w:fldCharType="begin"/>
      </w:r>
      <w:r>
        <w:instrText xml:space="preserve"> ADDIN ZOTERO_ITEM CSL_CITATION {"citationID":"37f0c0f1","properties":{"formattedCitation":"[25]","plainCitation":"[25]","dontUpdate":false,"noteIndex":0},"citationItems":[{"id":25,"uris":["http://zotero.org/users/local/items/gu2024bbb"],"itemData":{"id":25,"type":"article-journal","title":"Prediction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[25]</w:t>
      </w:r>
      <w:r>
        <w:fldChar w:fldCharType="end"/>
      </w:r>
      <w:r>
        <w:t>.</w:t>
      </w:r>
    </w:p>
    <w:p>
      <w:pPr>
        <w:pStyle w:val="4"/>
        <w:keepNext/>
      </w:pPr>
      <w:r>
        <w:t>Catalogue matching (periodontitis branch only)</w:t>
      </w:r>
    </w:p>
    <w:p>
      <w:pPr>
        <w:pStyle w:val="7"/>
      </w:pPr>
      <w:r>
        <w:t xml:space="preserve">After scoring, only periodontitis-labelled sequences were exact-matched to oral genomic and metaproteomic resources and collapsed to unique peptides. HOMD and eHOMD supply curated aerodigestive genomes </w:t>
      </w:r>
      <w:r>
        <w:fldChar w:fldCharType="begin"/>
      </w:r>
      <w:r>
        <w:instrText xml:space="preserve"> ADDIN ZOTERO_ITEM CSL_CITATION {"citationID":"4ea7cd00","properties":{"formattedCitation":"[26–27]","plainCitation":"[26–27]","dontUpdate":false,"noteIndex":0},"citationItems":[{"id":26,"uris":["http://zotero.org/users/local/items/chen2010homd"],"itemData":{"id":26,"type":"article-journal","title":"The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fldChar w:fldCharType="separate"/>
      </w:r>
      <w:r>
        <w:t>[26–27]</w:t>
      </w:r>
      <w:r>
        <w:fldChar w:fldCharType="end"/>
      </w:r>
      <w:r>
        <w:t xml:space="preserve">. Salivary metaproteomes record peptides inside their own false-discovery framework </w:t>
      </w:r>
      <w:r>
        <w:fldChar w:fldCharType="begin"/>
      </w:r>
      <w:r>
        <w:instrText xml:space="preserve"> ADDIN ZOTERO_ITEM CSL_CITATION {"citationID":"56e9846d","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fldChar w:fldCharType="separate"/>
      </w:r>
      <w:r>
        <w:t>[28]</w:t>
      </w:r>
      <w:r>
        <w:fldChar w:fldCharType="end"/>
      </w:r>
      <w:r>
        <w:t xml:space="preserve">. Further oral metaproteomic sets add sequence observations from other clinical contexts </w:t>
      </w:r>
      <w:r>
        <w:fldChar w:fldCharType="begin"/>
      </w:r>
      <w:r>
        <w:instrText xml:space="preserve"> ADDIN ZOTERO_ITEM CSL_CITATION {"citationID":"ddff1a77","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[29–30]</w:t>
      </w:r>
      <w: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4"/>
        <w:keepNext/>
      </w:pPr>
      <w:r>
        <w:t>NTxPred2</w:t>
      </w:r>
    </w:p>
    <w:p>
      <w:pPr>
        <w:pStyle w:val="7"/>
      </w:pPr>
      <w:r>
        <w:t xml:space="preserve">NTxPred2 trains separate peptide and protein models because a single neurotoxin classifier does not transfer between length classes </w:t>
      </w:r>
      <w:r>
        <w:fldChar w:fldCharType="begin"/>
      </w:r>
      <w:r>
        <w:instrText xml:space="preserve"> ADDIN ZOTERO_ITEM CSL_CITATION {"citationID":"7a51b889","properties":{"formattedCitation":"[31]","plainCitation":"[31]","dontUpdate":false,"noteIndex":0},"citationItems":[{"id":31,"uris":["http://zotero.org/users/local/items/rathore2025ntxpred2"],"itemData":{"id":31,"type":"article-journal","title":"A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fldChar w:fldCharType="separate"/>
      </w:r>
      <w:r>
        <w:t>[31]</w:t>
      </w:r>
      <w: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4"/>
        <w:keepNext/>
      </w:pPr>
      <w:r>
        <w:t>mebipred</w:t>
      </w:r>
    </w:p>
    <w:p>
      <w:pPr>
        <w:pStyle w:val="7"/>
      </w:pPr>
      <w:r>
        <w:t xml:space="preserve">mebipred predicts metal-binding from sequence alone, without alignments, so it can be applied to short translated fragments </w:t>
      </w:r>
      <w:r>
        <w:fldChar w:fldCharType="begin"/>
      </w:r>
      <w:r>
        <w:instrText xml:space="preserve"> ADDIN ZOTERO_ITEM CSL_CITATION {"citationID":"f05d3da0","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fldChar w:fldCharType="separate"/>
      </w:r>
      <w:r>
        <w:t>[32]</w:t>
      </w:r>
      <w: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4"/>
        <w:keepNext/>
      </w:pPr>
      <w:r>
        <w:t>AnOxPePred</w:t>
      </w:r>
    </w:p>
    <w:p>
      <w:pPr>
        <w:pStyle w:val="7"/>
      </w:pPr>
      <w:r>
        <w:t xml:space="preserve">AnOxPePred is a one-dimensional CNN with two heads, trained to score free-radical scavenging (FRS) and metal chelation (CHEL) from one-hot peptide sequences </w:t>
      </w:r>
      <w:r>
        <w:fldChar w:fldCharType="begin"/>
      </w:r>
      <w:r>
        <w:instrText xml:space="preserve"> ADDIN ZOTERO_ITEM CSL_CITATION {"citationID":"cc0a2b7f","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[33]</w:t>
      </w:r>
      <w:r>
        <w:fldChar w:fldCharType="end"/>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4"/>
        <w:keepNext/>
      </w:pPr>
      <w:r>
        <w:t>Physicochemical descriptors</w:t>
      </w:r>
    </w:p>
    <w:p>
      <w:pPr>
        <w:pStyle w:val="7"/>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4"/>
        <w:keepNext/>
      </w:pPr>
      <w:r>
        <w:t>Molecular docking</w:t>
      </w:r>
    </w:p>
    <w:p>
      <w:pPr>
        <w:pStyle w:val="7"/>
      </w:pPr>
      <w:r>
        <w:t xml:space="preserve">The twelve peptide ligands were modelled with AlphaFold3; those predicted structures were the starting coordinates for docking.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fldChar w:fldCharType="begin"/>
      </w:r>
      <w:r>
        <w:instrText xml:space="preserve"> ADDIN ZOTERO_ITEM CSL_CITATION {"citationID":"d9f321a8","properties":{"formattedCitation":"[22]","plainCitation":"[22]","dontUpdate":false,"noteIndex":0},"citationItems":[{"id":22,"uris":["http://zotero.org/users/local/items/cheung2012ache"],"itemData":{"id":22,"type":"article-journal","title":"Structures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twelve ligands ALLLHRC, FCLHLQLR, FLLHTTR, HLLTLKKHV, HLPLLHRCC, HVLLLRQCA, LLHLPKRTT, LLHPLRC, LLHPLRL, WLLVHLKK, YHHLLCRR and YLSLLQR were docked with AutoDock Vina, exhaustiveness 32 </w:t>
      </w:r>
      <w:r>
        <w:fldChar w:fldCharType="begin"/>
      </w:r>
      <w:r>
        <w:instrText xml:space="preserve"> ADDIN ZOTERO_ITEM CSL_CITATION {"citationID":"de42dba6","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4"/>
        <w:keepNext/>
      </w:pPr>
      <w:r>
        <w:t>Molecular dynamics</w:t>
      </w:r>
    </w:p>
    <w:p>
      <w:pPr>
        <w:pStyle w:val="7"/>
      </w:pPr>
      <w:r>
        <w:t xml:space="preserve">Ligand starting coordinates were the AlphaFold3-predicted peptide structures carried forward from docking. Four explicit-solvent systems were built in GROMACS 2025.1 with Amber99SB-ILDN and TIP3P water at 0.15 M NaCl </w:t>
      </w:r>
      <w:r>
        <w:fldChar w:fldCharType="begin"/>
      </w:r>
      <w:r>
        <w:instrText xml:space="preserve"> ADDIN ZOTERO_ITEM CSL_CITATION {"citationID":"ced09645","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fldChar w:fldCharType="separate"/>
      </w:r>
      <w:r>
        <w:t>[36–37]</w:t>
      </w:r>
      <w:r>
        <w:fldChar w:fldCharType="end"/>
      </w:r>
      <w:r>
        <w:t>: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7"/>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fldChar w:fldCharType="begin"/>
      </w:r>
      <w:r>
        <w:instrText xml:space="preserve"> ADDIN ZOTERO_ITEM CSL_CITATION {"citationID":"ab5a269d","properties":{"formattedCitation":"[21]","plainCitation":"[21]","dontUpdate":false,"noteIndex":0},"citationItems":[{"id":21,"uris":["http://zotero.org/users/local/items/atanasova2020md"],"itemData":{"id":21,"type":"article-journal","title":"Molecular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w:t>
      </w:r>
    </w:p>
    <w:p>
      <w:pPr>
        <w:pStyle w:val="3"/>
        <w:keepNext/>
      </w:pPr>
      <w:r>
        <w:t>Results</w:t>
      </w:r>
    </w:p>
    <w:p>
      <w:pPr>
        <w:pStyle w:val="4"/>
        <w:keepNext/>
      </w:pPr>
      <w:r>
        <w:t>Twenty-two UniDL4BioPep tasks on both libraries</w:t>
      </w:r>
    </w:p>
    <w:p>
      <w:pPr>
        <w:pStyle w:val="7"/>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6"/>
      </w:pPr>
      <w:r>
        <w:rPr>
          <w:b/>
        </w:rPr>
        <w:t>Table 1. UniDL4BioPep counts for the periodontitis-labelled library (11,721,988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1,236,442</w:t>
            </w:r>
          </w:p>
        </w:tc>
        <w:tc>
          <w:tcPr>
            <w:tcW w:w="2340" w:type="dxa"/>
            <w:vAlign w:val="center"/>
          </w:tcPr>
          <w:p>
            <w:pPr>
              <w:pStyle w:val="15"/>
              <w:spacing w:before="0" w:after="0" w:line="240" w:lineRule="auto"/>
            </w:pPr>
            <w:r>
              <w:rPr>
                <w:sz w:val="20"/>
                <w:szCs w:val="20"/>
              </w:rPr>
              <w:t>10.55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139,056</w:t>
            </w:r>
          </w:p>
        </w:tc>
        <w:tc>
          <w:tcPr>
            <w:tcW w:w="2340" w:type="dxa"/>
            <w:vAlign w:val="center"/>
          </w:tcPr>
          <w:p>
            <w:pPr>
              <w:pStyle w:val="15"/>
              <w:spacing w:before="0" w:after="0" w:line="240" w:lineRule="auto"/>
            </w:pPr>
            <w:r>
              <w:rPr>
                <w:sz w:val="20"/>
                <w:szCs w:val="20"/>
              </w:rPr>
              <w:t>1.19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1,831,185</w:t>
            </w:r>
          </w:p>
        </w:tc>
        <w:tc>
          <w:tcPr>
            <w:tcW w:w="2340" w:type="dxa"/>
            <w:vAlign w:val="center"/>
          </w:tcPr>
          <w:p>
            <w:pPr>
              <w:pStyle w:val="15"/>
              <w:spacing w:before="0" w:after="0" w:line="240" w:lineRule="auto"/>
            </w:pPr>
            <w:r>
              <w:rPr>
                <w:sz w:val="20"/>
                <w:szCs w:val="20"/>
              </w:rPr>
              <w:t>15.62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3,100,811</w:t>
            </w:r>
          </w:p>
        </w:tc>
        <w:tc>
          <w:tcPr>
            <w:tcW w:w="2340" w:type="dxa"/>
            <w:vAlign w:val="center"/>
          </w:tcPr>
          <w:p>
            <w:pPr>
              <w:pStyle w:val="15"/>
              <w:spacing w:before="0" w:after="0" w:line="240" w:lineRule="auto"/>
            </w:pPr>
            <w:r>
              <w:rPr>
                <w:sz w:val="20"/>
                <w:szCs w:val="20"/>
              </w:rPr>
              <w:t>26.45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10,302,093</w:t>
            </w:r>
          </w:p>
        </w:tc>
        <w:tc>
          <w:tcPr>
            <w:tcW w:w="2340" w:type="dxa"/>
            <w:vAlign w:val="center"/>
          </w:tcPr>
          <w:p>
            <w:pPr>
              <w:pStyle w:val="15"/>
              <w:spacing w:before="0" w:after="0" w:line="240" w:lineRule="auto"/>
            </w:pPr>
            <w:r>
              <w:rPr>
                <w:sz w:val="20"/>
                <w:szCs w:val="20"/>
              </w:rPr>
              <w:t>87.89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695,608</w:t>
            </w:r>
          </w:p>
        </w:tc>
        <w:tc>
          <w:tcPr>
            <w:tcW w:w="2340" w:type="dxa"/>
            <w:vAlign w:val="center"/>
          </w:tcPr>
          <w:p>
            <w:pPr>
              <w:pStyle w:val="15"/>
              <w:spacing w:before="0" w:after="0" w:line="240" w:lineRule="auto"/>
            </w:pPr>
            <w:r>
              <w:rPr>
                <w:sz w:val="20"/>
                <w:szCs w:val="20"/>
              </w:rPr>
              <w:t>5.93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2,010,724</w:t>
            </w:r>
          </w:p>
        </w:tc>
        <w:tc>
          <w:tcPr>
            <w:tcW w:w="2340" w:type="dxa"/>
            <w:vAlign w:val="center"/>
          </w:tcPr>
          <w:p>
            <w:pPr>
              <w:pStyle w:val="15"/>
              <w:spacing w:before="0" w:after="0" w:line="240" w:lineRule="auto"/>
            </w:pPr>
            <w:r>
              <w:rPr>
                <w:sz w:val="20"/>
                <w:szCs w:val="20"/>
              </w:rPr>
              <w:t>17.15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4,491,507</w:t>
            </w:r>
          </w:p>
        </w:tc>
        <w:tc>
          <w:tcPr>
            <w:tcW w:w="2340" w:type="dxa"/>
            <w:vAlign w:val="center"/>
          </w:tcPr>
          <w:p>
            <w:pPr>
              <w:pStyle w:val="15"/>
              <w:spacing w:before="0" w:after="0" w:line="240" w:lineRule="auto"/>
            </w:pPr>
            <w:r>
              <w:rPr>
                <w:sz w:val="20"/>
                <w:szCs w:val="20"/>
              </w:rPr>
              <w:t>38.32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2,357,718</w:t>
            </w:r>
          </w:p>
        </w:tc>
        <w:tc>
          <w:tcPr>
            <w:tcW w:w="2340" w:type="dxa"/>
            <w:vAlign w:val="center"/>
          </w:tcPr>
          <w:p>
            <w:pPr>
              <w:pStyle w:val="15"/>
              <w:spacing w:before="0" w:after="0" w:line="240" w:lineRule="auto"/>
            </w:pPr>
            <w:r>
              <w:rPr>
                <w:sz w:val="20"/>
                <w:szCs w:val="20"/>
              </w:rPr>
              <w:t>20.11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2,015,652</w:t>
            </w:r>
          </w:p>
        </w:tc>
        <w:tc>
          <w:tcPr>
            <w:tcW w:w="2340" w:type="dxa"/>
            <w:vAlign w:val="center"/>
          </w:tcPr>
          <w:p>
            <w:pPr>
              <w:pStyle w:val="15"/>
              <w:spacing w:before="0" w:after="0" w:line="240" w:lineRule="auto"/>
            </w:pPr>
            <w:r>
              <w:rPr>
                <w:sz w:val="20"/>
                <w:szCs w:val="20"/>
              </w:rPr>
              <w:t>17.20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843,977</w:t>
            </w:r>
          </w:p>
        </w:tc>
        <w:tc>
          <w:tcPr>
            <w:tcW w:w="2340" w:type="dxa"/>
            <w:vAlign w:val="center"/>
          </w:tcPr>
          <w:p>
            <w:pPr>
              <w:pStyle w:val="15"/>
              <w:spacing w:before="0" w:after="0" w:line="240" w:lineRule="auto"/>
            </w:pPr>
            <w:r>
              <w:rPr>
                <w:sz w:val="20"/>
                <w:szCs w:val="20"/>
              </w:rPr>
              <w:t>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2,666,759</w:t>
            </w:r>
          </w:p>
        </w:tc>
        <w:tc>
          <w:tcPr>
            <w:tcW w:w="2340" w:type="dxa"/>
            <w:vAlign w:val="center"/>
          </w:tcPr>
          <w:p>
            <w:pPr>
              <w:pStyle w:val="15"/>
              <w:spacing w:before="0" w:after="0" w:line="240" w:lineRule="auto"/>
            </w:pPr>
            <w:r>
              <w:rPr>
                <w:sz w:val="20"/>
                <w:szCs w:val="20"/>
              </w:rPr>
              <w:t>22.75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9.60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5,462,493</w:t>
            </w:r>
          </w:p>
        </w:tc>
        <w:tc>
          <w:tcPr>
            <w:tcW w:w="2340" w:type="dxa"/>
            <w:vAlign w:val="center"/>
          </w:tcPr>
          <w:p>
            <w:pPr>
              <w:pStyle w:val="15"/>
              <w:spacing w:before="0" w:after="0" w:line="240" w:lineRule="auto"/>
            </w:pPr>
            <w:r>
              <w:rPr>
                <w:sz w:val="20"/>
                <w:szCs w:val="20"/>
              </w:rPr>
              <w:t>46.60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1,714,373</w:t>
            </w:r>
          </w:p>
        </w:tc>
        <w:tc>
          <w:tcPr>
            <w:tcW w:w="2340" w:type="dxa"/>
            <w:vAlign w:val="center"/>
          </w:tcPr>
          <w:p>
            <w:pPr>
              <w:pStyle w:val="15"/>
              <w:spacing w:before="0" w:after="0" w:line="240" w:lineRule="auto"/>
            </w:pPr>
            <w:r>
              <w:rPr>
                <w:sz w:val="20"/>
                <w:szCs w:val="20"/>
              </w:rPr>
              <w:t>14.63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2,597,877</w:t>
            </w:r>
          </w:p>
        </w:tc>
        <w:tc>
          <w:tcPr>
            <w:tcW w:w="2340" w:type="dxa"/>
            <w:vAlign w:val="center"/>
          </w:tcPr>
          <w:p>
            <w:pPr>
              <w:pStyle w:val="15"/>
              <w:spacing w:before="0" w:after="0" w:line="240" w:lineRule="auto"/>
            </w:pPr>
            <w:r>
              <w:rPr>
                <w:sz w:val="20"/>
                <w:szCs w:val="20"/>
              </w:rPr>
              <w:t>22.16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2,960,118</w:t>
            </w:r>
          </w:p>
        </w:tc>
        <w:tc>
          <w:tcPr>
            <w:tcW w:w="2340" w:type="dxa"/>
            <w:vAlign w:val="center"/>
          </w:tcPr>
          <w:p>
            <w:pPr>
              <w:pStyle w:val="15"/>
              <w:spacing w:before="0" w:after="0" w:line="240" w:lineRule="auto"/>
            </w:pPr>
            <w:r>
              <w:rPr>
                <w:sz w:val="20"/>
                <w:szCs w:val="20"/>
              </w:rPr>
              <w:t>25.25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3,275,203</w:t>
            </w:r>
          </w:p>
        </w:tc>
        <w:tc>
          <w:tcPr>
            <w:tcW w:w="2340" w:type="dxa"/>
            <w:vAlign w:val="center"/>
          </w:tcPr>
          <w:p>
            <w:pPr>
              <w:pStyle w:val="15"/>
              <w:spacing w:before="0" w:after="0" w:line="240" w:lineRule="auto"/>
            </w:pPr>
            <w:r>
              <w:rPr>
                <w:sz w:val="20"/>
                <w:szCs w:val="20"/>
              </w:rPr>
              <w:t>27.94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1,714,299</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2,521,106</w:t>
            </w:r>
          </w:p>
        </w:tc>
        <w:tc>
          <w:tcPr>
            <w:tcW w:w="2340" w:type="dxa"/>
            <w:vAlign w:val="center"/>
          </w:tcPr>
          <w:p>
            <w:pPr>
              <w:pStyle w:val="15"/>
              <w:spacing w:before="0" w:after="0" w:line="240" w:lineRule="auto"/>
            </w:pPr>
            <w:r>
              <w:rPr>
                <w:sz w:val="20"/>
                <w:szCs w:val="20"/>
              </w:rPr>
              <w:t>21.51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1,713,798</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925,627</w:t>
            </w:r>
          </w:p>
        </w:tc>
        <w:tc>
          <w:tcPr>
            <w:tcW w:w="2340" w:type="dxa"/>
            <w:vAlign w:val="center"/>
          </w:tcPr>
          <w:p>
            <w:pPr>
              <w:pStyle w:val="15"/>
              <w:spacing w:before="0" w:after="0" w:line="240" w:lineRule="auto"/>
            </w:pPr>
            <w:r>
              <w:rPr>
                <w:sz w:val="20"/>
                <w:szCs w:val="20"/>
              </w:rPr>
              <w:t>7.90</w:t>
            </w:r>
          </w:p>
        </w:tc>
      </w:tr>
    </w:tbl>
    <w:p>
      <w:pPr>
        <w:spacing w:after="40"/>
      </w:pPr>
    </w:p>
    <w:p>
      <w:pPr>
        <w:pStyle w:val="6"/>
      </w:pPr>
      <w:r>
        <w:rPr>
          <w:b/>
        </w:rPr>
        <w:t>Table 2. UniDL4BioPep counts for the healthy-labelled library (11,269,961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1,237,451</w:t>
            </w:r>
          </w:p>
        </w:tc>
        <w:tc>
          <w:tcPr>
            <w:tcW w:w="2340" w:type="dxa"/>
            <w:vAlign w:val="center"/>
          </w:tcPr>
          <w:p>
            <w:pPr>
              <w:pStyle w:val="15"/>
              <w:spacing w:before="0" w:after="0" w:line="240" w:lineRule="auto"/>
            </w:pPr>
            <w:r>
              <w:rPr>
                <w:sz w:val="20"/>
                <w:szCs w:val="20"/>
              </w:rPr>
              <w:t>10.98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131,426</w:t>
            </w:r>
          </w:p>
        </w:tc>
        <w:tc>
          <w:tcPr>
            <w:tcW w:w="2340" w:type="dxa"/>
            <w:vAlign w:val="center"/>
          </w:tcPr>
          <w:p>
            <w:pPr>
              <w:pStyle w:val="15"/>
              <w:spacing w:before="0" w:after="0" w:line="240" w:lineRule="auto"/>
            </w:pPr>
            <w:r>
              <w:rPr>
                <w:sz w:val="20"/>
                <w:szCs w:val="20"/>
              </w:rPr>
              <w:t>1.17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1,840,368</w:t>
            </w:r>
          </w:p>
        </w:tc>
        <w:tc>
          <w:tcPr>
            <w:tcW w:w="2340" w:type="dxa"/>
            <w:vAlign w:val="center"/>
          </w:tcPr>
          <w:p>
            <w:pPr>
              <w:pStyle w:val="15"/>
              <w:spacing w:before="0" w:after="0" w:line="240" w:lineRule="auto"/>
            </w:pPr>
            <w:r>
              <w:rPr>
                <w:sz w:val="20"/>
                <w:szCs w:val="20"/>
              </w:rPr>
              <w:t>16.33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3,094,287</w:t>
            </w:r>
          </w:p>
        </w:tc>
        <w:tc>
          <w:tcPr>
            <w:tcW w:w="2340" w:type="dxa"/>
            <w:vAlign w:val="center"/>
          </w:tcPr>
          <w:p>
            <w:pPr>
              <w:pStyle w:val="15"/>
              <w:spacing w:before="0" w:after="0" w:line="240" w:lineRule="auto"/>
            </w:pPr>
            <w:r>
              <w:rPr>
                <w:sz w:val="20"/>
                <w:szCs w:val="20"/>
              </w:rPr>
              <w:t>27.46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9,882,657</w:t>
            </w:r>
          </w:p>
        </w:tc>
        <w:tc>
          <w:tcPr>
            <w:tcW w:w="2340" w:type="dxa"/>
            <w:vAlign w:val="center"/>
          </w:tcPr>
          <w:p>
            <w:pPr>
              <w:pStyle w:val="15"/>
              <w:spacing w:before="0" w:after="0" w:line="240" w:lineRule="auto"/>
            </w:pPr>
            <w:r>
              <w:rPr>
                <w:sz w:val="20"/>
                <w:szCs w:val="20"/>
              </w:rPr>
              <w:t>87.69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703,632</w:t>
            </w:r>
          </w:p>
        </w:tc>
        <w:tc>
          <w:tcPr>
            <w:tcW w:w="2340" w:type="dxa"/>
            <w:vAlign w:val="center"/>
          </w:tcPr>
          <w:p>
            <w:pPr>
              <w:pStyle w:val="15"/>
              <w:spacing w:before="0" w:after="0" w:line="240" w:lineRule="auto"/>
            </w:pPr>
            <w:r>
              <w:rPr>
                <w:sz w:val="20"/>
                <w:szCs w:val="20"/>
              </w:rPr>
              <w:t>6.24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1,954,667</w:t>
            </w:r>
          </w:p>
        </w:tc>
        <w:tc>
          <w:tcPr>
            <w:tcW w:w="2340" w:type="dxa"/>
            <w:vAlign w:val="center"/>
          </w:tcPr>
          <w:p>
            <w:pPr>
              <w:pStyle w:val="15"/>
              <w:spacing w:before="0" w:after="0" w:line="240" w:lineRule="auto"/>
            </w:pPr>
            <w:r>
              <w:rPr>
                <w:sz w:val="20"/>
                <w:szCs w:val="20"/>
              </w:rPr>
              <w:t>17.34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4,161,825</w:t>
            </w:r>
          </w:p>
        </w:tc>
        <w:tc>
          <w:tcPr>
            <w:tcW w:w="2340" w:type="dxa"/>
            <w:vAlign w:val="center"/>
          </w:tcPr>
          <w:p>
            <w:pPr>
              <w:pStyle w:val="15"/>
              <w:spacing w:before="0" w:after="0" w:line="240" w:lineRule="auto"/>
            </w:pPr>
            <w:r>
              <w:rPr>
                <w:sz w:val="20"/>
                <w:szCs w:val="20"/>
              </w:rPr>
              <w:t>36.93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2,404,084</w:t>
            </w:r>
          </w:p>
        </w:tc>
        <w:tc>
          <w:tcPr>
            <w:tcW w:w="2340" w:type="dxa"/>
            <w:vAlign w:val="center"/>
          </w:tcPr>
          <w:p>
            <w:pPr>
              <w:pStyle w:val="15"/>
              <w:spacing w:before="0" w:after="0" w:line="240" w:lineRule="auto"/>
            </w:pPr>
            <w:r>
              <w:rPr>
                <w:sz w:val="20"/>
                <w:szCs w:val="20"/>
              </w:rPr>
              <w:t>21.33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1,979,643</w:t>
            </w:r>
          </w:p>
        </w:tc>
        <w:tc>
          <w:tcPr>
            <w:tcW w:w="2340" w:type="dxa"/>
            <w:vAlign w:val="center"/>
          </w:tcPr>
          <w:p>
            <w:pPr>
              <w:pStyle w:val="15"/>
              <w:spacing w:before="0" w:after="0" w:line="240" w:lineRule="auto"/>
            </w:pPr>
            <w:r>
              <w:rPr>
                <w:sz w:val="20"/>
                <w:szCs w:val="20"/>
              </w:rPr>
              <w:t>17.57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769,955</w:t>
            </w:r>
          </w:p>
        </w:tc>
        <w:tc>
          <w:tcPr>
            <w:tcW w:w="2340" w:type="dxa"/>
            <w:vAlign w:val="center"/>
          </w:tcPr>
          <w:p>
            <w:pPr>
              <w:pStyle w:val="15"/>
              <w:spacing w:before="0" w:after="0" w:line="240" w:lineRule="auto"/>
            </w:pPr>
            <w:r>
              <w:rPr>
                <w:sz w:val="20"/>
                <w:szCs w:val="20"/>
              </w:rPr>
              <w:t>6.83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2,618,849</w:t>
            </w:r>
          </w:p>
        </w:tc>
        <w:tc>
          <w:tcPr>
            <w:tcW w:w="2340" w:type="dxa"/>
            <w:vAlign w:val="center"/>
          </w:tcPr>
          <w:p>
            <w:pPr>
              <w:pStyle w:val="15"/>
              <w:spacing w:before="0" w:after="0" w:line="240" w:lineRule="auto"/>
            </w:pPr>
            <w:r>
              <w:rPr>
                <w:sz w:val="20"/>
                <w:szCs w:val="20"/>
              </w:rPr>
              <w:t>23.24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1,095,861</w:t>
            </w:r>
          </w:p>
        </w:tc>
        <w:tc>
          <w:tcPr>
            <w:tcW w:w="2340" w:type="dxa"/>
            <w:vAlign w:val="center"/>
          </w:tcPr>
          <w:p>
            <w:pPr>
              <w:pStyle w:val="15"/>
              <w:spacing w:before="0" w:after="0" w:line="240" w:lineRule="auto"/>
            </w:pPr>
            <w:r>
              <w:rPr>
                <w:sz w:val="20"/>
                <w:szCs w:val="20"/>
              </w:rPr>
              <w:t>9.72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5,517,278</w:t>
            </w:r>
          </w:p>
        </w:tc>
        <w:tc>
          <w:tcPr>
            <w:tcW w:w="2340" w:type="dxa"/>
            <w:vAlign w:val="center"/>
          </w:tcPr>
          <w:p>
            <w:pPr>
              <w:pStyle w:val="15"/>
              <w:spacing w:before="0" w:after="0" w:line="240" w:lineRule="auto"/>
            </w:pPr>
            <w:r>
              <w:rPr>
                <w:sz w:val="20"/>
                <w:szCs w:val="20"/>
              </w:rPr>
              <w:t>48.96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1,690,436</w:t>
            </w:r>
          </w:p>
        </w:tc>
        <w:tc>
          <w:tcPr>
            <w:tcW w:w="2340" w:type="dxa"/>
            <w:vAlign w:val="center"/>
          </w:tcPr>
          <w:p>
            <w:pPr>
              <w:pStyle w:val="15"/>
              <w:spacing w:before="0" w:after="0" w:line="240" w:lineRule="auto"/>
            </w:pPr>
            <w:r>
              <w:rPr>
                <w:sz w:val="20"/>
                <w:szCs w:val="20"/>
              </w:rPr>
              <w:t>15.00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2,658,234</w:t>
            </w:r>
          </w:p>
        </w:tc>
        <w:tc>
          <w:tcPr>
            <w:tcW w:w="2340" w:type="dxa"/>
            <w:vAlign w:val="center"/>
          </w:tcPr>
          <w:p>
            <w:pPr>
              <w:pStyle w:val="15"/>
              <w:spacing w:before="0" w:after="0" w:line="240" w:lineRule="auto"/>
            </w:pPr>
            <w:r>
              <w:rPr>
                <w:sz w:val="20"/>
                <w:szCs w:val="20"/>
              </w:rPr>
              <w:t>23.59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3,128,057</w:t>
            </w:r>
          </w:p>
        </w:tc>
        <w:tc>
          <w:tcPr>
            <w:tcW w:w="2340" w:type="dxa"/>
            <w:vAlign w:val="center"/>
          </w:tcPr>
          <w:p>
            <w:pPr>
              <w:pStyle w:val="15"/>
              <w:spacing w:before="0" w:after="0" w:line="240" w:lineRule="auto"/>
            </w:pPr>
            <w:r>
              <w:rPr>
                <w:sz w:val="20"/>
                <w:szCs w:val="20"/>
              </w:rPr>
              <w:t>27.76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3,362,295</w:t>
            </w:r>
          </w:p>
        </w:tc>
        <w:tc>
          <w:tcPr>
            <w:tcW w:w="2340" w:type="dxa"/>
            <w:vAlign w:val="center"/>
          </w:tcPr>
          <w:p>
            <w:pPr>
              <w:pStyle w:val="15"/>
              <w:spacing w:before="0" w:after="0" w:line="240" w:lineRule="auto"/>
            </w:pPr>
            <w:r>
              <w:rPr>
                <w:sz w:val="20"/>
                <w:szCs w:val="20"/>
              </w:rPr>
              <w:t>29.83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1,725,268</w:t>
            </w:r>
          </w:p>
        </w:tc>
        <w:tc>
          <w:tcPr>
            <w:tcW w:w="2340" w:type="dxa"/>
            <w:vAlign w:val="center"/>
          </w:tcPr>
          <w:p>
            <w:pPr>
              <w:pStyle w:val="15"/>
              <w:spacing w:before="0" w:after="0" w:line="240" w:lineRule="auto"/>
            </w:pPr>
            <w:r>
              <w:rPr>
                <w:sz w:val="20"/>
                <w:szCs w:val="20"/>
              </w:rPr>
              <w:t>15.31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2,643,538</w:t>
            </w:r>
          </w:p>
        </w:tc>
        <w:tc>
          <w:tcPr>
            <w:tcW w:w="2340" w:type="dxa"/>
            <w:vAlign w:val="center"/>
          </w:tcPr>
          <w:p>
            <w:pPr>
              <w:pStyle w:val="15"/>
              <w:spacing w:before="0" w:after="0" w:line="240" w:lineRule="auto"/>
            </w:pPr>
            <w:r>
              <w:rPr>
                <w:sz w:val="20"/>
                <w:szCs w:val="20"/>
              </w:rPr>
              <w:t>23.46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1,635,019</w:t>
            </w:r>
          </w:p>
        </w:tc>
        <w:tc>
          <w:tcPr>
            <w:tcW w:w="2340" w:type="dxa"/>
            <w:vAlign w:val="center"/>
          </w:tcPr>
          <w:p>
            <w:pPr>
              <w:pStyle w:val="15"/>
              <w:spacing w:before="0" w:after="0" w:line="240" w:lineRule="auto"/>
            </w:pPr>
            <w:r>
              <w:rPr>
                <w:sz w:val="20"/>
                <w:szCs w:val="20"/>
              </w:rPr>
              <w:t>14.51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1,029,770</w:t>
            </w:r>
          </w:p>
        </w:tc>
        <w:tc>
          <w:tcPr>
            <w:tcW w:w="2340" w:type="dxa"/>
            <w:vAlign w:val="center"/>
          </w:tcPr>
          <w:p>
            <w:pPr>
              <w:pStyle w:val="15"/>
              <w:spacing w:before="0" w:after="0" w:line="240" w:lineRule="auto"/>
            </w:pPr>
            <w:r>
              <w:rPr>
                <w:sz w:val="20"/>
                <w:szCs w:val="20"/>
              </w:rPr>
              <w:t>9.14</w:t>
            </w:r>
          </w:p>
        </w:tc>
      </w:tr>
    </w:tbl>
    <w:p>
      <w:pPr>
        <w:spacing w:after="40"/>
      </w:pPr>
    </w:p>
    <w:p>
      <w:pPr>
        <w:pStyle w:val="6"/>
      </w:pPr>
      <w:r>
        <w:rPr>
          <w:b/>
        </w:rPr>
        <w:t>Table 3. Score-rate difference between libraries (periodontitis % minus healthy %). BBB is shown for reference.</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Healthy %</w:t>
            </w:r>
          </w:p>
        </w:tc>
        <w:tc>
          <w:tcPr>
            <w:tcW w:w="2340" w:type="dxa"/>
            <w:tcBorders>
              <w:bottom w:val="single" w:color="000000" w:sz="8" w:space="0"/>
            </w:tcBorders>
            <w:vAlign w:val="center"/>
          </w:tcPr>
          <w:p>
            <w:pPr>
              <w:pStyle w:val="15"/>
              <w:spacing w:before="0" w:after="0" w:line="240" w:lineRule="auto"/>
            </w:pPr>
            <w:r>
              <w:rPr>
                <w:sz w:val="20"/>
                <w:szCs w:val="20"/>
              </w:rPr>
              <w:t>Periodontitis %</w:t>
            </w:r>
          </w:p>
        </w:tc>
        <w:tc>
          <w:tcPr>
            <w:tcW w:w="2340" w:type="dxa"/>
            <w:tcBorders>
              <w:bottom w:val="single" w:color="000000" w:sz="8" w:space="0"/>
            </w:tcBorders>
            <w:vAlign w:val="center"/>
          </w:tcPr>
          <w:p>
            <w:pPr>
              <w:pStyle w:val="15"/>
              <w:spacing w:before="0" w:after="0" w:line="240" w:lineRule="auto"/>
            </w:pPr>
            <w:r>
              <w:rPr>
                <w:sz w:val="20"/>
                <w:szCs w:val="20"/>
              </w:rPr>
              <w:t>Δ pp</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36.93</w:t>
            </w:r>
          </w:p>
        </w:tc>
        <w:tc>
          <w:tcPr>
            <w:tcW w:w="2340" w:type="dxa"/>
            <w:vAlign w:val="center"/>
          </w:tcPr>
          <w:p>
            <w:pPr>
              <w:pStyle w:val="15"/>
              <w:spacing w:before="0" w:after="0" w:line="240" w:lineRule="auto"/>
            </w:pPr>
            <w:r>
              <w:rPr>
                <w:sz w:val="20"/>
                <w:szCs w:val="20"/>
              </w:rPr>
              <w:t>38.32</w:t>
            </w:r>
          </w:p>
        </w:tc>
        <w:tc>
          <w:tcPr>
            <w:tcW w:w="2340" w:type="dxa"/>
            <w:vAlign w:val="center"/>
          </w:tcPr>
          <w:p>
            <w:pPr>
              <w:pStyle w:val="15"/>
              <w:spacing w:before="0" w:after="0" w:line="240" w:lineRule="auto"/>
            </w:pPr>
            <w:r>
              <w:rPr>
                <w:sz w:val="20"/>
                <w:szCs w:val="20"/>
              </w:rPr>
              <w:t>+1.39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27.46</w:t>
            </w:r>
          </w:p>
        </w:tc>
        <w:tc>
          <w:tcPr>
            <w:tcW w:w="2340" w:type="dxa"/>
            <w:vAlign w:val="center"/>
          </w:tcPr>
          <w:p>
            <w:pPr>
              <w:pStyle w:val="15"/>
              <w:spacing w:before="0" w:after="0" w:line="240" w:lineRule="auto"/>
            </w:pPr>
            <w:r>
              <w:rPr>
                <w:sz w:val="20"/>
                <w:szCs w:val="20"/>
              </w:rPr>
              <w:t>26.45</w:t>
            </w:r>
          </w:p>
        </w:tc>
        <w:tc>
          <w:tcPr>
            <w:tcW w:w="2340" w:type="dxa"/>
            <w:vAlign w:val="center"/>
          </w:tcPr>
          <w:p>
            <w:pPr>
              <w:pStyle w:val="15"/>
              <w:spacing w:before="0" w:after="0" w:line="240" w:lineRule="auto"/>
            </w:pPr>
            <w:r>
              <w:rPr>
                <w:sz w:val="20"/>
                <w:szCs w:val="20"/>
              </w:rPr>
              <w:t>−1.00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21.33</w:t>
            </w:r>
          </w:p>
        </w:tc>
        <w:tc>
          <w:tcPr>
            <w:tcW w:w="2340" w:type="dxa"/>
            <w:vAlign w:val="center"/>
          </w:tcPr>
          <w:p>
            <w:pPr>
              <w:pStyle w:val="15"/>
              <w:spacing w:before="0" w:after="0" w:line="240" w:lineRule="auto"/>
            </w:pPr>
            <w:r>
              <w:rPr>
                <w:sz w:val="20"/>
                <w:szCs w:val="20"/>
              </w:rPr>
              <w:t>20.11</w:t>
            </w:r>
          </w:p>
        </w:tc>
        <w:tc>
          <w:tcPr>
            <w:tcW w:w="2340" w:type="dxa"/>
            <w:vAlign w:val="center"/>
          </w:tcPr>
          <w:p>
            <w:pPr>
              <w:pStyle w:val="15"/>
              <w:spacing w:before="0" w:after="0" w:line="240" w:lineRule="auto"/>
            </w:pPr>
            <w:r>
              <w:rPr>
                <w:sz w:val="20"/>
                <w:szCs w:val="20"/>
              </w:rPr>
              <w:t>−1.22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9.14</w:t>
            </w:r>
          </w:p>
        </w:tc>
        <w:tc>
          <w:tcPr>
            <w:tcW w:w="2340" w:type="dxa"/>
            <w:vAlign w:val="center"/>
          </w:tcPr>
          <w:p>
            <w:pPr>
              <w:pStyle w:val="15"/>
              <w:spacing w:before="0" w:after="0" w:line="240" w:lineRule="auto"/>
            </w:pPr>
            <w:r>
              <w:rPr>
                <w:sz w:val="20"/>
                <w:szCs w:val="20"/>
              </w:rPr>
              <w:t>7.90</w:t>
            </w:r>
          </w:p>
        </w:tc>
        <w:tc>
          <w:tcPr>
            <w:tcW w:w="2340" w:type="dxa"/>
            <w:vAlign w:val="center"/>
          </w:tcPr>
          <w:p>
            <w:pPr>
              <w:pStyle w:val="15"/>
              <w:spacing w:before="0" w:after="0" w:line="240" w:lineRule="auto"/>
            </w:pPr>
            <w:r>
              <w:rPr>
                <w:sz w:val="20"/>
                <w:szCs w:val="20"/>
              </w:rPr>
              <w:t>−1.24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23.59</w:t>
            </w:r>
          </w:p>
        </w:tc>
        <w:tc>
          <w:tcPr>
            <w:tcW w:w="2340" w:type="dxa"/>
            <w:vAlign w:val="center"/>
          </w:tcPr>
          <w:p>
            <w:pPr>
              <w:pStyle w:val="15"/>
              <w:spacing w:before="0" w:after="0" w:line="240" w:lineRule="auto"/>
            </w:pPr>
            <w:r>
              <w:rPr>
                <w:sz w:val="20"/>
                <w:szCs w:val="20"/>
              </w:rPr>
              <w:t>22.16</w:t>
            </w:r>
          </w:p>
        </w:tc>
        <w:tc>
          <w:tcPr>
            <w:tcW w:w="2340" w:type="dxa"/>
            <w:vAlign w:val="center"/>
          </w:tcPr>
          <w:p>
            <w:pPr>
              <w:pStyle w:val="15"/>
              <w:spacing w:before="0" w:after="0" w:line="240" w:lineRule="auto"/>
            </w:pPr>
            <w:r>
              <w:rPr>
                <w:sz w:val="20"/>
                <w:szCs w:val="20"/>
              </w:rPr>
              <w:t>−1.42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29.83</w:t>
            </w:r>
          </w:p>
        </w:tc>
        <w:tc>
          <w:tcPr>
            <w:tcW w:w="2340" w:type="dxa"/>
            <w:vAlign w:val="center"/>
          </w:tcPr>
          <w:p>
            <w:pPr>
              <w:pStyle w:val="15"/>
              <w:spacing w:before="0" w:after="0" w:line="240" w:lineRule="auto"/>
            </w:pPr>
            <w:r>
              <w:rPr>
                <w:sz w:val="20"/>
                <w:szCs w:val="20"/>
              </w:rPr>
              <w:t>27.94</w:t>
            </w:r>
          </w:p>
        </w:tc>
        <w:tc>
          <w:tcPr>
            <w:tcW w:w="2340" w:type="dxa"/>
            <w:vAlign w:val="center"/>
          </w:tcPr>
          <w:p>
            <w:pPr>
              <w:pStyle w:val="15"/>
              <w:spacing w:before="0" w:after="0" w:line="240" w:lineRule="auto"/>
            </w:pPr>
            <w:r>
              <w:rPr>
                <w:sz w:val="20"/>
                <w:szCs w:val="20"/>
              </w:rPr>
              <w:t>−1.89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23.46</w:t>
            </w:r>
          </w:p>
        </w:tc>
        <w:tc>
          <w:tcPr>
            <w:tcW w:w="2340" w:type="dxa"/>
            <w:vAlign w:val="center"/>
          </w:tcPr>
          <w:p>
            <w:pPr>
              <w:pStyle w:val="15"/>
              <w:spacing w:before="0" w:after="0" w:line="240" w:lineRule="auto"/>
            </w:pPr>
            <w:r>
              <w:rPr>
                <w:sz w:val="20"/>
                <w:szCs w:val="20"/>
              </w:rPr>
              <w:t>21.51</w:t>
            </w:r>
          </w:p>
        </w:tc>
        <w:tc>
          <w:tcPr>
            <w:tcW w:w="2340" w:type="dxa"/>
            <w:vAlign w:val="center"/>
          </w:tcPr>
          <w:p>
            <w:pPr>
              <w:pStyle w:val="15"/>
              <w:spacing w:before="0" w:after="0" w:line="240" w:lineRule="auto"/>
            </w:pPr>
            <w:r>
              <w:rPr>
                <w:sz w:val="20"/>
                <w:szCs w:val="20"/>
              </w:rPr>
              <w:t>−1.95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48.96</w:t>
            </w:r>
          </w:p>
        </w:tc>
        <w:tc>
          <w:tcPr>
            <w:tcW w:w="2340" w:type="dxa"/>
            <w:vAlign w:val="center"/>
          </w:tcPr>
          <w:p>
            <w:pPr>
              <w:pStyle w:val="15"/>
              <w:spacing w:before="0" w:after="0" w:line="240" w:lineRule="auto"/>
            </w:pPr>
            <w:r>
              <w:rPr>
                <w:sz w:val="20"/>
                <w:szCs w:val="20"/>
              </w:rPr>
              <w:t>46.60</w:t>
            </w:r>
          </w:p>
        </w:tc>
        <w:tc>
          <w:tcPr>
            <w:tcW w:w="2340" w:type="dxa"/>
            <w:vAlign w:val="center"/>
          </w:tcPr>
          <w:p>
            <w:pPr>
              <w:pStyle w:val="15"/>
              <w:spacing w:before="0" w:after="0" w:line="240" w:lineRule="auto"/>
            </w:pPr>
            <w:r>
              <w:rPr>
                <w:sz w:val="20"/>
                <w:szCs w:val="20"/>
              </w:rPr>
              <w:t>−2.36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27.76</w:t>
            </w:r>
          </w:p>
        </w:tc>
        <w:tc>
          <w:tcPr>
            <w:tcW w:w="2340" w:type="dxa"/>
            <w:vAlign w:val="center"/>
          </w:tcPr>
          <w:p>
            <w:pPr>
              <w:pStyle w:val="15"/>
              <w:spacing w:before="0" w:after="0" w:line="240" w:lineRule="auto"/>
            </w:pPr>
            <w:r>
              <w:rPr>
                <w:sz w:val="20"/>
                <w:szCs w:val="20"/>
              </w:rPr>
              <w:t>25.25</w:t>
            </w:r>
          </w:p>
        </w:tc>
        <w:tc>
          <w:tcPr>
            <w:tcW w:w="2340" w:type="dxa"/>
            <w:vAlign w:val="center"/>
          </w:tcPr>
          <w:p>
            <w:pPr>
              <w:pStyle w:val="15"/>
              <w:spacing w:before="0" w:after="0" w:line="240" w:lineRule="auto"/>
            </w:pPr>
            <w:r>
              <w:rPr>
                <w:sz w:val="20"/>
                <w:szCs w:val="20"/>
              </w:rPr>
              <w:t>−2.50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9.72</w:t>
            </w:r>
          </w:p>
        </w:tc>
        <w:tc>
          <w:tcPr>
            <w:tcW w:w="2340" w:type="dxa"/>
            <w:vAlign w:val="center"/>
          </w:tcPr>
          <w:p>
            <w:pPr>
              <w:pStyle w:val="15"/>
              <w:spacing w:before="0" w:after="0" w:line="240" w:lineRule="auto"/>
            </w:pPr>
            <w:r>
              <w:rPr>
                <w:sz w:val="20"/>
                <w:szCs w:val="20"/>
              </w:rPr>
              <w:t>9.60</w:t>
            </w:r>
          </w:p>
        </w:tc>
        <w:tc>
          <w:tcPr>
            <w:tcW w:w="2340" w:type="dxa"/>
            <w:vAlign w:val="center"/>
          </w:tcPr>
          <w:p>
            <w:pPr>
              <w:pStyle w:val="15"/>
              <w:spacing w:before="0" w:after="0" w:line="240" w:lineRule="auto"/>
            </w:pPr>
            <w:r>
              <w:rPr>
                <w:sz w:val="20"/>
                <w:szCs w:val="20"/>
              </w:rPr>
              <w:t>−0.12</w:t>
            </w:r>
          </w:p>
        </w:tc>
      </w:tr>
    </w:tbl>
    <w:p>
      <w:pPr>
        <w:spacing w:after="40"/>
      </w:pPr>
    </w:p>
    <w:p>
      <w:pPr>
        <w:pStyle w:val="12"/>
        <w:keepNext/>
        <w:jc w:val="center"/>
      </w:pPr>
      <w:r>
        <w:drawing>
          <wp:inline distT="0" distB="0" distL="0" distR="0">
            <wp:extent cx="6149975" cy="7445375"/>
            <wp:effectExtent l="0" t="0" r="0" b="0"/>
            <wp:docPr id="1" name="Figure 1" descr="Figure 1. Screening cascade from oral smORF libraries to twelve peptides and three MD compl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Figure 1. Screening cascade from oral smORF libraries to twelve peptides and three MD complexes."/>
                    <pic:cNvPicPr>
                      <a:picLocks noChangeAspect="1"/>
                    </pic:cNvPicPr>
                  </pic:nvPicPr>
                  <pic:blipFill>
                    <a:blip r:embed="rId6"/>
                    <a:stretch>
                      <a:fillRect/>
                    </a:stretch>
                  </pic:blipFill>
                  <pic:spPr>
                    <a:xfrm>
                      <a:off x="0" y="0"/>
                      <a:ext cx="6150000" cy="7445800"/>
                    </a:xfrm>
                    <a:prstGeom prst="rect">
                      <a:avLst/>
                    </a:prstGeom>
                  </pic:spPr>
                </pic:pic>
              </a:graphicData>
            </a:graphic>
          </wp:inline>
        </w:drawing>
      </w:r>
    </w:p>
    <w:p>
      <w:pPr>
        <w:pStyle w:val="6"/>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4"/>
        <w:keepNext/>
      </w:pPr>
      <w:r>
        <w:t>Periodontitis funnel to twelve sequences</w:t>
      </w:r>
    </w:p>
    <w:p>
      <w:pPr>
        <w:pStyle w:val="7"/>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6"/>
      </w:pPr>
      <w:r>
        <w:rPr>
          <w:b/>
        </w:rPr>
        <w:t>Table 4. Periodontitis branch after UniDL4BioPep scoring.</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Stage</w:t>
            </w:r>
          </w:p>
        </w:tc>
        <w:tc>
          <w:tcPr>
            <w:tcW w:w="2340" w:type="dxa"/>
            <w:tcBorders>
              <w:bottom w:val="single" w:color="000000" w:sz="8" w:space="0"/>
            </w:tcBorders>
            <w:vAlign w:val="center"/>
          </w:tcPr>
          <w:p>
            <w:pPr>
              <w:pStyle w:val="15"/>
              <w:spacing w:before="0" w:after="0" w:line="240" w:lineRule="auto"/>
            </w:pPr>
            <w:r>
              <w:rPr>
                <w:sz w:val="20"/>
                <w:szCs w:val="20"/>
              </w:rPr>
              <w:t>Rule</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Denominator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Periodontitis smORFs</w:t>
            </w:r>
          </w:p>
        </w:tc>
        <w:tc>
          <w:tcPr>
            <w:tcW w:w="2340" w:type="dxa"/>
            <w:vAlign w:val="center"/>
          </w:tcPr>
          <w:p>
            <w:pPr>
              <w:pStyle w:val="15"/>
              <w:spacing w:before="0" w:after="0" w:line="240" w:lineRule="auto"/>
            </w:pPr>
            <w:r>
              <w:rPr>
                <w:sz w:val="20"/>
                <w:szCs w:val="20"/>
              </w:rPr>
              <w:t>4–50 aa</w:t>
            </w:r>
          </w:p>
        </w:tc>
        <w:tc>
          <w:tcPr>
            <w:tcW w:w="2340" w:type="dxa"/>
            <w:vAlign w:val="center"/>
          </w:tcPr>
          <w:p>
            <w:pPr>
              <w:pStyle w:val="15"/>
              <w:spacing w:before="0" w:after="0" w:line="240" w:lineRule="auto"/>
            </w:pPr>
            <w:r>
              <w:rPr>
                <w:sz w:val="20"/>
                <w:szCs w:val="20"/>
              </w:rPr>
              <w:t>11,721,988</w:t>
            </w:r>
          </w:p>
        </w:tc>
        <w:tc>
          <w:tcPr>
            <w:tcW w:w="2340" w:type="dxa"/>
            <w:vAlign w:val="center"/>
          </w:tcPr>
          <w:p>
            <w:pPr>
              <w:pStyle w:val="15"/>
              <w:spacing w:before="0" w:after="0" w:line="240" w:lineRule="auto"/>
            </w:pPr>
            <w:r>
              <w:rPr>
                <w:sz w:val="20"/>
                <w:szCs w:val="20"/>
              </w:rPr>
              <w:t>Library</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score ≥0.80</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Catalogue-supported unique peptides</w:t>
            </w:r>
          </w:p>
        </w:tc>
        <w:tc>
          <w:tcPr>
            <w:tcW w:w="2340" w:type="dxa"/>
            <w:vAlign w:val="center"/>
          </w:tcPr>
          <w:p>
            <w:pPr>
              <w:pStyle w:val="15"/>
              <w:spacing w:before="0" w:after="0" w:line="240" w:lineRule="auto"/>
            </w:pPr>
            <w:r>
              <w:rPr>
                <w:sz w:val="20"/>
                <w:szCs w:val="20"/>
              </w:rPr>
              <w:t>Exact match</w:t>
            </w:r>
          </w:p>
        </w:tc>
        <w:tc>
          <w:tcPr>
            <w:tcW w:w="2340" w:type="dxa"/>
            <w:vAlign w:val="center"/>
          </w:tcPr>
          <w:p>
            <w:pPr>
              <w:pStyle w:val="15"/>
              <w:spacing w:before="0" w:after="0" w:line="240" w:lineRule="auto"/>
            </w:pPr>
            <w:r>
              <w:rPr>
                <w:sz w:val="20"/>
                <w:szCs w:val="20"/>
              </w:rPr>
              <w:t>33,786</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BBB-high ∩ catalogue-supported</w:t>
            </w:r>
          </w:p>
        </w:tc>
        <w:tc>
          <w:tcPr>
            <w:tcW w:w="2340" w:type="dxa"/>
            <w:vAlign w:val="center"/>
          </w:tcPr>
          <w:p>
            <w:pPr>
              <w:pStyle w:val="15"/>
              <w:spacing w:before="0" w:after="0" w:line="240" w:lineRule="auto"/>
            </w:pPr>
            <w:r>
              <w:rPr>
                <w:sz w:val="20"/>
                <w:szCs w:val="20"/>
              </w:rPr>
              <w:t>Intersection</w:t>
            </w:r>
          </w:p>
        </w:tc>
        <w:tc>
          <w:tcPr>
            <w:tcW w:w="2340" w:type="dxa"/>
            <w:vAlign w:val="center"/>
          </w:tcPr>
          <w:p>
            <w:pPr>
              <w:pStyle w:val="15"/>
              <w:spacing w:before="0" w:after="0" w:line="240" w:lineRule="auto"/>
            </w:pPr>
            <w:r>
              <w:rPr>
                <w:sz w:val="20"/>
                <w:szCs w:val="20"/>
              </w:rPr>
              <w:t>3,518</w:t>
            </w:r>
          </w:p>
        </w:tc>
        <w:tc>
          <w:tcPr>
            <w:tcW w:w="2340" w:type="dxa"/>
            <w:vAlign w:val="center"/>
          </w:tcPr>
          <w:p>
            <w:pPr>
              <w:pStyle w:val="15"/>
              <w:spacing w:before="0" w:after="0" w:line="240" w:lineRule="auto"/>
            </w:pPr>
            <w:r>
              <w:rPr>
                <w:sz w:val="20"/>
                <w:szCs w:val="20"/>
              </w:rPr>
              <w:t>1,125,832 ∩ 33,786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Short (5–30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3,446</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Long (31–50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72</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 scored</w:t>
            </w:r>
          </w:p>
        </w:tc>
        <w:tc>
          <w:tcPr>
            <w:tcW w:w="2340" w:type="dxa"/>
            <w:vAlign w:val="center"/>
          </w:tcPr>
          <w:p>
            <w:pPr>
              <w:pStyle w:val="15"/>
              <w:spacing w:before="0" w:after="0" w:line="240" w:lineRule="auto"/>
            </w:pPr>
            <w:r>
              <w:rPr>
                <w:sz w:val="20"/>
                <w:szCs w:val="20"/>
              </w:rPr>
              <w:t>7–50 aa</w:t>
            </w:r>
          </w:p>
        </w:tc>
        <w:tc>
          <w:tcPr>
            <w:tcW w:w="2340" w:type="dxa"/>
            <w:vAlign w:val="center"/>
          </w:tcPr>
          <w:p>
            <w:pPr>
              <w:pStyle w:val="15"/>
              <w:spacing w:before="0" w:after="0" w:line="240" w:lineRule="auto"/>
            </w:pPr>
            <w:r>
              <w:rPr>
                <w:sz w:val="20"/>
                <w:szCs w:val="20"/>
              </w:rPr>
              <w:t>3,299</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NTxPred2-positive</w:t>
            </w:r>
          </w:p>
        </w:tc>
        <w:tc>
          <w:tcPr>
            <w:tcW w:w="2340" w:type="dxa"/>
            <w:vAlign w:val="center"/>
          </w:tcPr>
          <w:p>
            <w:pPr>
              <w:pStyle w:val="15"/>
              <w:spacing w:before="0" w:after="0" w:line="240" w:lineRule="auto"/>
            </w:pPr>
            <w:r>
              <w:rPr>
                <w:sz w:val="20"/>
                <w:szCs w:val="20"/>
              </w:rPr>
              <w:t>Model label</w:t>
            </w:r>
          </w:p>
        </w:tc>
        <w:tc>
          <w:tcPr>
            <w:tcW w:w="2340" w:type="dxa"/>
            <w:vAlign w:val="center"/>
          </w:tcPr>
          <w:p>
            <w:pPr>
              <w:pStyle w:val="15"/>
              <w:spacing w:before="0" w:after="0" w:line="240" w:lineRule="auto"/>
            </w:pPr>
            <w:r>
              <w:rPr>
                <w:sz w:val="20"/>
                <w:szCs w:val="20"/>
              </w:rPr>
              <w:t>923</w:t>
            </w:r>
          </w:p>
        </w:tc>
        <w:tc>
          <w:tcPr>
            <w:tcW w:w="2340" w:type="dxa"/>
            <w:vAlign w:val="center"/>
          </w:tcPr>
          <w:p>
            <w:pPr>
              <w:pStyle w:val="15"/>
              <w:spacing w:before="0" w:after="0" w:line="240" w:lineRule="auto"/>
            </w:pPr>
            <w:r>
              <w:rPr>
                <w:sz w:val="20"/>
                <w:szCs w:val="20"/>
              </w:rPr>
              <w:t>3,299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mebipred-positive</w:t>
            </w:r>
          </w:p>
        </w:tc>
        <w:tc>
          <w:tcPr>
            <w:tcW w:w="2340" w:type="dxa"/>
            <w:vAlign w:val="center"/>
          </w:tcPr>
          <w:p>
            <w:pPr>
              <w:pStyle w:val="15"/>
              <w:spacing w:before="0" w:after="0" w:line="240" w:lineRule="auto"/>
            </w:pPr>
            <w:r>
              <w:rPr>
                <w:sz w:val="20"/>
                <w:szCs w:val="20"/>
              </w:rPr>
              <w:t>≥0.50</w:t>
            </w:r>
          </w:p>
        </w:tc>
        <w:tc>
          <w:tcPr>
            <w:tcW w:w="2340" w:type="dxa"/>
            <w:vAlign w:val="center"/>
          </w:tcPr>
          <w:p>
            <w:pPr>
              <w:pStyle w:val="15"/>
              <w:spacing w:before="0" w:after="0" w:line="240" w:lineRule="auto"/>
            </w:pPr>
            <w:r>
              <w:rPr>
                <w:sz w:val="20"/>
                <w:szCs w:val="20"/>
              </w:rPr>
              <w:t>111</w:t>
            </w:r>
          </w:p>
        </w:tc>
        <w:tc>
          <w:tcPr>
            <w:tcW w:w="2340" w:type="dxa"/>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CHEL-priority</w:t>
            </w:r>
          </w:p>
        </w:tc>
        <w:tc>
          <w:tcPr>
            <w:tcW w:w="2340" w:type="dxa"/>
            <w:vAlign w:val="center"/>
          </w:tcPr>
          <w:p>
            <w:pPr>
              <w:pStyle w:val="15"/>
              <w:spacing w:before="0" w:after="0" w:line="240" w:lineRule="auto"/>
            </w:pPr>
            <w:r>
              <w:rPr>
                <w:sz w:val="20"/>
                <w:szCs w:val="20"/>
              </w:rPr>
              <w:t>CHEL≥0.25</w:t>
            </w:r>
          </w:p>
        </w:tc>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Main set</w:t>
            </w:r>
          </w:p>
        </w:tc>
        <w:tc>
          <w:tcPr>
            <w:tcW w:w="2340" w:type="dxa"/>
            <w:vAlign w:val="center"/>
          </w:tcPr>
          <w:p>
            <w:pPr>
              <w:pStyle w:val="15"/>
              <w:spacing w:before="0" w:after="0" w:line="240" w:lineRule="auto"/>
            </w:pPr>
            <w:r>
              <w:rPr>
                <w:sz w:val="20"/>
                <w:szCs w:val="20"/>
              </w:rPr>
              <w:t>CHEL≥0.25 and FRS&lt;0.50</w:t>
            </w:r>
          </w:p>
        </w:tc>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Stricter subset</w:t>
            </w:r>
          </w:p>
        </w:tc>
        <w:tc>
          <w:tcPr>
            <w:tcW w:w="2340" w:type="dxa"/>
            <w:vAlign w:val="center"/>
          </w:tcPr>
          <w:p>
            <w:pPr>
              <w:pStyle w:val="15"/>
              <w:spacing w:before="0" w:after="0" w:line="240" w:lineRule="auto"/>
            </w:pPr>
            <w:r>
              <w:rPr>
                <w:sz w:val="20"/>
                <w:szCs w:val="20"/>
              </w:rPr>
              <w:t>CHEL≥0.25 and FRS&lt;0.45</w:t>
            </w:r>
          </w:p>
        </w:tc>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w:t>
            </w:r>
          </w:p>
        </w:tc>
      </w:tr>
    </w:tbl>
    <w:p>
      <w:pPr>
        <w:spacing w:after="40"/>
      </w:pPr>
    </w:p>
    <w:p>
      <w:pPr>
        <w:pStyle w:val="4"/>
        <w:keepNext/>
      </w:pPr>
      <w:r>
        <w:t>Physicochemical profile of the twelve peptides</w:t>
      </w:r>
    </w:p>
    <w:p>
      <w:pPr>
        <w:pStyle w:val="7"/>
      </w:pPr>
      <w:r>
        <w:t>These descriptors characterise the twelve docking ligands. They are not a comparison of the healthy and periodontitis libraries.</w:t>
      </w:r>
    </w:p>
    <w:p>
      <w:pPr>
        <w:pStyle w:val="7"/>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6"/>
      </w:pPr>
      <w:r>
        <w:rPr>
          <w:b/>
        </w:rPr>
        <w:t>Table 5. Composition and calculated physicochemical descriptors of the twelve 7–9-aa peptides.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919"/>
        <w:gridCol w:w="919"/>
        <w:gridCol w:w="919"/>
        <w:gridCol w:w="919"/>
        <w:gridCol w:w="919"/>
        <w:gridCol w:w="919"/>
        <w:gridCol w:w="919"/>
        <w:gridCol w:w="919"/>
        <w:gridCol w:w="919"/>
        <w:gridCol w:w="919"/>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936" w:type="dxa"/>
            <w:tcBorders>
              <w:bottom w:val="single" w:color="000000" w:sz="8" w:space="0"/>
            </w:tcBorders>
            <w:vAlign w:val="center"/>
          </w:tcPr>
          <w:p>
            <w:pPr>
              <w:pStyle w:val="15"/>
              <w:spacing w:before="0" w:after="0" w:line="240" w:lineRule="auto"/>
            </w:pPr>
            <w:r>
              <w:rPr>
                <w:sz w:val="20"/>
                <w:szCs w:val="20"/>
              </w:rPr>
              <w:t>Peptide</w:t>
            </w:r>
          </w:p>
        </w:tc>
        <w:tc>
          <w:tcPr>
            <w:tcW w:w="936" w:type="dxa"/>
            <w:tcBorders>
              <w:bottom w:val="single" w:color="000000" w:sz="8" w:space="0"/>
            </w:tcBorders>
            <w:vAlign w:val="center"/>
          </w:tcPr>
          <w:p>
            <w:pPr>
              <w:pStyle w:val="15"/>
              <w:spacing w:before="0" w:after="0" w:line="240" w:lineRule="auto"/>
            </w:pPr>
            <w:r>
              <w:rPr>
                <w:sz w:val="20"/>
                <w:szCs w:val="20"/>
              </w:rPr>
              <w:t>aa</w:t>
            </w:r>
          </w:p>
        </w:tc>
        <w:tc>
          <w:tcPr>
            <w:tcW w:w="936" w:type="dxa"/>
            <w:tcBorders>
              <w:bottom w:val="single" w:color="000000" w:sz="8" w:space="0"/>
            </w:tcBorders>
            <w:vAlign w:val="center"/>
          </w:tcPr>
          <w:p>
            <w:pPr>
              <w:pStyle w:val="15"/>
              <w:spacing w:before="0" w:after="0" w:line="240" w:lineRule="auto"/>
            </w:pPr>
            <w:r>
              <w:rPr>
                <w:sz w:val="20"/>
                <w:szCs w:val="20"/>
              </w:rPr>
              <w:t>MW (Da)</w:t>
            </w:r>
          </w:p>
        </w:tc>
        <w:tc>
          <w:tcPr>
            <w:tcW w:w="936" w:type="dxa"/>
            <w:tcBorders>
              <w:bottom w:val="single" w:color="000000" w:sz="8" w:space="0"/>
            </w:tcBorders>
            <w:vAlign w:val="center"/>
          </w:tcPr>
          <w:p>
            <w:pPr>
              <w:pStyle w:val="15"/>
              <w:spacing w:before="0" w:after="0" w:line="240" w:lineRule="auto"/>
            </w:pPr>
            <w:r>
              <w:rPr>
                <w:sz w:val="20"/>
                <w:szCs w:val="20"/>
              </w:rPr>
              <w:t>pI</w:t>
            </w:r>
          </w:p>
        </w:tc>
        <w:tc>
          <w:tcPr>
            <w:tcW w:w="936" w:type="dxa"/>
            <w:tcBorders>
              <w:bottom w:val="single" w:color="000000" w:sz="8" w:space="0"/>
            </w:tcBorders>
            <w:vAlign w:val="center"/>
          </w:tcPr>
          <w:p>
            <w:pPr>
              <w:pStyle w:val="15"/>
              <w:spacing w:before="0" w:after="0" w:line="240" w:lineRule="auto"/>
            </w:pPr>
            <w:r>
              <w:rPr>
                <w:sz w:val="20"/>
                <w:szCs w:val="20"/>
              </w:rPr>
              <w:t>z (pH 7.4)</w:t>
            </w:r>
          </w:p>
        </w:tc>
        <w:tc>
          <w:tcPr>
            <w:tcW w:w="936" w:type="dxa"/>
            <w:tcBorders>
              <w:bottom w:val="single" w:color="000000" w:sz="8" w:space="0"/>
            </w:tcBorders>
            <w:vAlign w:val="center"/>
          </w:tcPr>
          <w:p>
            <w:pPr>
              <w:pStyle w:val="15"/>
              <w:spacing w:before="0" w:after="0" w:line="240" w:lineRule="auto"/>
            </w:pPr>
            <w:r>
              <w:rPr>
                <w:sz w:val="20"/>
                <w:szCs w:val="20"/>
              </w:rPr>
              <w:t>GRAVY</w:t>
            </w:r>
          </w:p>
        </w:tc>
        <w:tc>
          <w:tcPr>
            <w:tcW w:w="936" w:type="dxa"/>
            <w:tcBorders>
              <w:bottom w:val="single" w:color="000000" w:sz="8" w:space="0"/>
            </w:tcBorders>
            <w:vAlign w:val="center"/>
          </w:tcPr>
          <w:p>
            <w:pPr>
              <w:pStyle w:val="15"/>
              <w:spacing w:before="0" w:after="0" w:line="240" w:lineRule="auto"/>
            </w:pPr>
            <w:r>
              <w:rPr>
                <w:sz w:val="20"/>
                <w:szCs w:val="20"/>
              </w:rPr>
              <w:t>AI</w:t>
            </w:r>
          </w:p>
        </w:tc>
        <w:tc>
          <w:tcPr>
            <w:tcW w:w="936" w:type="dxa"/>
            <w:tcBorders>
              <w:bottom w:val="single" w:color="000000" w:sz="8" w:space="0"/>
            </w:tcBorders>
            <w:vAlign w:val="center"/>
          </w:tcPr>
          <w:p>
            <w:pPr>
              <w:pStyle w:val="15"/>
              <w:spacing w:before="0" w:after="0" w:line="240" w:lineRule="auto"/>
            </w:pPr>
            <w:r>
              <w:rPr>
                <w:sz w:val="20"/>
                <w:szCs w:val="20"/>
              </w:rPr>
              <w:t>His</w:t>
            </w:r>
          </w:p>
        </w:tc>
        <w:tc>
          <w:tcPr>
            <w:tcW w:w="936" w:type="dxa"/>
            <w:tcBorders>
              <w:bottom w:val="single" w:color="000000" w:sz="8" w:space="0"/>
            </w:tcBorders>
            <w:vAlign w:val="center"/>
          </w:tcPr>
          <w:p>
            <w:pPr>
              <w:pStyle w:val="15"/>
              <w:spacing w:before="0" w:after="0" w:line="240" w:lineRule="auto"/>
            </w:pPr>
            <w:r>
              <w:rPr>
                <w:sz w:val="20"/>
                <w:szCs w:val="20"/>
              </w:rPr>
              <w:t>Cys</w:t>
            </w:r>
          </w:p>
        </w:tc>
        <w:tc>
          <w:tcPr>
            <w:tcW w:w="936" w:type="dxa"/>
            <w:tcBorders>
              <w:bottom w:val="single" w:color="000000" w:sz="8" w:space="0"/>
            </w:tcBorders>
            <w:vAlign w:val="center"/>
          </w:tcPr>
          <w:p>
            <w:pPr>
              <w:pStyle w:val="15"/>
              <w:spacing w:before="0" w:after="0" w:line="240" w:lineRule="auto"/>
            </w:pPr>
            <w:r>
              <w:rPr>
                <w:sz w:val="20"/>
                <w:szCs w:val="20"/>
              </w:rPr>
              <w:t>R+K</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ALLLHRC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825.03</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1.14</w:t>
            </w:r>
          </w:p>
        </w:tc>
        <w:tc>
          <w:tcPr>
            <w:tcW w:w="936" w:type="dxa"/>
            <w:vAlign w:val="center"/>
          </w:tcPr>
          <w:p>
            <w:pPr>
              <w:pStyle w:val="15"/>
              <w:spacing w:before="0" w:after="0" w:line="240" w:lineRule="auto"/>
            </w:pPr>
            <w:r>
              <w:rPr>
                <w:sz w:val="20"/>
                <w:szCs w:val="20"/>
              </w:rPr>
              <w:t>181.4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FCLHLQLR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1029.26</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0.69</w:t>
            </w:r>
          </w:p>
        </w:tc>
        <w:tc>
          <w:tcPr>
            <w:tcW w:w="936" w:type="dxa"/>
            <w:vAlign w:val="center"/>
          </w:tcPr>
          <w:p>
            <w:pPr>
              <w:pStyle w:val="15"/>
              <w:spacing w:before="0" w:after="0" w:line="240" w:lineRule="auto"/>
            </w:pPr>
            <w:r>
              <w:rPr>
                <w:sz w:val="20"/>
                <w:szCs w:val="20"/>
              </w:rPr>
              <w:t>146.2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FLLHTTR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887.04</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0.19</w:t>
            </w:r>
          </w:p>
        </w:tc>
        <w:tc>
          <w:tcPr>
            <w:tcW w:w="936" w:type="dxa"/>
            <w:vAlign w:val="center"/>
          </w:tcPr>
          <w:p>
            <w:pPr>
              <w:pStyle w:val="15"/>
              <w:spacing w:before="0" w:after="0" w:line="240" w:lineRule="auto"/>
            </w:pPr>
            <w:r>
              <w:rPr>
                <w:sz w:val="20"/>
                <w:szCs w:val="20"/>
              </w:rPr>
              <w:t>111.4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HLLTLKKHV</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1088.35</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2.08</w:t>
            </w:r>
          </w:p>
        </w:tc>
        <w:tc>
          <w:tcPr>
            <w:tcW w:w="936" w:type="dxa"/>
            <w:vAlign w:val="center"/>
          </w:tcPr>
          <w:p>
            <w:pPr>
              <w:pStyle w:val="15"/>
              <w:spacing w:before="0" w:after="0" w:line="240" w:lineRule="auto"/>
            </w:pPr>
            <w:r>
              <w:rPr>
                <w:sz w:val="20"/>
                <w:szCs w:val="20"/>
              </w:rPr>
              <w:t>0.08</w:t>
            </w:r>
          </w:p>
        </w:tc>
        <w:tc>
          <w:tcPr>
            <w:tcW w:w="936" w:type="dxa"/>
            <w:vAlign w:val="center"/>
          </w:tcPr>
          <w:p>
            <w:pPr>
              <w:pStyle w:val="15"/>
              <w:spacing w:before="0" w:after="0" w:line="240" w:lineRule="auto"/>
            </w:pPr>
            <w:r>
              <w:rPr>
                <w:sz w:val="20"/>
                <w:szCs w:val="20"/>
              </w:rPr>
              <w:t>162.2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HLPLLHRCC</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1091.35</w:t>
            </w:r>
          </w:p>
        </w:tc>
        <w:tc>
          <w:tcPr>
            <w:tcW w:w="936" w:type="dxa"/>
            <w:vAlign w:val="center"/>
          </w:tcPr>
          <w:p>
            <w:pPr>
              <w:pStyle w:val="15"/>
              <w:spacing w:before="0" w:after="0" w:line="240" w:lineRule="auto"/>
            </w:pPr>
            <w:r>
              <w:rPr>
                <w:sz w:val="20"/>
                <w:szCs w:val="20"/>
              </w:rPr>
              <w:t>8.28</w:t>
            </w:r>
          </w:p>
        </w:tc>
        <w:tc>
          <w:tcPr>
            <w:tcW w:w="936" w:type="dxa"/>
            <w:vAlign w:val="center"/>
          </w:tcPr>
          <w:p>
            <w:pPr>
              <w:pStyle w:val="15"/>
              <w:spacing w:before="0" w:after="0" w:line="240" w:lineRule="auto"/>
            </w:pPr>
            <w:r>
              <w:rPr>
                <w:sz w:val="20"/>
                <w:szCs w:val="20"/>
              </w:rPr>
              <w:t>0.85</w:t>
            </w:r>
          </w:p>
        </w:tc>
        <w:tc>
          <w:tcPr>
            <w:tcW w:w="936" w:type="dxa"/>
            <w:vAlign w:val="center"/>
          </w:tcPr>
          <w:p>
            <w:pPr>
              <w:pStyle w:val="15"/>
              <w:spacing w:before="0" w:after="0" w:line="240" w:lineRule="auto"/>
            </w:pPr>
            <w:r>
              <w:rPr>
                <w:sz w:val="20"/>
                <w:szCs w:val="20"/>
              </w:rPr>
              <w:t>0.43</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HVLLLRQCA</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1052.30</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0.97</w:t>
            </w:r>
          </w:p>
        </w:tc>
        <w:tc>
          <w:tcPr>
            <w:tcW w:w="936" w:type="dxa"/>
            <w:vAlign w:val="center"/>
          </w:tcPr>
          <w:p>
            <w:pPr>
              <w:pStyle w:val="15"/>
              <w:spacing w:before="0" w:after="0" w:line="240" w:lineRule="auto"/>
            </w:pPr>
            <w:r>
              <w:rPr>
                <w:sz w:val="20"/>
                <w:szCs w:val="20"/>
              </w:rPr>
              <w:t>173.3</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LLHLPKRTT</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1078.32</w:t>
            </w:r>
          </w:p>
        </w:tc>
        <w:tc>
          <w:tcPr>
            <w:tcW w:w="936" w:type="dxa"/>
            <w:vAlign w:val="center"/>
          </w:tcPr>
          <w:p>
            <w:pPr>
              <w:pStyle w:val="15"/>
              <w:spacing w:before="0" w:after="0" w:line="240" w:lineRule="auto"/>
            </w:pPr>
            <w:r>
              <w:rPr>
                <w:sz w:val="20"/>
                <w:szCs w:val="20"/>
              </w:rPr>
              <w:t>11.54</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−0.36</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851.07</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0.66</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LLHPLRL</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861.09</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0.84</w:t>
            </w:r>
          </w:p>
        </w:tc>
        <w:tc>
          <w:tcPr>
            <w:tcW w:w="936" w:type="dxa"/>
            <w:vAlign w:val="center"/>
          </w:tcPr>
          <w:p>
            <w:pPr>
              <w:pStyle w:val="15"/>
              <w:spacing w:before="0" w:after="0" w:line="240" w:lineRule="auto"/>
            </w:pPr>
            <w:r>
              <w:rPr>
                <w:sz w:val="20"/>
                <w:szCs w:val="20"/>
              </w:rPr>
              <w:t>222.9</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WLLVHLKK</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1036.32</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0.46</w:t>
            </w:r>
          </w:p>
        </w:tc>
        <w:tc>
          <w:tcPr>
            <w:tcW w:w="936" w:type="dxa"/>
            <w:vAlign w:val="center"/>
          </w:tcPr>
          <w:p>
            <w:pPr>
              <w:pStyle w:val="15"/>
              <w:spacing w:before="0" w:after="0" w:line="240" w:lineRule="auto"/>
            </w:pPr>
            <w:r>
              <w:rPr>
                <w:sz w:val="20"/>
                <w:szCs w:val="20"/>
              </w:rPr>
              <w:t>182.5</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YHHLLCRR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1097.30</w:t>
            </w:r>
          </w:p>
        </w:tc>
        <w:tc>
          <w:tcPr>
            <w:tcW w:w="936" w:type="dxa"/>
            <w:vAlign w:val="center"/>
          </w:tcPr>
          <w:p>
            <w:pPr>
              <w:pStyle w:val="15"/>
              <w:spacing w:before="0" w:after="0" w:line="240" w:lineRule="auto"/>
            </w:pPr>
            <w:r>
              <w:rPr>
                <w:sz w:val="20"/>
                <w:szCs w:val="20"/>
              </w:rPr>
              <w:t>9.91</w:t>
            </w:r>
          </w:p>
        </w:tc>
        <w:tc>
          <w:tcPr>
            <w:tcW w:w="936" w:type="dxa"/>
            <w:vAlign w:val="center"/>
          </w:tcPr>
          <w:p>
            <w:pPr>
              <w:pStyle w:val="15"/>
              <w:spacing w:before="0" w:after="0" w:line="240" w:lineRule="auto"/>
            </w:pPr>
            <w:r>
              <w:rPr>
                <w:sz w:val="20"/>
                <w:szCs w:val="20"/>
              </w:rPr>
              <w:t>1.96</w:t>
            </w:r>
          </w:p>
        </w:tc>
        <w:tc>
          <w:tcPr>
            <w:tcW w:w="936" w:type="dxa"/>
            <w:vAlign w:val="center"/>
          </w:tcPr>
          <w:p>
            <w:pPr>
              <w:pStyle w:val="15"/>
              <w:spacing w:before="0" w:after="0" w:line="240" w:lineRule="auto"/>
            </w:pPr>
            <w:r>
              <w:rPr>
                <w:sz w:val="20"/>
                <w:szCs w:val="20"/>
              </w:rPr>
              <w:t>−0.95</w:t>
            </w:r>
          </w:p>
        </w:tc>
        <w:tc>
          <w:tcPr>
            <w:tcW w:w="936" w:type="dxa"/>
            <w:vAlign w:val="center"/>
          </w:tcPr>
          <w:p>
            <w:pPr>
              <w:pStyle w:val="15"/>
              <w:spacing w:before="0" w:after="0" w:line="240" w:lineRule="auto"/>
            </w:pPr>
            <w:r>
              <w:rPr>
                <w:sz w:val="20"/>
                <w:szCs w:val="20"/>
              </w:rPr>
              <w:t>97.5</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YLSLLQR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892.06</w:t>
            </w:r>
          </w:p>
        </w:tc>
        <w:tc>
          <w:tcPr>
            <w:tcW w:w="936" w:type="dxa"/>
            <w:vAlign w:val="center"/>
          </w:tcPr>
          <w:p>
            <w:pPr>
              <w:pStyle w:val="15"/>
              <w:spacing w:before="0" w:after="0" w:line="240" w:lineRule="auto"/>
            </w:pPr>
            <w:r>
              <w:rPr>
                <w:sz w:val="20"/>
                <w:szCs w:val="20"/>
              </w:rPr>
              <w:t>9.89</w:t>
            </w:r>
          </w:p>
        </w:tc>
        <w:tc>
          <w:tcPr>
            <w:tcW w:w="936" w:type="dxa"/>
            <w:vAlign w:val="center"/>
          </w:tcPr>
          <w:p>
            <w:pPr>
              <w:pStyle w:val="15"/>
              <w:spacing w:before="0" w:after="0" w:line="240" w:lineRule="auto"/>
            </w:pPr>
            <w:r>
              <w:rPr>
                <w:sz w:val="20"/>
                <w:szCs w:val="20"/>
              </w:rPr>
              <w:t>0.99</w:t>
            </w:r>
          </w:p>
        </w:tc>
        <w:tc>
          <w:tcPr>
            <w:tcW w:w="936" w:type="dxa"/>
            <w:vAlign w:val="center"/>
          </w:tcPr>
          <w:p>
            <w:pPr>
              <w:pStyle w:val="15"/>
              <w:spacing w:before="0" w:after="0" w:line="240" w:lineRule="auto"/>
            </w:pPr>
            <w:r>
              <w:rPr>
                <w:sz w:val="20"/>
                <w:szCs w:val="20"/>
              </w:rPr>
              <w:t>0.04</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bl>
    <w:p>
      <w:pPr>
        <w:spacing w:after="40"/>
      </w:pPr>
    </w:p>
    <w:p>
      <w:pPr>
        <w:pStyle w:val="4"/>
        <w:keepNext/>
      </w:pPr>
      <w:r>
        <w:t>Docking to human AChE</w:t>
      </w:r>
    </w:p>
    <w:p>
      <w:pPr>
        <w:pStyle w:val="7"/>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6"/>
      </w:pPr>
      <w:r>
        <w:rPr>
          <w:b/>
        </w:rPr>
        <w:t>Table 6. Three-run AutoDock Vina scores against human AChE (PDB 4EY6).</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531"/>
        <w:gridCol w:w="1531"/>
        <w:gridCol w:w="1531"/>
        <w:gridCol w:w="1531"/>
        <w:gridCol w:w="1531"/>
        <w:gridCol w:w="1531"/>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560" w:type="dxa"/>
            <w:tcBorders>
              <w:bottom w:val="single" w:color="000000" w:sz="8" w:space="0"/>
            </w:tcBorders>
            <w:vAlign w:val="center"/>
          </w:tcPr>
          <w:p>
            <w:pPr>
              <w:pStyle w:val="15"/>
              <w:spacing w:before="0" w:after="0" w:line="240" w:lineRule="auto"/>
            </w:pPr>
            <w:r>
              <w:rPr>
                <w:sz w:val="20"/>
                <w:szCs w:val="20"/>
              </w:rPr>
              <w:t>Peptide</w:t>
            </w:r>
          </w:p>
        </w:tc>
        <w:tc>
          <w:tcPr>
            <w:tcW w:w="1560" w:type="dxa"/>
            <w:tcBorders>
              <w:bottom w:val="single" w:color="000000" w:sz="8" w:space="0"/>
            </w:tcBorders>
            <w:vAlign w:val="center"/>
          </w:tcPr>
          <w:p>
            <w:pPr>
              <w:pStyle w:val="15"/>
              <w:spacing w:before="0" w:after="0" w:line="240" w:lineRule="auto"/>
            </w:pPr>
            <w:r>
              <w:rPr>
                <w:sz w:val="20"/>
                <w:szCs w:val="20"/>
              </w:rPr>
              <w:t>H-bonds</w:t>
            </w:r>
          </w:p>
        </w:tc>
        <w:tc>
          <w:tcPr>
            <w:tcW w:w="1560" w:type="dxa"/>
            <w:tcBorders>
              <w:bottom w:val="single" w:color="000000" w:sz="8" w:space="0"/>
            </w:tcBorders>
            <w:vAlign w:val="center"/>
          </w:tcPr>
          <w:p>
            <w:pPr>
              <w:pStyle w:val="15"/>
              <w:spacing w:before="0" w:after="0" w:line="240" w:lineRule="auto"/>
            </w:pPr>
            <w:r>
              <w:rPr>
                <w:sz w:val="20"/>
                <w:szCs w:val="20"/>
              </w:rPr>
              <w:t>Best</w:t>
            </w:r>
          </w:p>
        </w:tc>
        <w:tc>
          <w:tcPr>
            <w:tcW w:w="1560" w:type="dxa"/>
            <w:tcBorders>
              <w:bottom w:val="single" w:color="000000" w:sz="8" w:space="0"/>
            </w:tcBorders>
            <w:vAlign w:val="center"/>
          </w:tcPr>
          <w:p>
            <w:pPr>
              <w:pStyle w:val="15"/>
              <w:spacing w:before="0" w:after="0" w:line="240" w:lineRule="auto"/>
            </w:pPr>
            <w:r>
              <w:rPr>
                <w:sz w:val="20"/>
                <w:szCs w:val="20"/>
              </w:rPr>
              <w:t>Mean ± SD (n=3)</w:t>
            </w:r>
          </w:p>
        </w:tc>
        <w:tc>
          <w:tcPr>
            <w:tcW w:w="1560" w:type="dxa"/>
            <w:tcBorders>
              <w:bottom w:val="single" w:color="000000" w:sz="8" w:space="0"/>
            </w:tcBorders>
            <w:vAlign w:val="center"/>
          </w:tcPr>
          <w:p>
            <w:pPr>
              <w:pStyle w:val="15"/>
              <w:spacing w:before="0" w:after="0" w:line="240" w:lineRule="auto"/>
            </w:pPr>
            <w:r>
              <w:rPr>
                <w:sz w:val="20"/>
                <w:szCs w:val="20"/>
              </w:rPr>
              <w:t>PAS</w:t>
            </w:r>
          </w:p>
        </w:tc>
        <w:tc>
          <w:tcPr>
            <w:tcW w:w="1560" w:type="dxa"/>
            <w:tcBorders>
              <w:bottom w:val="single" w:color="000000" w:sz="8" w:space="0"/>
            </w:tcBorders>
            <w:vAlign w:val="center"/>
          </w:tcPr>
          <w:p>
            <w:pPr>
              <w:pStyle w:val="15"/>
              <w:spacing w:before="0" w:after="0" w:line="240" w:lineRule="auto"/>
            </w:pPr>
            <w:r>
              <w:rPr>
                <w:sz w:val="20"/>
                <w:szCs w:val="20"/>
              </w:rPr>
              <w:t>Principal contacts</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ALLLHRC</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−9.29</w:t>
            </w:r>
          </w:p>
        </w:tc>
        <w:tc>
          <w:tcPr>
            <w:tcW w:w="1560" w:type="dxa"/>
            <w:vAlign w:val="center"/>
          </w:tcPr>
          <w:p>
            <w:pPr>
              <w:pStyle w:val="15"/>
              <w:spacing w:before="0" w:after="0" w:line="240" w:lineRule="auto"/>
            </w:pPr>
            <w:r>
              <w:rPr>
                <w:sz w:val="20"/>
                <w:szCs w:val="20"/>
              </w:rPr>
              <w:t>−9.18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Ser203, Tyr124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FCLHLQLR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−9.27</w:t>
            </w:r>
          </w:p>
        </w:tc>
        <w:tc>
          <w:tcPr>
            <w:tcW w:w="1560" w:type="dxa"/>
            <w:vAlign w:val="center"/>
          </w:tcPr>
          <w:p>
            <w:pPr>
              <w:pStyle w:val="15"/>
              <w:spacing w:before="0" w:after="0" w:line="240" w:lineRule="auto"/>
            </w:pPr>
            <w:r>
              <w:rPr>
                <w:sz w:val="20"/>
                <w:szCs w:val="20"/>
              </w:rPr>
              <w:t>−8.96 ± 0.48</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Ser203, Thr75, Tyr341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FLLHTTR</w:t>
            </w:r>
          </w:p>
        </w:tc>
        <w:tc>
          <w:tcPr>
            <w:tcW w:w="1560" w:type="dxa"/>
            <w:vAlign w:val="center"/>
          </w:tcPr>
          <w:p>
            <w:pPr>
              <w:pStyle w:val="15"/>
              <w:spacing w:before="0" w:after="0" w:line="240" w:lineRule="auto"/>
            </w:pPr>
            <w:r>
              <w:rPr>
                <w:sz w:val="20"/>
                <w:szCs w:val="20"/>
              </w:rPr>
              <w:t>8</w:t>
            </w:r>
          </w:p>
        </w:tc>
        <w:tc>
          <w:tcPr>
            <w:tcW w:w="1560" w:type="dxa"/>
            <w:vAlign w:val="center"/>
          </w:tcPr>
          <w:p>
            <w:pPr>
              <w:pStyle w:val="15"/>
              <w:spacing w:before="0" w:after="0" w:line="240" w:lineRule="auto"/>
            </w:pPr>
            <w:r>
              <w:rPr>
                <w:sz w:val="20"/>
                <w:szCs w:val="20"/>
              </w:rPr>
              <w:t>−9.60</w:t>
            </w:r>
          </w:p>
        </w:tc>
        <w:tc>
          <w:tcPr>
            <w:tcW w:w="1560" w:type="dxa"/>
            <w:vAlign w:val="center"/>
          </w:tcPr>
          <w:p>
            <w:pPr>
              <w:pStyle w:val="15"/>
              <w:spacing w:before="0" w:after="0" w:line="240" w:lineRule="auto"/>
            </w:pPr>
            <w:r>
              <w:rPr>
                <w:sz w:val="20"/>
                <w:szCs w:val="20"/>
              </w:rPr>
              <w:t>−8.77 ± 1.41</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Asp74, Tyr72, His287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HLLTLKKHV</w:t>
            </w:r>
          </w:p>
        </w:tc>
        <w:tc>
          <w:tcPr>
            <w:tcW w:w="1560" w:type="dxa"/>
            <w:vAlign w:val="center"/>
          </w:tcPr>
          <w:p>
            <w:pPr>
              <w:pStyle w:val="15"/>
              <w:spacing w:before="0" w:after="0" w:line="240" w:lineRule="auto"/>
            </w:pPr>
            <w:r>
              <w:rPr>
                <w:sz w:val="20"/>
                <w:szCs w:val="20"/>
              </w:rPr>
              <w:t>6</w:t>
            </w:r>
          </w:p>
        </w:tc>
        <w:tc>
          <w:tcPr>
            <w:tcW w:w="1560" w:type="dxa"/>
            <w:vAlign w:val="center"/>
          </w:tcPr>
          <w:p>
            <w:pPr>
              <w:pStyle w:val="15"/>
              <w:spacing w:before="0" w:after="0" w:line="240" w:lineRule="auto"/>
            </w:pPr>
            <w:r>
              <w:rPr>
                <w:sz w:val="20"/>
                <w:szCs w:val="20"/>
              </w:rPr>
              <w:t>−8.88</w:t>
            </w:r>
          </w:p>
        </w:tc>
        <w:tc>
          <w:tcPr>
            <w:tcW w:w="1560" w:type="dxa"/>
            <w:vAlign w:val="center"/>
          </w:tcPr>
          <w:p>
            <w:pPr>
              <w:pStyle w:val="15"/>
              <w:spacing w:before="0" w:after="0" w:line="240" w:lineRule="auto"/>
            </w:pPr>
            <w:r>
              <w:rPr>
                <w:sz w:val="20"/>
                <w:szCs w:val="20"/>
              </w:rPr>
              <w:t>−8.69 ± 0.20</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Phe346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HLPLLHRCC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−8.35</w:t>
            </w:r>
          </w:p>
        </w:tc>
        <w:tc>
          <w:tcPr>
            <w:tcW w:w="1560" w:type="dxa"/>
            <w:vAlign w:val="center"/>
          </w:tcPr>
          <w:p>
            <w:pPr>
              <w:pStyle w:val="15"/>
              <w:spacing w:before="0" w:after="0" w:line="240" w:lineRule="auto"/>
            </w:pPr>
            <w:r>
              <w:rPr>
                <w:sz w:val="20"/>
                <w:szCs w:val="20"/>
              </w:rPr>
              <w:t>−8.28 ± 0.07</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Tyr124, Tyr337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HVLLLRQCA</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−8.25</w:t>
            </w:r>
          </w:p>
        </w:tc>
        <w:tc>
          <w:tcPr>
            <w:tcW w:w="1560" w:type="dxa"/>
            <w:vAlign w:val="center"/>
          </w:tcPr>
          <w:p>
            <w:pPr>
              <w:pStyle w:val="15"/>
              <w:spacing w:before="0" w:after="0" w:line="240" w:lineRule="auto"/>
            </w:pPr>
            <w:r>
              <w:rPr>
                <w:sz w:val="20"/>
                <w:szCs w:val="20"/>
              </w:rPr>
              <w:t>−8.07 ± 0.16</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Thr75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LLHLPKRTT</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−9.01</w:t>
            </w:r>
          </w:p>
        </w:tc>
        <w:tc>
          <w:tcPr>
            <w:tcW w:w="1560" w:type="dxa"/>
            <w:vAlign w:val="center"/>
          </w:tcPr>
          <w:p>
            <w:pPr>
              <w:pStyle w:val="15"/>
              <w:spacing w:before="0" w:after="0" w:line="240" w:lineRule="auto"/>
            </w:pPr>
            <w:r>
              <w:rPr>
                <w:sz w:val="20"/>
                <w:szCs w:val="20"/>
              </w:rPr>
              <w:t>−8.89 ± 0.16</w:t>
            </w:r>
          </w:p>
        </w:tc>
        <w:tc>
          <w:tcPr>
            <w:tcW w:w="1560" w:type="dxa"/>
            <w:vAlign w:val="center"/>
          </w:tcPr>
          <w:p>
            <w:pPr>
              <w:pStyle w:val="15"/>
              <w:spacing w:before="0" w:after="0" w:line="240" w:lineRule="auto"/>
            </w:pPr>
            <w:r>
              <w:rPr>
                <w:sz w:val="20"/>
                <w:szCs w:val="20"/>
              </w:rPr>
              <w:t>Adjacent</w:t>
            </w:r>
          </w:p>
        </w:tc>
        <w:tc>
          <w:tcPr>
            <w:tcW w:w="1560" w:type="dxa"/>
            <w:vAlign w:val="center"/>
          </w:tcPr>
          <w:p>
            <w:pPr>
              <w:pStyle w:val="15"/>
              <w:spacing w:before="0" w:after="0" w:line="240" w:lineRule="auto"/>
            </w:pPr>
            <w:r>
              <w:rPr>
                <w:sz w:val="20"/>
                <w:szCs w:val="20"/>
              </w:rPr>
              <w:t>Ser203, Val340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−8.91</w:t>
            </w:r>
          </w:p>
        </w:tc>
        <w:tc>
          <w:tcPr>
            <w:tcW w:w="1560" w:type="dxa"/>
            <w:vAlign w:val="center"/>
          </w:tcPr>
          <w:p>
            <w:pPr>
              <w:pStyle w:val="15"/>
              <w:spacing w:before="0" w:after="0" w:line="240" w:lineRule="auto"/>
            </w:pPr>
            <w:r>
              <w:rPr>
                <w:sz w:val="20"/>
                <w:szCs w:val="20"/>
              </w:rPr>
              <w:t>−8.78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LLHPLRL</w:t>
            </w:r>
          </w:p>
        </w:tc>
        <w:tc>
          <w:tcPr>
            <w:tcW w:w="1560" w:type="dxa"/>
            <w:vAlign w:val="center"/>
          </w:tcPr>
          <w:p>
            <w:pPr>
              <w:pStyle w:val="15"/>
              <w:spacing w:before="0" w:after="0" w:line="240" w:lineRule="auto"/>
            </w:pPr>
            <w:r>
              <w:rPr>
                <w:sz w:val="20"/>
                <w:szCs w:val="20"/>
              </w:rPr>
              <w:t>10</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−8.91 ± 0.05</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Trp286, Tyr341, His447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WLLVHLKK</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−8.64 ± 0.26</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Asn283, Gln279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YHHLLCRR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−9.03</w:t>
            </w:r>
          </w:p>
        </w:tc>
        <w:tc>
          <w:tcPr>
            <w:tcW w:w="1560" w:type="dxa"/>
            <w:vAlign w:val="center"/>
          </w:tcPr>
          <w:p>
            <w:pPr>
              <w:pStyle w:val="15"/>
              <w:spacing w:before="0" w:after="0" w:line="240" w:lineRule="auto"/>
            </w:pPr>
            <w:r>
              <w:rPr>
                <w:sz w:val="20"/>
                <w:szCs w:val="20"/>
              </w:rPr>
              <w:t>−8.62 ± 0.43</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Trp86, Ser203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YLSLLQR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−9.49</w:t>
            </w:r>
          </w:p>
        </w:tc>
        <w:tc>
          <w:tcPr>
            <w:tcW w:w="1560" w:type="dxa"/>
            <w:vAlign w:val="center"/>
          </w:tcPr>
          <w:p>
            <w:pPr>
              <w:pStyle w:val="15"/>
              <w:spacing w:before="0" w:after="0" w:line="240" w:lineRule="auto"/>
            </w:pPr>
            <w:r>
              <w:rPr>
                <w:sz w:val="20"/>
                <w:szCs w:val="20"/>
              </w:rPr>
              <w:t>−9.44 ± 0.09</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Thr75, Glu202</w:t>
            </w:r>
          </w:p>
        </w:tc>
      </w:tr>
    </w:tbl>
    <w:p>
      <w:pPr>
        <w:spacing w:after="40"/>
      </w:pPr>
    </w:p>
    <w:p>
      <w:pPr>
        <w:pStyle w:val="12"/>
        <w:keepNext/>
        <w:jc w:val="center"/>
      </w:pPr>
      <w:r>
        <w:drawing>
          <wp:inline distT="0" distB="0" distL="0" distR="0">
            <wp:extent cx="6149975" cy="3253105"/>
            <wp:effectExtent l="0" t="0" r="0" b="0"/>
            <wp:docPr id="2" name="Figure 2" descr="Figure 2. Local AutoDock Vina scores of twelve candidate micropept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Figure 2. Local AutoDock Vina scores of twelve candidate micropeptides."/>
                    <pic:cNvPicPr>
                      <a:picLocks noChangeAspect="1"/>
                    </pic:cNvPicPr>
                  </pic:nvPicPr>
                  <pic:blipFill>
                    <a:blip r:embed="rId7"/>
                    <a:stretch>
                      <a:fillRect/>
                    </a:stretch>
                  </pic:blipFill>
                  <pic:spPr>
                    <a:xfrm>
                      <a:off x="0" y="0"/>
                      <a:ext cx="6150000" cy="3253339"/>
                    </a:xfrm>
                    <a:prstGeom prst="rect">
                      <a:avLst/>
                    </a:prstGeom>
                  </pic:spPr>
                </pic:pic>
              </a:graphicData>
            </a:graphic>
          </wp:inline>
        </w:drawing>
      </w:r>
    </w:p>
    <w:p>
      <w:pPr>
        <w:pStyle w:val="6"/>
      </w:pPr>
      <w:r>
        <w:rPr>
          <w:b/>
        </w:rPr>
        <w:t>Figure 2. Three-run Vina scores against human AChE (PDB 4EY6).</w:t>
      </w:r>
      <w:r>
        <w:t xml:space="preserve"> Blue circles, mean; whiskers, SD; orange diamonds, best run. Order follows best-run rank.</w:t>
      </w:r>
    </w:p>
    <w:p>
      <w:pPr>
        <w:pStyle w:val="12"/>
        <w:keepNext/>
        <w:jc w:val="center"/>
      </w:pPr>
      <w:r>
        <w:drawing>
          <wp:inline distT="0" distB="0" distL="0" distR="0">
            <wp:extent cx="6149975" cy="5206365"/>
            <wp:effectExtent l="0" t="0" r="0" b="0"/>
            <wp:docPr id="3" name="Figure 3" descr="Figure 3. Best poses of ALLLHRC, FCLHLQLR, FLLHTTR, HLLTLKKHV, HLPLLHRCC and HVLLLRQ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Figure 3. Best poses of ALLLHRC, FCLHLQLR, FLLHTTR, HLLTLKKHV, HLPLLHRCC and HVLLLRQCA."/>
                    <pic:cNvPicPr>
                      <a:picLocks noChangeAspect="1"/>
                    </pic:cNvPicPr>
                  </pic:nvPicPr>
                  <pic:blipFill>
                    <a:blip r:embed="rId8"/>
                    <a:stretch>
                      <a:fillRect/>
                    </a:stretch>
                  </pic:blipFill>
                  <pic:spPr>
                    <a:xfrm>
                      <a:off x="0" y="0"/>
                      <a:ext cx="6150000" cy="5206601"/>
                    </a:xfrm>
                    <a:prstGeom prst="rect">
                      <a:avLst/>
                    </a:prstGeom>
                  </pic:spPr>
                </pic:pic>
              </a:graphicData>
            </a:graphic>
          </wp:inline>
        </w:drawing>
      </w:r>
    </w:p>
    <w:p>
      <w:pPr>
        <w:pStyle w:val="6"/>
      </w:pPr>
      <w:r>
        <w:rPr>
          <w:b/>
        </w:rPr>
        <w:t>Figure 3. Best docking poses, peptides 1–6 (A–F).</w:t>
      </w:r>
      <w:r>
        <w:t xml:space="preserve"> Peptide, orange; contacting residues, cyan. FLLHTTR (C) is the densest PAS pose.</w:t>
      </w:r>
    </w:p>
    <w:p>
      <w:pPr>
        <w:pStyle w:val="12"/>
        <w:keepNext/>
        <w:jc w:val="center"/>
      </w:pPr>
      <w:r>
        <w:drawing>
          <wp:inline distT="0" distB="0" distL="0" distR="0">
            <wp:extent cx="6149975" cy="5206365"/>
            <wp:effectExtent l="0" t="0" r="0" b="0"/>
            <wp:docPr id="4" name="Figure 4" descr="Figure 4. Best poses of LLHLPKRTT, LLHPLRC, LLHPLRL, WLLVHLKK, YHHLLCRR and YLSLL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Figure 4. Best poses of LLHLPKRTT, LLHPLRC, LLHPLRL, WLLVHLKK, YHHLLCRR and YLSLLQR."/>
                    <pic:cNvPicPr>
                      <a:picLocks noChangeAspect="1"/>
                    </pic:cNvPicPr>
                  </pic:nvPicPr>
                  <pic:blipFill>
                    <a:blip r:embed="rId9"/>
                    <a:stretch>
                      <a:fillRect/>
                    </a:stretch>
                  </pic:blipFill>
                  <pic:spPr>
                    <a:xfrm>
                      <a:off x="0" y="0"/>
                      <a:ext cx="6150000" cy="5206601"/>
                    </a:xfrm>
                    <a:prstGeom prst="rect">
                      <a:avLst/>
                    </a:prstGeom>
                  </pic:spPr>
                </pic:pic>
              </a:graphicData>
            </a:graphic>
          </wp:inline>
        </w:drawing>
      </w:r>
    </w:p>
    <w:p>
      <w:pPr>
        <w:pStyle w:val="6"/>
      </w:pPr>
      <w:r>
        <w:rPr>
          <w:b/>
        </w:rPr>
        <w:t>Figure 4. Best docking poses, peptides 7–12 (G–L).</w:t>
      </w:r>
      <w:r>
        <w:t xml:space="preserve"> LLHPLRL (I) spans PAS Trp286/Tyr341 to catalytic His447. YLSLLQR (L) bridges PAS and the gorge mouth.</w:t>
      </w:r>
    </w:p>
    <w:p>
      <w:pPr>
        <w:pStyle w:val="7"/>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4"/>
        <w:keepNext/>
      </w:pPr>
      <w:r>
        <w:t>100-ns dynamics of apo AChE and three complexes</w:t>
      </w:r>
    </w:p>
    <w:p>
      <w:pPr>
        <w:pStyle w:val="7"/>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12"/>
        <w:keepNext/>
        <w:jc w:val="center"/>
      </w:pPr>
      <w:r>
        <w:drawing>
          <wp:inline distT="0" distB="0" distL="0" distR="0">
            <wp:extent cx="6149975" cy="3469640"/>
            <wp:effectExtent l="0" t="0" r="0" b="0"/>
            <wp:docPr id="5" name="Figure 5" descr="Figure 5. Apo AChE versus AChE–ALLLHRC,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Figure 5. Apo AChE versus AChE–ALLLHRC, 100 ns."/>
                    <pic:cNvPicPr>
                      <a:picLocks noChangeAspect="1"/>
                    </pic:cNvPicPr>
                  </pic:nvPicPr>
                  <pic:blipFill>
                    <a:blip r:embed="rId10"/>
                    <a:stretch>
                      <a:fillRect/>
                    </a:stretch>
                  </pic:blipFill>
                  <pic:spPr>
                    <a:xfrm>
                      <a:off x="0" y="0"/>
                      <a:ext cx="6150000" cy="3470162"/>
                    </a:xfrm>
                    <a:prstGeom prst="rect">
                      <a:avLst/>
                    </a:prstGeom>
                  </pic:spPr>
                </pic:pic>
              </a:graphicData>
            </a:graphic>
          </wp:inline>
        </w:drawing>
      </w:r>
    </w:p>
    <w:p>
      <w:pPr>
        <w:pStyle w:val="6"/>
      </w:pPr>
      <w:r>
        <w:rPr>
          <w:b/>
        </w:rPr>
        <w:t>Figure 5. Apo AChE versus AChE–ALLLHRC.</w:t>
      </w:r>
      <w:r>
        <w:t xml:space="preserve"> Panels A–F match Table 7. Complex RMSD (A) tracks apo; hydrogen bonds (F) fall from early occupancy to about two in the last 20 ns.</w:t>
      </w:r>
    </w:p>
    <w:p>
      <w:pPr>
        <w:pStyle w:val="12"/>
        <w:keepNext/>
        <w:jc w:val="center"/>
      </w:pPr>
      <w:r>
        <w:drawing>
          <wp:inline distT="0" distB="0" distL="0" distR="0">
            <wp:extent cx="6149975" cy="3469640"/>
            <wp:effectExtent l="0" t="0" r="0" b="0"/>
            <wp:docPr id="6" name="Figure 6" descr="Figure 6. Apo AChE versus AChE–FLLHTT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descr="Figure 6. Apo AChE versus AChE–FLLHTTR, 100 ns."/>
                    <pic:cNvPicPr>
                      <a:picLocks noChangeAspect="1"/>
                    </pic:cNvPicPr>
                  </pic:nvPicPr>
                  <pic:blipFill>
                    <a:blip r:embed="rId11"/>
                    <a:stretch>
                      <a:fillRect/>
                    </a:stretch>
                  </pic:blipFill>
                  <pic:spPr>
                    <a:xfrm>
                      <a:off x="0" y="0"/>
                      <a:ext cx="6150000" cy="3470162"/>
                    </a:xfrm>
                    <a:prstGeom prst="rect">
                      <a:avLst/>
                    </a:prstGeom>
                  </pic:spPr>
                </pic:pic>
              </a:graphicData>
            </a:graphic>
          </wp:inline>
        </w:drawing>
      </w:r>
    </w:p>
    <w:p>
      <w:pPr>
        <w:pStyle w:val="6"/>
      </w:pPr>
      <w:r>
        <w:rPr>
          <w:b/>
        </w:rPr>
        <w:t>Figure 6. Apo AChE versus AChE–FLLHTTR.</w:t>
      </w:r>
      <w:r>
        <w:t xml:space="preserve"> After ~50 ns, complex RMSD (A) lies below apo. Hydrogen-bond counts (F) stay in the 6–10 range for the full 100 ns.</w:t>
      </w:r>
    </w:p>
    <w:p>
      <w:pPr>
        <w:pStyle w:val="12"/>
        <w:keepNext/>
        <w:jc w:val="center"/>
      </w:pPr>
      <w:r>
        <w:drawing>
          <wp:inline distT="0" distB="0" distL="0" distR="0">
            <wp:extent cx="6149975" cy="3469640"/>
            <wp:effectExtent l="0" t="0" r="0" b="0"/>
            <wp:docPr id="7" name="Figure 7" descr="Figure 7. Apo AChE versus AChE–YLSLLQ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descr="Figure 7. Apo AChE versus AChE–YLSLLQR, 100 ns."/>
                    <pic:cNvPicPr>
                      <a:picLocks noChangeAspect="1"/>
                    </pic:cNvPicPr>
                  </pic:nvPicPr>
                  <pic:blipFill>
                    <a:blip r:embed="rId12"/>
                    <a:stretch>
                      <a:fillRect/>
                    </a:stretch>
                  </pic:blipFill>
                  <pic:spPr>
                    <a:xfrm>
                      <a:off x="0" y="0"/>
                      <a:ext cx="6150000" cy="3470162"/>
                    </a:xfrm>
                    <a:prstGeom prst="rect">
                      <a:avLst/>
                    </a:prstGeom>
                  </pic:spPr>
                </pic:pic>
              </a:graphicData>
            </a:graphic>
          </wp:inline>
        </w:drawing>
      </w:r>
    </w:p>
    <w:p>
      <w:pPr>
        <w:pStyle w:val="6"/>
      </w:pPr>
      <w:r>
        <w:rPr>
          <w:b/>
        </w:rPr>
        <w:t>Figure 7. Apo AChE versus AChE–YLSLLQR.</w:t>
      </w:r>
      <w:r>
        <w:t xml:space="preserve"> Late RMSD (A) is below apo. SASA (C) is the only complex that contracts relative to apo.</w:t>
      </w:r>
    </w:p>
    <w:p>
      <w:pPr>
        <w:pStyle w:val="6"/>
      </w:pPr>
      <w:r>
        <w:rPr>
          <w:b/>
        </w:rPr>
        <w:t>Table 7. Last-20-ns metrics (mean ± SD) for apo AChE and three complexes.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837"/>
        <w:gridCol w:w="1837"/>
        <w:gridCol w:w="1837"/>
        <w:gridCol w:w="1837"/>
        <w:gridCol w:w="183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872" w:type="dxa"/>
            <w:tcBorders>
              <w:bottom w:val="single" w:color="000000" w:sz="8" w:space="0"/>
            </w:tcBorders>
            <w:vAlign w:val="center"/>
          </w:tcPr>
          <w:p>
            <w:pPr>
              <w:pStyle w:val="15"/>
              <w:spacing w:before="0" w:after="0" w:line="240" w:lineRule="auto"/>
            </w:pPr>
            <w:r>
              <w:rPr>
                <w:sz w:val="20"/>
                <w:szCs w:val="20"/>
              </w:rPr>
              <w:t>Metric</w:t>
            </w:r>
          </w:p>
        </w:tc>
        <w:tc>
          <w:tcPr>
            <w:tcW w:w="1872" w:type="dxa"/>
            <w:tcBorders>
              <w:bottom w:val="single" w:color="000000" w:sz="8" w:space="0"/>
            </w:tcBorders>
            <w:vAlign w:val="center"/>
          </w:tcPr>
          <w:p>
            <w:pPr>
              <w:pStyle w:val="15"/>
              <w:spacing w:before="0" w:after="0" w:line="240" w:lineRule="auto"/>
            </w:pPr>
            <w:r>
              <w:rPr>
                <w:sz w:val="20"/>
                <w:szCs w:val="20"/>
              </w:rPr>
              <w:t>apo AChE</w:t>
            </w:r>
          </w:p>
        </w:tc>
        <w:tc>
          <w:tcPr>
            <w:tcW w:w="1872" w:type="dxa"/>
            <w:tcBorders>
              <w:bottom w:val="single" w:color="000000" w:sz="8" w:space="0"/>
            </w:tcBorders>
            <w:vAlign w:val="center"/>
          </w:tcPr>
          <w:p>
            <w:pPr>
              <w:pStyle w:val="15"/>
              <w:spacing w:before="0" w:after="0" w:line="240" w:lineRule="auto"/>
            </w:pPr>
            <w:r>
              <w:rPr>
                <w:sz w:val="20"/>
                <w:szCs w:val="20"/>
              </w:rPr>
              <w:t>ALLLHRC</w:t>
            </w:r>
          </w:p>
        </w:tc>
        <w:tc>
          <w:tcPr>
            <w:tcW w:w="1872" w:type="dxa"/>
            <w:tcBorders>
              <w:bottom w:val="single" w:color="000000" w:sz="8" w:space="0"/>
            </w:tcBorders>
            <w:vAlign w:val="center"/>
          </w:tcPr>
          <w:p>
            <w:pPr>
              <w:pStyle w:val="15"/>
              <w:spacing w:before="0" w:after="0" w:line="240" w:lineRule="auto"/>
            </w:pPr>
            <w:r>
              <w:rPr>
                <w:sz w:val="20"/>
                <w:szCs w:val="20"/>
              </w:rPr>
              <w:t>FLLHTTR</w:t>
            </w:r>
          </w:p>
        </w:tc>
        <w:tc>
          <w:tcPr>
            <w:tcW w:w="1872" w:type="dxa"/>
            <w:tcBorders>
              <w:bottom w:val="single" w:color="000000" w:sz="8" w:space="0"/>
            </w:tcBorders>
            <w:vAlign w:val="center"/>
          </w:tcPr>
          <w:p>
            <w:pPr>
              <w:pStyle w:val="15"/>
              <w:spacing w:before="0" w:after="0" w:line="240" w:lineRule="auto"/>
            </w:pPr>
            <w:r>
              <w:rPr>
                <w:sz w:val="20"/>
                <w:szCs w:val="20"/>
              </w:rPr>
              <w:t>YLSLLQR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Cα RMSD (nm)</w:t>
            </w:r>
          </w:p>
        </w:tc>
        <w:tc>
          <w:tcPr>
            <w:tcW w:w="1872" w:type="dxa"/>
            <w:vAlign w:val="center"/>
          </w:tcPr>
          <w:p>
            <w:pPr>
              <w:pStyle w:val="15"/>
              <w:spacing w:before="0" w:after="0" w:line="240" w:lineRule="auto"/>
            </w:pPr>
            <w:r>
              <w:rPr>
                <w:sz w:val="20"/>
                <w:szCs w:val="20"/>
              </w:rPr>
              <w:t>0.1897 ± 0.0090</w:t>
            </w:r>
          </w:p>
        </w:tc>
        <w:tc>
          <w:tcPr>
            <w:tcW w:w="1872" w:type="dxa"/>
            <w:vAlign w:val="center"/>
          </w:tcPr>
          <w:p>
            <w:pPr>
              <w:pStyle w:val="15"/>
              <w:spacing w:before="0" w:after="0" w:line="240" w:lineRule="auto"/>
            </w:pPr>
            <w:r>
              <w:rPr>
                <w:sz w:val="20"/>
                <w:szCs w:val="20"/>
              </w:rPr>
              <w:t>0.1916 ± 0.0092</w:t>
            </w:r>
          </w:p>
        </w:tc>
        <w:tc>
          <w:tcPr>
            <w:tcW w:w="1872" w:type="dxa"/>
            <w:vAlign w:val="center"/>
          </w:tcPr>
          <w:p>
            <w:pPr>
              <w:pStyle w:val="15"/>
              <w:spacing w:before="0" w:after="0" w:line="240" w:lineRule="auto"/>
            </w:pPr>
            <w:r>
              <w:rPr>
                <w:sz w:val="20"/>
                <w:szCs w:val="20"/>
              </w:rPr>
              <w:t>0.1640 ± 0.0080</w:t>
            </w:r>
          </w:p>
        </w:tc>
        <w:tc>
          <w:tcPr>
            <w:tcW w:w="1872" w:type="dxa"/>
            <w:vAlign w:val="center"/>
          </w:tcPr>
          <w:p>
            <w:pPr>
              <w:pStyle w:val="15"/>
              <w:spacing w:before="0" w:after="0" w:line="240" w:lineRule="auto"/>
            </w:pPr>
            <w:r>
              <w:rPr>
                <w:sz w:val="20"/>
                <w:szCs w:val="20"/>
              </w:rPr>
              <w:t>0.1625 ± 0.0078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Peptide self-fit RMSD (nm)</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0.2518 ± 0.0136</w:t>
            </w:r>
          </w:p>
        </w:tc>
        <w:tc>
          <w:tcPr>
            <w:tcW w:w="1872" w:type="dxa"/>
            <w:vAlign w:val="center"/>
          </w:tcPr>
          <w:p>
            <w:pPr>
              <w:pStyle w:val="15"/>
              <w:spacing w:before="0" w:after="0" w:line="240" w:lineRule="auto"/>
            </w:pPr>
            <w:r>
              <w:rPr>
                <w:sz w:val="20"/>
                <w:szCs w:val="20"/>
              </w:rPr>
              <w:t>0.1752 ± 0.0111</w:t>
            </w:r>
          </w:p>
        </w:tc>
        <w:tc>
          <w:tcPr>
            <w:tcW w:w="1872" w:type="dxa"/>
            <w:vAlign w:val="center"/>
          </w:tcPr>
          <w:p>
            <w:pPr>
              <w:pStyle w:val="15"/>
              <w:spacing w:before="0" w:after="0" w:line="240" w:lineRule="auto"/>
            </w:pPr>
            <w:r>
              <w:rPr>
                <w:sz w:val="20"/>
                <w:szCs w:val="20"/>
              </w:rPr>
              <w:t>0.0911 ± 0.0098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RMSF mean (nm)</w:t>
            </w:r>
          </w:p>
        </w:tc>
        <w:tc>
          <w:tcPr>
            <w:tcW w:w="1872" w:type="dxa"/>
            <w:vAlign w:val="center"/>
          </w:tcPr>
          <w:p>
            <w:pPr>
              <w:pStyle w:val="15"/>
              <w:spacing w:before="0" w:after="0" w:line="240" w:lineRule="auto"/>
            </w:pPr>
            <w:r>
              <w:rPr>
                <w:sz w:val="20"/>
                <w:szCs w:val="20"/>
              </w:rPr>
              <w:t>0.0835 ± 0.0659</w:t>
            </w:r>
          </w:p>
        </w:tc>
        <w:tc>
          <w:tcPr>
            <w:tcW w:w="1872" w:type="dxa"/>
            <w:vAlign w:val="center"/>
          </w:tcPr>
          <w:p>
            <w:pPr>
              <w:pStyle w:val="15"/>
              <w:spacing w:before="0" w:after="0" w:line="240" w:lineRule="auto"/>
            </w:pPr>
            <w:r>
              <w:rPr>
                <w:sz w:val="20"/>
                <w:szCs w:val="20"/>
              </w:rPr>
              <w:t>0.0876 ± 0.0581</w:t>
            </w:r>
          </w:p>
        </w:tc>
        <w:tc>
          <w:tcPr>
            <w:tcW w:w="1872" w:type="dxa"/>
            <w:vAlign w:val="center"/>
          </w:tcPr>
          <w:p>
            <w:pPr>
              <w:pStyle w:val="15"/>
              <w:spacing w:before="0" w:after="0" w:line="240" w:lineRule="auto"/>
            </w:pPr>
            <w:r>
              <w:rPr>
                <w:sz w:val="20"/>
                <w:szCs w:val="20"/>
              </w:rPr>
              <w:t>0.0778 ± 0.0504</w:t>
            </w:r>
          </w:p>
        </w:tc>
        <w:tc>
          <w:tcPr>
            <w:tcW w:w="1872" w:type="dxa"/>
            <w:vAlign w:val="center"/>
          </w:tcPr>
          <w:p>
            <w:pPr>
              <w:pStyle w:val="15"/>
              <w:spacing w:before="0" w:after="0" w:line="240" w:lineRule="auto"/>
            </w:pPr>
            <w:r>
              <w:rPr>
                <w:sz w:val="20"/>
                <w:szCs w:val="20"/>
              </w:rPr>
              <w:t>0.0771 ± 0.0498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SASA (nm²)</w:t>
            </w:r>
          </w:p>
        </w:tc>
        <w:tc>
          <w:tcPr>
            <w:tcW w:w="1872" w:type="dxa"/>
            <w:vAlign w:val="center"/>
          </w:tcPr>
          <w:p>
            <w:pPr>
              <w:pStyle w:val="15"/>
              <w:spacing w:before="0" w:after="0" w:line="240" w:lineRule="auto"/>
            </w:pPr>
            <w:r>
              <w:rPr>
                <w:sz w:val="20"/>
                <w:szCs w:val="20"/>
              </w:rPr>
              <w:t>212.25 ± 2.89</w:t>
            </w:r>
          </w:p>
        </w:tc>
        <w:tc>
          <w:tcPr>
            <w:tcW w:w="1872" w:type="dxa"/>
            <w:vAlign w:val="center"/>
          </w:tcPr>
          <w:p>
            <w:pPr>
              <w:pStyle w:val="15"/>
              <w:spacing w:before="0" w:after="0" w:line="240" w:lineRule="auto"/>
            </w:pPr>
            <w:r>
              <w:rPr>
                <w:sz w:val="20"/>
                <w:szCs w:val="20"/>
              </w:rPr>
              <w:t>217.47 ± 2.49</w:t>
            </w:r>
          </w:p>
        </w:tc>
        <w:tc>
          <w:tcPr>
            <w:tcW w:w="1872" w:type="dxa"/>
            <w:vAlign w:val="center"/>
          </w:tcPr>
          <w:p>
            <w:pPr>
              <w:pStyle w:val="15"/>
              <w:spacing w:before="0" w:after="0" w:line="240" w:lineRule="auto"/>
            </w:pPr>
            <w:r>
              <w:rPr>
                <w:sz w:val="20"/>
                <w:szCs w:val="20"/>
              </w:rPr>
              <w:t>213.88 ± 2.36</w:t>
            </w:r>
          </w:p>
        </w:tc>
        <w:tc>
          <w:tcPr>
            <w:tcW w:w="1872" w:type="dxa"/>
            <w:vAlign w:val="center"/>
          </w:tcPr>
          <w:p>
            <w:pPr>
              <w:pStyle w:val="15"/>
              <w:spacing w:before="0" w:after="0" w:line="240" w:lineRule="auto"/>
            </w:pPr>
            <w:r>
              <w:rPr>
                <w:sz w:val="20"/>
                <w:szCs w:val="20"/>
              </w:rPr>
              <w:t>209.71 ± 2.35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Rg (nm)</w:t>
            </w:r>
          </w:p>
        </w:tc>
        <w:tc>
          <w:tcPr>
            <w:tcW w:w="1872" w:type="dxa"/>
            <w:vAlign w:val="center"/>
          </w:tcPr>
          <w:p>
            <w:pPr>
              <w:pStyle w:val="15"/>
              <w:spacing w:before="0" w:after="0" w:line="240" w:lineRule="auto"/>
            </w:pPr>
            <w:r>
              <w:rPr>
                <w:sz w:val="20"/>
                <w:szCs w:val="20"/>
              </w:rPr>
              <w:t>2.3045 ± 0.0056</w:t>
            </w:r>
          </w:p>
        </w:tc>
        <w:tc>
          <w:tcPr>
            <w:tcW w:w="1872" w:type="dxa"/>
            <w:vAlign w:val="center"/>
          </w:tcPr>
          <w:p>
            <w:pPr>
              <w:pStyle w:val="15"/>
              <w:spacing w:before="0" w:after="0" w:line="240" w:lineRule="auto"/>
            </w:pPr>
            <w:r>
              <w:rPr>
                <w:sz w:val="20"/>
                <w:szCs w:val="20"/>
              </w:rPr>
              <w:t>2.3107 ± 0.0052</w:t>
            </w:r>
          </w:p>
        </w:tc>
        <w:tc>
          <w:tcPr>
            <w:tcW w:w="1872" w:type="dxa"/>
            <w:vAlign w:val="center"/>
          </w:tcPr>
          <w:p>
            <w:pPr>
              <w:pStyle w:val="15"/>
              <w:spacing w:before="0" w:after="0" w:line="240" w:lineRule="auto"/>
            </w:pPr>
            <w:r>
              <w:rPr>
                <w:sz w:val="20"/>
                <w:szCs w:val="20"/>
              </w:rPr>
              <w:t>2.2967 ± 0.0047</w:t>
            </w:r>
          </w:p>
        </w:tc>
        <w:tc>
          <w:tcPr>
            <w:tcW w:w="1872" w:type="dxa"/>
            <w:vAlign w:val="center"/>
          </w:tcPr>
          <w:p>
            <w:pPr>
              <w:pStyle w:val="15"/>
              <w:spacing w:before="0" w:after="0" w:line="240" w:lineRule="auto"/>
            </w:pPr>
            <w:r>
              <w:rPr>
                <w:sz w:val="20"/>
                <w:szCs w:val="20"/>
              </w:rPr>
              <w:t>2.3028 ± 0.0051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Intermolecular H-bonds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2.19 ± 0.80</w:t>
            </w:r>
          </w:p>
        </w:tc>
        <w:tc>
          <w:tcPr>
            <w:tcW w:w="1872" w:type="dxa"/>
            <w:vAlign w:val="center"/>
          </w:tcPr>
          <w:p>
            <w:pPr>
              <w:pStyle w:val="15"/>
              <w:spacing w:before="0" w:after="0" w:line="240" w:lineRule="auto"/>
            </w:pPr>
            <w:r>
              <w:rPr>
                <w:sz w:val="20"/>
                <w:szCs w:val="20"/>
              </w:rPr>
              <w:t>7.03 ± 1.28</w:t>
            </w:r>
          </w:p>
        </w:tc>
        <w:tc>
          <w:tcPr>
            <w:tcW w:w="1872" w:type="dxa"/>
            <w:vAlign w:val="center"/>
          </w:tcPr>
          <w:p>
            <w:pPr>
              <w:pStyle w:val="15"/>
              <w:spacing w:before="0" w:after="0" w:line="240" w:lineRule="auto"/>
            </w:pPr>
            <w:r>
              <w:rPr>
                <w:sz w:val="20"/>
                <w:szCs w:val="20"/>
              </w:rPr>
              <w:t>2.93 ± 1.14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Persistent contact pairs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1872" w:type="dxa"/>
            <w:vAlign w:val="center"/>
          </w:tcPr>
          <w:p>
            <w:pPr>
              <w:pStyle w:val="15"/>
              <w:spacing w:before="0" w:after="0" w:line="240" w:lineRule="auto"/>
            </w:pPr>
            <w:r>
              <w:rPr>
                <w:sz w:val="20"/>
                <w:szCs w:val="20"/>
              </w:rPr>
              <w:t>DSSP α-helix / β-sheet (%)</w:t>
            </w:r>
          </w:p>
        </w:tc>
        <w:tc>
          <w:tcPr>
            <w:tcW w:w="1872" w:type="dxa"/>
            <w:vAlign w:val="center"/>
          </w:tcPr>
          <w:p>
            <w:pPr>
              <w:pStyle w:val="15"/>
              <w:spacing w:before="0" w:after="0" w:line="240" w:lineRule="auto"/>
            </w:pPr>
            <w:r>
              <w:rPr>
                <w:sz w:val="20"/>
                <w:szCs w:val="20"/>
              </w:rPr>
              <w:t>33.44 / 17.35</w:t>
            </w:r>
          </w:p>
        </w:tc>
        <w:tc>
          <w:tcPr>
            <w:tcW w:w="1872" w:type="dxa"/>
            <w:vAlign w:val="center"/>
          </w:tcPr>
          <w:p>
            <w:pPr>
              <w:pStyle w:val="15"/>
              <w:spacing w:before="0" w:after="0" w:line="240" w:lineRule="auto"/>
            </w:pPr>
            <w:r>
              <w:rPr>
                <w:sz w:val="20"/>
                <w:szCs w:val="20"/>
              </w:rPr>
              <w:t>33.66 / 16.76</w:t>
            </w:r>
          </w:p>
        </w:tc>
        <w:tc>
          <w:tcPr>
            <w:tcW w:w="1872" w:type="dxa"/>
            <w:vAlign w:val="center"/>
          </w:tcPr>
          <w:p>
            <w:pPr>
              <w:pStyle w:val="15"/>
              <w:spacing w:before="0" w:after="0" w:line="240" w:lineRule="auto"/>
            </w:pPr>
            <w:r>
              <w:rPr>
                <w:sz w:val="20"/>
                <w:szCs w:val="20"/>
              </w:rPr>
              <w:t>32.92 / 17.52</w:t>
            </w:r>
          </w:p>
        </w:tc>
        <w:tc>
          <w:tcPr>
            <w:tcW w:w="1872" w:type="dxa"/>
            <w:vAlign w:val="center"/>
          </w:tcPr>
          <w:p>
            <w:pPr>
              <w:pStyle w:val="15"/>
              <w:spacing w:before="0" w:after="0" w:line="240" w:lineRule="auto"/>
            </w:pPr>
            <w:r>
              <w:rPr>
                <w:sz w:val="20"/>
                <w:szCs w:val="20"/>
              </w:rPr>
              <w:t>33.31 / 17.02</w:t>
            </w:r>
          </w:p>
        </w:tc>
      </w:tr>
    </w:tbl>
    <w:p>
      <w:pPr>
        <w:spacing w:after="40"/>
      </w:pPr>
    </w:p>
    <w:p>
      <w:pPr>
        <w:pStyle w:val="7"/>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3"/>
        <w:keepNext/>
      </w:pPr>
      <w:r>
        <w:t>Discussion</w:t>
      </w:r>
    </w:p>
    <w:p>
      <w:pPr>
        <w:pStyle w:val="7"/>
      </w:pPr>
      <w:r>
        <w:t xml:space="preserve">AChE hydrolyses acetylcholine at cholinergic synapses. In AD tissue the same enzyme sits on amyloid plaques. AChE accelerates Aβ fibril growth through the PAS, and AChE–Aβ particles are more toxic than free peptide </w:t>
      </w:r>
      <w:r>
        <w:fldChar w:fldCharType="begin"/>
      </w:r>
      <w:r>
        <w:instrText xml:space="preserve"> ADDIN ZOTERO_ITEM CSL_CITATION {"citationID":"a7346a1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Stable enzyme–peptide complexes change AChE biochemistry and raise fibril neurotoxicity. Isolated complexes contain enzyme bound to growing fibrils </w:t>
      </w:r>
      <w:r>
        <w:fldChar w:fldCharType="begin"/>
      </w:r>
      <w:r>
        <w:instrText xml:space="preserve"> ADDIN ZOTERO_ITEM CSL_CITATION {"citationID":"7c823ca6","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[38–39]</w:t>
      </w:r>
      <w:r>
        <w:fldChar w:fldCharType="end"/>
      </w:r>
      <w:r>
        <w:t xml:space="preserve">. A short hydrophobic PAS motif is sufficient for that chaperone effect </w:t>
      </w:r>
      <w:r>
        <w:fldChar w:fldCharType="begin"/>
      </w:r>
      <w:r>
        <w:instrText xml:space="preserve"> ADDIN ZOTERO_ITEM CSL_CITATION {"citationID":"b7a228a1","properties":{"formattedCitation":"[5]","plainCitation":"[5]","dontUpdate":false,"noteIndex":0},"citationItems":[{"id":5,"uris":["http://zotero.org/users/local/items/deferrari2001motif"],"itemData":{"id":5,"type":"article-journal","title":"A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A monoclonal antibody to AChE blocks the effect </w:t>
      </w:r>
      <w:r>
        <w:fldChar w:fldCharType="begin"/>
      </w:r>
      <w:r>
        <w:instrText xml:space="preserve"> ADDIN ZOTERO_ITEM CSL_CITATION {"citationID":"4d22b6cc","properties":{"formattedCitation":"[40]","plainCitation":"[40]","dontUpdate":false,"noteIndex":0},"citationItems":[{"id":40,"uris":["http://zotero.org/users/local/items/reyes1997mab"],"itemData":{"id":40,"type":"article-journal","title":"A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fldChar w:fldCharType="separate"/>
      </w:r>
      <w:r>
        <w:t>[40]</w:t>
      </w:r>
      <w:r>
        <w:fldChar w:fldCharType="end"/>
      </w:r>
      <w:r>
        <w:t xml:space="preserve">, and PAS-directed small molecules reach the same endpoint </w:t>
      </w:r>
      <w:r>
        <w:fldChar w:fldCharType="begin"/>
      </w:r>
      <w:r>
        <w:instrText xml:space="preserve"> ADDIN ZOTERO_ITEM CSL_CITATION {"citationID":"04a5a06d","properties":{"formattedCitation":"[6]","plainCitation":"[6]","dontUpdate":false,"noteIndex":0},"citationItems":[{"id":6,"uris":["http://zotero.org/users/local/items/bartolini2003pas"],"itemData":{"id":6,"type":"article-journal","title":"$\\beta$-Amyloid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Excess AChE promotes cortical Aβ plaques in mice </w:t>
      </w:r>
      <w:r>
        <w:fldChar w:fldCharType="begin"/>
      </w:r>
      <w:r>
        <w:instrText xml:space="preserve"> ADDIN ZOTERO_ITEM CSL_CITATION {"citationID":"c7d7a7ec","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fldChar w:fldCharType="separate"/>
      </w:r>
      <w:r>
        <w:t>[41]</w:t>
      </w:r>
      <w:r>
        <w:fldChar w:fldCharType="end"/>
      </w:r>
      <w:r>
        <w:t xml:space="preserve">. Reviews of AChE in AD place plaque-associated enzyme in cross-talk with Aβ and phospho-tau, and the plaque-associated activity remains sensitive to PAS blockade </w:t>
      </w:r>
      <w:r>
        <w:fldChar w:fldCharType="begin"/>
      </w:r>
      <w:r>
        <w:instrText xml:space="preserve"> ADDIN ZOTERO_ITEM CSL_CITATION {"citationID":"5b0634b7","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fldChar w:fldCharType="separate"/>
      </w:r>
      <w:r>
        <w:t>[42–44]</w:t>
      </w:r>
      <w:r>
        <w:fldChar w:fldCharType="end"/>
      </w:r>
      <w:r>
        <w:t xml:space="preserve">. Hippocampal AChE–Aβ complexes produce more damage than free fibrils </w:t>
      </w:r>
      <w:r>
        <w:fldChar w:fldCharType="begin"/>
      </w:r>
      <w:r>
        <w:instrText xml:space="preserve"> ADDIN ZOTERO_ITEM CSL_CITATION {"citationID":"52b5012a","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The PAS maps to Tyr72, Asp74, Tyr124, Trp286 and Tyr341, about 20 Å from the catalytic triad at the gorge mouth </w:t>
      </w:r>
      <w:r>
        <w:fldChar w:fldCharType="begin"/>
      </w:r>
      <w:r>
        <w:instrText xml:space="preserve"> ADDIN ZOTERO_ITEM CSL_CITATION {"citationID":"36510659","properties":{"formattedCitation":"[46]","plainCitation":"[46]","dontUpdate":false,"noteIndex":0},"citationItems":[{"id":46,"uris":["http://zotero.org/users/local/items/johnson2006pas"],"itemData":{"id":46,"type":"article-journal","title":"The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These studies support PAS as a functional surface that can take part in AChE-mediated Aβ assembly </w:t>
      </w:r>
      <w:r>
        <w:fldChar w:fldCharType="begin"/>
      </w:r>
      <w:r>
        <w:instrText xml:space="preserve"> ADDIN ZOTERO_ITEM CSL_CITATION {"citationID":"f8417b77","properties":{"formattedCitation":"[2–3]","plainCitation":"[2–3]","dontUpdate":false,"noteIndex":0},"citationItems":[{"id":2,"uris":["http://zotero.org/users/local/items/selkoe2016amyloid"],"itemData":{"id":2,"type":"article-journal","title":"The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[2–3]</w:t>
      </w:r>
      <w:r>
        <w:fldChar w:fldCharType="end"/>
      </w:r>
      <w:r>
        <w:t>. The present docking and 100-ns trajectories examine predicted contacts of periodontitis-derived micropeptides at that surface.</w:t>
      </w:r>
    </w:p>
    <w:p>
      <w:pPr>
        <w:pStyle w:val="7"/>
      </w:pPr>
      <w:r>
        <w:t xml:space="preserve">An oral exposure path is documented at the organism and protease level. Periodontopathic virulence factors have been detected in short-term postmortem AD brain </w:t>
      </w:r>
      <w:r>
        <w:fldChar w:fldCharType="begin"/>
      </w:r>
      <w:r>
        <w:instrText xml:space="preserve"> ADDIN ZOTERO_ITEM CSL_CITATION {"citationID":"2a075ee4","properties":{"formattedCitation":"[47]","plainCitation":"[47]","dontUpdate":false,"noteIndex":0},"citationItems":[{"id":47,"uris":["http://zotero.org/users/local/items/poole2013pg"],"itemData":{"id":47,"type":"article-journal","title":"Determining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fldChar w:fldCharType="separate"/>
      </w:r>
      <w:r>
        <w:t>[47]</w:t>
      </w:r>
      <w:r>
        <w:fldChar w:fldCharType="end"/>
      </w:r>
      <w:r>
        <w:t xml:space="preserve">. P. gingivalis and gingipains have been reported in AD brains, and oral infection in mice raises brain Aβ1–42 </w:t>
      </w:r>
      <w:r>
        <w:fldChar w:fldCharType="begin"/>
      </w:r>
      <w:r>
        <w:instrText xml:space="preserve"> ADDIN ZOTERO_ITEM CSL_CITATION {"citationID":"4ae99145","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AD-like neurodegeneration occurs in P. gingivalis-infected neurons that keep active gingipains </w:t>
      </w:r>
      <w:r>
        <w:fldChar w:fldCharType="begin"/>
      </w:r>
      <w:r>
        <w:instrText xml:space="preserve"> ADDIN ZOTERO_ITEM CSL_CITATION {"citationID":"ea887bd4","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fldChar w:fldCharType="separate"/>
      </w:r>
      <w:r>
        <w:t>[48]</w:t>
      </w:r>
      <w:r>
        <w:fldChar w:fldCharType="end"/>
      </w:r>
      <w:r>
        <w:t xml:space="preserve">. Repeated oral application of a periodontal pathogen in wild-type mice produces neuroinflammation and Aβ-related changes </w:t>
      </w:r>
      <w:r>
        <w:fldChar w:fldCharType="begin"/>
      </w:r>
      <w:r>
        <w:instrText xml:space="preserve"> ADDIN ZOTERO_ITEM CSL_CITATION {"citationID":"382560cc","properties":{"formattedCitation":"[15]","plainCitation":"[15]","dontUpdate":false,"noteIndex":0},"citationItems":[{"id":15,"uris":["http://zotero.org/users/local/items/ilievski2018oral"],"itemData":{"id":15,"type":"article-journal","title":"Chronic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xml:space="preserve">. P. gingivalis bacteremia increases endothelial permeability through an Mfsd2a/Caveolin-1 transcytosis path </w:t>
      </w:r>
      <w:r>
        <w:fldChar w:fldCharType="begin"/>
      </w:r>
      <w:r>
        <w:instrText xml:space="preserve"> ADDIN ZOTERO_ITEM CSL_CITATION {"citationID":"cf0dd329","properties":{"formattedCitation":"[49]","plainCitation":"[49]","dontUpdate":false,"noteIndex":0},"citationItems":[{"id":49,"uris":["http://zotero.org/users/local/items/lei2023pgbbb"],"itemData":{"id":49,"type":"article-journal","title":"Porphyromonas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fldChar w:fldCharType="separate"/>
      </w:r>
      <w:r>
        <w:t>[49]</w:t>
      </w:r>
      <w:r>
        <w:fldChar w:fldCharType="end"/>
      </w:r>
      <w:r>
        <w:t xml:space="preserve">. Gingipains and outer-membrane vesicles supply vehicles for bacterial cargo beyond the producing cell </w:t>
      </w:r>
      <w:r>
        <w:fldChar w:fldCharType="begin"/>
      </w:r>
      <w:r>
        <w:instrText xml:space="preserve"> ADDIN ZOTERO_ITEM CSL_CITATION {"citationID":"29db973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Meta-analyses and an AD cohort link periodontitis to later cognitive decline </w:t>
      </w:r>
      <w:r>
        <w:fldChar w:fldCharType="begin"/>
      </w:r>
      <w:r>
        <w:instrText xml:space="preserve"> ADDIN ZOTERO_ITEM CSL_CITATION {"citationID":"fee118a4","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[9–10]</w:t>
      </w:r>
      <w:r>
        <w:fldChar w:fldCharType="end"/>
      </w:r>
      <w:r>
        <w:t xml:space="preserve">. A two-sample Mendelian randomization analysis did not support a genetic causal effect </w:t>
      </w:r>
      <w:r>
        <w:fldChar w:fldCharType="begin"/>
      </w:r>
      <w:r>
        <w:instrText xml:space="preserve"> ADDIN ZOTERO_ITEM CSL_CITATION {"citationID":"810a5e61","properties":{"formattedCitation":"[11]","plainCitation":"[11]","dontUpdate":false,"noteIndex":0},"citationItems":[{"id":11,"uris":["http://zotero.org/users/local/items/hu2024mendelian"],"itemData":{"id":11,"type":"article-journal","title":"Periodontal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xml:space="preserve">. Those reports supply biological background for examining oral products in AD-related pathology. They do not assign the twelve peptides to P. gingivalis, and they do not show that any one string crosses endothelium or accumulates in brain </w:t>
      </w:r>
      <w:r>
        <w:fldChar w:fldCharType="begin"/>
      </w:r>
      <w:r>
        <w:instrText xml:space="preserve"> ADDIN ZOTERO_ITEM CSL_CITATION {"citationID":"5ab3569a","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[7–8,25]</w:t>
      </w:r>
      <w:r>
        <w:fldChar w:fldCharType="end"/>
      </w:r>
      <w:r>
        <w:t>.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7"/>
      </w:pPr>
      <w:r>
        <w:t xml:space="preserve">Deep-learning peptide mining supplied the filter stack. Millions of translated microbiome open reading frames have been scored before experimental filters </w:t>
      </w:r>
      <w:r>
        <w:fldChar w:fldCharType="begin"/>
      </w:r>
      <w:r>
        <w:instrText xml:space="preserve"> ADDIN ZOTERO_ITEM CSL_CITATION {"citationID":"7bc5c514","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uses the same predict-then-filter logic on ESM-2 embeddings </w:t>
      </w:r>
      <w:r>
        <w:fldChar w:fldCharType="begin"/>
      </w:r>
      <w:r>
        <w:instrText xml:space="preserve"> ADDIN ZOTERO_ITEM CSL_CITATION {"citationID":"a2e3ffe7","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xml:space="preserve">. NTxPred2, mebipred and AnOxPePred were trained for neurotoxic, metal-binding and antioxidant endpoints, not for AChE occupancy </w:t>
      </w:r>
      <w:r>
        <w:fldChar w:fldCharType="begin"/>
      </w:r>
      <w:r>
        <w:instrText xml:space="preserve"> ADDIN ZOTERO_ITEM CSL_CITATION {"citationID":"301ffa20","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[31–33]</w:t>
      </w:r>
      <w:r>
        <w:fldChar w:fldCharType="end"/>
      </w:r>
      <w:r>
        <w:t xml:space="preserve">. Catalogue matches to HOMD, eHOMD and salivary metaproteomes support prior observation of a string, as in other oral peptide studies </w:t>
      </w:r>
      <w:r>
        <w:fldChar w:fldCharType="begin"/>
      </w:r>
      <w:r>
        <w:instrText xml:space="preserve"> ADDIN ZOTERO_ITEM CSL_CITATION {"citationID":"320fea62","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[16,26–30]</w:t>
      </w:r>
      <w:r>
        <w:fldChar w:fldCharType="end"/>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fldChar w:fldCharType="begin"/>
      </w:r>
      <w:r>
        <w:instrText xml:space="preserve"> ADDIN ZOTERO_ITEM CSL_CITATION {"citationID":"7ca1acaf","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fldChar w:fldCharType="separate"/>
      </w:r>
      <w:r>
        <w:t>[50]</w:t>
      </w:r>
      <w:r>
        <w:fldChar w:fldCharType="end"/>
      </w:r>
      <w:r>
        <w:t xml:space="preserve">, and cationic substrate first docks on Asp74 </w:t>
      </w:r>
      <w:r>
        <w:fldChar w:fldCharType="begin"/>
      </w:r>
      <w:r>
        <w:instrText xml:space="preserve"> ADDIN ZOTERO_ITEM CSL_CITATION {"citationID":"d7f3c549","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[51]</w:t>
      </w:r>
      <w:r>
        <w:fldChar w:fldCharType="end"/>
      </w:r>
      <w:r>
        <w:t>. Those physicochemical traits made the twelve strings worth docking. Net charge and leucine content do not establish PAS selectivity, a shared binding mode, or affinity.</w:t>
      </w:r>
    </w:p>
    <w:p>
      <w:pPr>
        <w:pStyle w:val="7"/>
      </w:pPr>
      <w:r>
        <w:t xml:space="preserve">Human AChE (PDB 4EY6) gives an experimental frame for the gorge and PAS </w:t>
      </w:r>
      <w:r>
        <w:fldChar w:fldCharType="begin"/>
      </w:r>
      <w:r>
        <w:instrText xml:space="preserve"> ADDIN ZOTERO_ITEM CSL_CITATION {"citationID":"3f1883ac","properties":{"formattedCitation":"[22]","plainCitation":"[22]","dontUpdate":false,"noteIndex":0},"citationItems":[{"id":22,"uris":["http://zotero.org/users/local/items/cheung2012ache"],"itemData":{"id":22,"type":"article-journal","title":"Structures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following the aromatic-gorge map on Torpedo AChE </w:t>
      </w:r>
      <w:r>
        <w:fldChar w:fldCharType="begin"/>
      </w:r>
      <w:r>
        <w:instrText xml:space="preserve"> ADDIN ZOTERO_ITEM CSL_CITATION {"citationID":"a110ec24","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[23,52]</w:t>
      </w:r>
      <w:r>
        <w:fldChar w:fldCharType="end"/>
      </w:r>
      <w:r>
        <w:t xml:space="preserve">. The 20-Å gorge couples a catalytic triad at the base to a peripheral cluster at the rim </w:t>
      </w:r>
      <w:r>
        <w:fldChar w:fldCharType="begin"/>
      </w:r>
      <w:r>
        <w:instrText xml:space="preserve"> ADDIN ZOTERO_ITEM CSL_CITATION {"citationID":"f707264c","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[53]</w:t>
      </w:r>
      <w:r>
        <w:fldChar w:fldCharType="end"/>
      </w:r>
      <w:r>
        <w:t xml:space="preserve">. AutoDock Vina is a first-pass ranking engine </w:t>
      </w:r>
      <w:r>
        <w:fldChar w:fldCharType="begin"/>
      </w:r>
      <w:r>
        <w:instrText xml:space="preserve"> ADDIN ZOTERO_ITEM CSL_CITATION {"citationID":"5952e157","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fldChar w:fldCharType="begin"/>
      </w:r>
      <w:r>
        <w:instrText xml:space="preserve"> ADDIN ZOTERO_ITEM CSL_CITATION {"citationID":"3272b820","properties":{"formattedCitation":"[22]","plainCitation":"[22]","dontUpdate":false,"noteIndex":0},"citationItems":[{"id":22,"uris":["http://zotero.org/users/local/items/cheung2012ache"],"itemData":{"id":22,"type":"article-journal","title":"Structures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shared residue names do not make the peptide pose equivalent in mode or function. HLLTLKKHV reaches Phe346 in the 344–361 zone occupied by Aβ on a 1-μs trajectory </w:t>
      </w:r>
      <w:r>
        <w:fldChar w:fldCharType="begin"/>
      </w:r>
      <w:r>
        <w:instrText xml:space="preserve"> ADDIN ZOTERO_ITEM CSL_CITATION {"citationID":"67281262","properties":{"formattedCitation":"[21]","plainCitation":"[21]","dontUpdate":false,"noteIndex":0},"citationItems":[{"id":21,"uris":["http://zotero.org/users/local/items/atanasova2020md"],"itemData":{"id":21,"type":"article-journal","title":"Molecular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PAS ligands have been crystallised stacked between Trp286 and Tyr341; the same pair appears for LLHPLRL </w:t>
      </w:r>
      <w:r>
        <w:fldChar w:fldCharType="begin"/>
      </w:r>
      <w:r>
        <w:instrText xml:space="preserve"> ADDIN ZOTERO_ITEM CSL_CITATION {"citationID":"5010b6e6","properties":{"formattedCitation":"[54]","plainCitation":"[54]","dontUpdate":false,"noteIndex":0},"citationItems":[{"id":54,"uris":["http://zotero.org/users/local/items/bourne2003pas"],"itemData":{"id":54,"type":"article-journal","title":"Structural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[54]</w:t>
      </w:r>
      <w:r>
        <w:fldChar w:fldCharType="end"/>
      </w:r>
      <w:r>
        <w:t>.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7"/>
      </w:pPr>
      <w:r>
        <w:t xml:space="preserve">MD studies of AChE–Aβ already treat the enzyme as a nucleation centre. Accelerated sampling pulled Aβ onto the AChE surface </w:t>
      </w:r>
      <w:r>
        <w:fldChar w:fldCharType="begin"/>
      </w:r>
      <w:r>
        <w:instrText xml:space="preserve"> ADDIN ZOTERO_ITEM CSL_CITATION {"citationID":"3cda95ca","properties":{"formattedCitation":"[20]","plainCitation":"[20]","dontUpdate":false,"noteIndex":0},"citationItems":[{"id":20,"uris":["http://zotero.org/users/local/items/lushchekina2017amd"],"itemData":{"id":20,"type":"article-journal","title":"Role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trajectory remained bound </w:t>
      </w:r>
      <w:r>
        <w:fldChar w:fldCharType="begin"/>
      </w:r>
      <w:r>
        <w:instrText xml:space="preserve"> ADDIN ZOTERO_ITEM CSL_CITATION {"citationID":"773798ed","properties":{"formattedCitation":"[21]","plainCitation":"[21]","dontUpdate":false,"noteIndex":0},"citationItems":[{"id":21,"uris":["http://zotero.org/users/local/items/atanasova2020md"],"itemData":{"id":21,"type":"article-journal","title":"Molecular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fldChar w:fldCharType="begin"/>
      </w:r>
      <w:r>
        <w:instrText xml:space="preserve"> ADDIN ZOTERO_ITEM CSL_CITATION {"citationID":"b1574580","properties":{"formattedCitation":"[46,54]","plainCitation":"[46,54]","dontUpdate":false,"noteIndex":0},"citationItems":[{"id":46,"uris":["http://zotero.org/users/local/items/johnson2006pas"],"itemData":{"id":46,"type":"article-journal","title":"The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[46,54]</w:t>
      </w:r>
      <w:r>
        <w:fldChar w:fldCharType="end"/>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fldChar w:fldCharType="begin"/>
      </w:r>
      <w:r>
        <w:instrText xml:space="preserve"> ADDIN ZOTERO_ITEM CSL_CITATION {"citationID":"7fdd04fb","properties":{"formattedCitation":"[52]","plainCitation":"[52]","dontUpdate":false,"noteIndex":0},"citationItems":[{"id":52,"uris":["http://zotero.org/users/local/items/sussman1991ache"],"itemData":{"id":52,"type":"article-journal","title":"Atomic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[52]</w:t>
      </w:r>
      <w:r>
        <w:fldChar w:fldCharType="end"/>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fldChar w:fldCharType="begin"/>
      </w:r>
      <w:r>
        <w:instrText xml:space="preserve"> ADDIN ZOTERO_ITEM CSL_CITATION {"citationID":"3a8f0eb4","properties":{"formattedCitation":"[6]","plainCitation":"[6]","dontUpdate":false,"noteIndex":0},"citationItems":[{"id":6,"uris":["http://zotero.org/users/local/items/bartolini2003pas"],"itemData":{"id":6,"type":"article-journal","title":"$\\beta$-Amyloid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present split is a computational analogue of that biochemical distinction, limited to one trajectory per complex.</w:t>
      </w:r>
    </w:p>
    <w:p>
      <w:pPr>
        <w:pStyle w:val="7"/>
      </w:pPr>
      <w:r>
        <w:t xml:space="preserve">The cited PAS and AChE–Aβ papers support a four-step pathogenic cascade as a hypothesis for an oral peptide that remains at PAS. First, PAS recognition: occupancy of Asp74, Tyr72, Trp286 and Tyr341 places a heterologous cationic peptide at the gorge mouth that feeds the catalytic triad, the first encounter assigned to cationic substrate at this enzyme </w:t>
      </w:r>
      <w:r>
        <w:fldChar w:fldCharType="begin"/>
      </w:r>
      <w:r>
        <w:instrText xml:space="preserve"> ADDIN ZOTERO_ITEM CSL_CITATION {"citationID":"190d17b4","properties":{"formattedCitation":"[22,51]","plainCitation":"[22,51]","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[22,51]</w:t>
      </w:r>
      <w:r>
        <w:fldChar w:fldCharType="end"/>
      </w:r>
      <w:r>
        <w:t xml:space="preserve">. Second, a lasting enzyme–peptide complex: intermolecular hydrogen bonds persist on the present window, as in AChE–Aβ trajectories and in isolated stable complexes </w:t>
      </w:r>
      <w:r>
        <w:fldChar w:fldCharType="begin"/>
      </w:r>
      <w:r>
        <w:instrText xml:space="preserve"> ADDIN ZOTERO_ITEM CSL_CITATION {"citationID":"ebc90639","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fldChar w:fldCharType="separate"/>
      </w:r>
      <w:r>
        <w:t>[20,21,38]</w:t>
      </w:r>
      <w:r>
        <w:fldChar w:fldCharType="end"/>
      </w:r>
      <w:r>
        <w:t xml:space="preserve">. Third, restricted acetylcholine access: physical blockage at the 20-Å gorge entrance can hinder substrate even while the catalytic core remains folded, the steric-blockade and allosteric mode described for PAS ligands </w:t>
      </w:r>
      <w:r>
        <w:fldChar w:fldCharType="begin"/>
      </w:r>
      <w:r>
        <w:instrText xml:space="preserve"> ADDIN ZOTERO_ITEM CSL_CITATION {"citationID":"0f834b61","properties":{"formattedCitation":"[46,53]","plainCitation":"[46,53]","dontUpdate":false,"noteIndex":0},"citationItems":[{"id":46,"uris":["http://zotero.org/users/local/items/johnson2006pas"],"itemData":{"id":46,"type":"article-journal","title":"The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[46,53]</w:t>
      </w:r>
      <w:r>
        <w:fldChar w:fldCharType="end"/>
      </w:r>
      <w:r>
        <w:t xml:space="preserve">. Fourth, pathological chaperone activity: AChE accelerates Aβ fibril assembly through the PAS, and AChE–Aβ particles are more toxic than free peptide </w:t>
      </w:r>
      <w:r>
        <w:fldChar w:fldCharType="begin"/>
      </w:r>
      <w:r>
        <w:instrText xml:space="preserve"> ADDIN ZOTERO_ITEM CSL_CITATION {"citationID":"33a5287a","properties":{"formattedCitation":"[4,38–39]","plainCitation":"[4,38–39]","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[4,38–39]</w:t>
      </w:r>
      <w:r>
        <w:fldChar w:fldCharType="end"/>
      </w:r>
      <w:r>
        <w:t xml:space="preserve">. A short hydrophobic PAS motif of the enzyme is sufficient for that chaperone effect </w:t>
      </w:r>
      <w:r>
        <w:fldChar w:fldCharType="begin"/>
      </w:r>
      <w:r>
        <w:instrText xml:space="preserve"> ADDIN ZOTERO_ITEM CSL_CITATION {"citationID":"0f939d13","properties":{"formattedCitation":"[5]","plainCitation":"[5]","dontUpdate":false,"noteIndex":0},"citationItems":[{"id":5,"uris":["http://zotero.org/users/local/items/deferrari2001motif"],"itemData":{"id":5,"type":"article-journal","title":"A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Reviews place plaque-associated AChE in cross-talk with Aβ still sensitive to PAS blockade </w:t>
      </w:r>
      <w:r>
        <w:fldChar w:fldCharType="begin"/>
      </w:r>
      <w:r>
        <w:instrText xml:space="preserve"> ADDIN ZOTERO_ITEM CSL_CITATION {"citationID":"ccf28493","properties":{"formattedCitation":"[43]","plainCitation":"[43]","dontUpdate":false,"noteIndex":0},"citationItems":[{"id":43,"uris":["http://zotero.org/users/local/items/carvajal2011ache"],"itemData":{"id":43,"type":"article-journal","title":"Interactions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fldChar w:fldCharType="separate"/>
      </w:r>
      <w:r>
        <w:t>[43]</w:t>
      </w:r>
      <w:r>
        <w:fldChar w:fldCharType="end"/>
      </w:r>
      <w:r>
        <w:t xml:space="preserve">. A peptide that remains at that surface can lower the nucleation barrier for endogenous Aβ. Folded AChE would then present a peptide-coated PAS on which Aβ oligomers can co-assemble, which accounts for the greater hippocampal damage of AChE–Aβ particles relative to free fibrils </w:t>
      </w:r>
      <w:r>
        <w:fldChar w:fldCharType="begin"/>
      </w:r>
      <w:r>
        <w:instrText xml:space="preserve"> ADDIN ZOTERO_ITEM CSL_CITATION {"citationID":"f3437b8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PAS-directed small molecules block AChE-induced aggregation </w:t>
      </w:r>
      <w:r>
        <w:fldChar w:fldCharType="begin"/>
      </w:r>
      <w:r>
        <w:instrText xml:space="preserve"> ADDIN ZOTERO_ITEM CSL_CITATION {"citationID":"2bdff34e","properties":{"formattedCitation":"[6]","plainCitation":"[6]","dontUpdate":false,"noteIndex":0},"citationItems":[{"id":6,"uris":["http://zotero.org/users/local/items/bartolini2003pas"],"itemData":{"id":6,"type":"article-journal","title":"$\\beta$-Amyloid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those ligands inhibit the chaperone surface. The AChE–Aβ literature describes a peptide ligand that uses the same surface as a nucleation site </w:t>
      </w:r>
      <w:r>
        <w:fldChar w:fldCharType="begin"/>
      </w:r>
      <w:r>
        <w:instrText xml:space="preserve"> ADDIN ZOTERO_ITEM CSL_CITATION {"citationID":"ed21f369","properties":{"formattedCitation":"[4,20,21]","plainCitation":"[4,20,21]","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[4,20,21]</w:t>
      </w:r>
      <w:r>
        <w:fldChar w:fldCharType="end"/>
      </w:r>
      <w:r>
        <w:t>. An oral heptapeptide that stays at PAS belongs with that peptide class. The four steps remain a hypothesis: this study does not measure acetylcholine hydrolysis or Aβ aggregation.</w:t>
      </w:r>
    </w:p>
    <w:p>
      <w:pPr>
        <w:pStyle w:val="7"/>
      </w:pPr>
      <w:r>
        <w:t xml:space="preserve">PAS pharmacology in AChE has mostly been small molecules. PAS ligands reduce AChE-induced aggregation without requiring catalytic-site occupancy </w:t>
      </w:r>
      <w:r>
        <w:fldChar w:fldCharType="begin"/>
      </w:r>
      <w:r>
        <w:instrText xml:space="preserve"> ADDIN ZOTERO_ITEM CSL_CITATION {"citationID":"2cfc4c28","properties":{"formattedCitation":"[6]","plainCitation":"[6]","dontUpdate":false,"noteIndex":0},"citationItems":[{"id":6,"uris":["http://zotero.org/users/local/items/bartolini2003pas"],"itemData":{"id":6,"type":"article-journal","title":"$\\beta$-Amyloid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Donepezil in 4EY6 spans PAS Trp286 to the catalytic anionic site, a dual-binding template mapped on Torpedo AChE </w:t>
      </w:r>
      <w:r>
        <w:fldChar w:fldCharType="begin"/>
      </w:r>
      <w:r>
        <w:instrText xml:space="preserve"> ADDIN ZOTERO_ITEM CSL_CITATION {"citationID":"1c8144e3","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[22–23]</w:t>
      </w:r>
      <w:r>
        <w:fldChar w:fldCharType="end"/>
      </w:r>
      <w:r>
        <w:t xml:space="preserve">. That surface has been treated as a design handle for ligands that modulate heterologous protein associations, including Aβ </w:t>
      </w:r>
      <w:r>
        <w:fldChar w:fldCharType="begin"/>
      </w:r>
      <w:r>
        <w:instrText xml:space="preserve"> ADDIN ZOTERO_ITEM CSL_CITATION {"citationID":"6300f3c3","properties":{"formattedCitation":"[46]","plainCitation":"[46]","dontUpdate":false,"noteIndex":0},"citationItems":[{"id":46,"uris":["http://zotero.org/users/local/items/johnson2006pas"],"itemData":{"id":46,"type":"article-journal","title":"The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Dual-binding inhibitors were designed to occupy PAS and the catalytic anionic site at once, with the therapeutic aim of slowing both acetylcholine hydrolysis and PAS-templated Aβ assembly </w:t>
      </w:r>
      <w:r>
        <w:fldChar w:fldCharType="begin"/>
      </w:r>
      <w:r>
        <w:instrText xml:space="preserve"> ADDIN ZOTERO_ITEM CSL_CITATION {"citationID":"c90c9eb3","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[44,46]</w:t>
      </w:r>
      <w:r>
        <w:fldChar w:fldCharType="end"/>
      </w:r>
      <w:r>
        <w:t>.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7"/>
      </w:pPr>
      <w:r>
        <w:t>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four-step cascade above is the working hypothesis: an oral micropeptide that remains at PAS can form a lasting complex, restrict gorge access and coat the documented chaperone surface. Later assays of peptide–AChE binding, AChE catalysis and Aβ aggregation, together with expression and exposure data, are required to test that cascade.</w:t>
      </w:r>
    </w:p>
    <w:p>
      <w:pPr>
        <w:pStyle w:val="3"/>
        <w:keepNext/>
      </w:pPr>
      <w:r>
        <w:t>Conclusions</w:t>
      </w:r>
    </w:p>
    <w:p>
      <w:pPr>
        <w:pStyle w:val="7"/>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3"/>
        <w:keepNext/>
      </w:pPr>
      <w:r>
        <w:t>References</w:t>
      </w:r>
    </w:p>
    <w:p>
      <w:pPr>
        <w:pStyle w:val="13"/>
        <w:ind w:left="360" w:hanging="360"/>
      </w:pPr>
      <w:r>
        <w:fldChar w:fldCharType="begin"/>
      </w:r>
      <w:r>
        <w:instrText xml:space="preserve"> ADDIN ZOTERO_BIBL {"uncited":[],"omitted":[],"custom":[]} CSL_BIBLIOGRAPHY</w:instrText>
      </w:r>
      <w: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13"/>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13"/>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13"/>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13"/>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13"/>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13"/>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13"/>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13"/>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13"/>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13"/>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13"/>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13"/>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13"/>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13"/>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13"/>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13"/>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13"/>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13"/>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13"/>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13"/>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13"/>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13"/>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13"/>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13"/>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13"/>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13"/>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13"/>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13"/>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13"/>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13"/>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13"/>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13"/>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13"/>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13"/>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13"/>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13"/>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13"/>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13"/>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13"/>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13"/>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13"/>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13"/>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13"/>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13"/>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13"/>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13"/>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13"/>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13"/>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13"/>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13"/>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13"/>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13"/>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13"/>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fldChar w:fldCharType="end"/>
      </w:r>
    </w:p>
    <w:sectPr>
      <w:pgSz w:w="11906" w:h="16838"/>
      <w:pgMar w:top="1440" w:right="1440" w:bottom="1440" w:left="1440" w:header="600" w:footer="600" w:gutter="0"/>
      <w:cols w:space="720" w:num="1"/>
      <w:docGrid w:linePitch="48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
  <w:rsids>
    <w:rsidRoot w:val="00000000"/>
    <w:rsid w:val="08B66560"/>
    <w:rsid w:val="0E3A4805"/>
    <w:rsid w:val="24406931"/>
    <w:rsid w:val="72A17F74"/>
    <w:rsid w:val="752F6F4B"/>
    <w:rsid w:val="792C6CB9"/>
    <w:rsid w:val="7FA40B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0" w:line="480" w:lineRule="auto"/>
      <w:jc w:val="both"/>
    </w:pPr>
    <w:rPr>
      <w:rFonts w:ascii="Times New Roman" w:hAnsi="Times New Roman" w:eastAsia="宋体" w:cs="Times New Roman"/>
      <w:sz w:val="24"/>
      <w:szCs w:val="24"/>
      <w:lang w:val="en-US" w:eastAsia="zh-CN"/>
    </w:rPr>
  </w:style>
  <w:style w:type="paragraph" w:styleId="2">
    <w:name w:val="heading 1"/>
    <w:basedOn w:val="1"/>
    <w:next w:val="1"/>
    <w:qFormat/>
    <w:uiPriority w:val="0"/>
    <w:pPr>
      <w:keepNext/>
      <w:keepLines/>
      <w:spacing w:before="240" w:after="120"/>
      <w:jc w:val="left"/>
      <w:outlineLvl w:val="0"/>
    </w:pPr>
    <w:rPr>
      <w:rFonts w:ascii="Times New Roman" w:hAnsi="Times New Roman" w:eastAsia="黑体"/>
      <w:b/>
      <w:color w:val="000000"/>
      <w:sz w:val="30"/>
      <w:szCs w:val="30"/>
    </w:rPr>
  </w:style>
  <w:style w:type="paragraph" w:styleId="3">
    <w:name w:val="heading 2"/>
    <w:basedOn w:val="1"/>
    <w:next w:val="1"/>
    <w:qFormat/>
    <w:uiPriority w:val="0"/>
    <w:pPr>
      <w:keepNext/>
      <w:keepLines/>
      <w:spacing w:before="240" w:after="120"/>
      <w:jc w:val="left"/>
      <w:outlineLvl w:val="1"/>
    </w:pPr>
    <w:rPr>
      <w:rFonts w:ascii="Times New Roman" w:hAnsi="Times New Roman" w:eastAsia="黑体"/>
      <w:b/>
      <w:color w:val="000000"/>
      <w:sz w:val="28"/>
      <w:szCs w:val="28"/>
    </w:rPr>
  </w:style>
  <w:style w:type="paragraph" w:styleId="4">
    <w:name w:val="heading 3"/>
    <w:basedOn w:val="1"/>
    <w:next w:val="1"/>
    <w:qFormat/>
    <w:uiPriority w:val="0"/>
    <w:pPr>
      <w:keepNext/>
      <w:keepLines/>
      <w:spacing w:before="180" w:after="60"/>
      <w:outlineLvl w:val="2"/>
    </w:pPr>
    <w:rPr>
      <w:rFonts w:ascii="Times New Roman" w:hAnsi="Times New Roman" w:eastAsia="黑体"/>
      <w:b/>
      <w:i/>
      <w:color w:val="000000"/>
      <w:sz w:val="24"/>
      <w:szCs w:val="24"/>
    </w:rPr>
  </w:style>
  <w:style w:type="paragraph" w:styleId="5">
    <w:name w:val="heading 4"/>
    <w:basedOn w:val="1"/>
    <w:next w:val="1"/>
    <w:qFormat/>
    <w:uiPriority w:val="0"/>
    <w:pPr>
      <w:keepNext/>
      <w:spacing w:before="120" w:after="0"/>
      <w:outlineLvl w:val="3"/>
    </w:pPr>
    <w:rPr>
      <w:i/>
      <w:color w:val="000000"/>
      <w:sz w:val="24"/>
      <w:szCs w:val="24"/>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caption"/>
    <w:basedOn w:val="1"/>
    <w:next w:val="1"/>
    <w:uiPriority w:val="0"/>
    <w:pPr>
      <w:keepNext/>
      <w:spacing w:before="120" w:after="60" w:line="240" w:lineRule="auto"/>
      <w:jc w:val="left"/>
    </w:pPr>
    <w:rPr>
      <w:sz w:val="20"/>
      <w:szCs w:val="20"/>
    </w:rPr>
  </w:style>
  <w:style w:type="paragraph" w:styleId="7">
    <w:name w:val="Body Text"/>
    <w:basedOn w:val="1"/>
    <w:qFormat/>
    <w:uiPriority w:val="0"/>
    <w:pPr>
      <w:widowControl/>
      <w:spacing w:before="0" w:after="0" w:line="480" w:lineRule="auto"/>
      <w:ind w:firstLine="480"/>
      <w:jc w:val="both"/>
    </w:pPr>
    <w:rPr>
      <w:sz w:val="24"/>
      <w:szCs w:val="24"/>
    </w:rPr>
  </w:style>
  <w:style w:type="paragraph" w:customStyle="1" w:styleId="10">
    <w:name w:val="Note"/>
    <w:basedOn w:val="1"/>
    <w:uiPriority w:val="0"/>
    <w:pPr>
      <w:spacing w:after="0" w:line="480" w:lineRule="auto"/>
    </w:pPr>
    <w:rPr>
      <w:i/>
      <w:sz w:val="24"/>
      <w:szCs w:val="24"/>
    </w:rPr>
  </w:style>
  <w:style w:type="paragraph" w:customStyle="1" w:styleId="11">
    <w:name w:val="Keywords"/>
    <w:basedOn w:val="1"/>
    <w:uiPriority w:val="0"/>
    <w:pPr>
      <w:spacing w:after="120" w:line="480" w:lineRule="auto"/>
    </w:pPr>
    <w:rPr>
      <w:sz w:val="24"/>
      <w:szCs w:val="24"/>
    </w:rPr>
  </w:style>
  <w:style w:type="paragraph" w:customStyle="1" w:styleId="12">
    <w:name w:val="Figure"/>
    <w:basedOn w:val="1"/>
    <w:uiPriority w:val="0"/>
  </w:style>
  <w:style w:type="paragraph" w:customStyle="1" w:styleId="13">
    <w:name w:val="Reference"/>
    <w:basedOn w:val="1"/>
    <w:uiPriority w:val="0"/>
    <w:pPr>
      <w:spacing w:after="0" w:line="480" w:lineRule="auto"/>
      <w:jc w:val="left"/>
    </w:pPr>
    <w:rPr>
      <w:sz w:val="24"/>
      <w:szCs w:val="24"/>
    </w:rPr>
  </w:style>
  <w:style w:type="paragraph" w:styleId="14">
    <w:name w:val="List Paragraph"/>
    <w:basedOn w:val="1"/>
    <w:uiPriority w:val="0"/>
    <w:pPr>
      <w:spacing w:after="0" w:line="480" w:lineRule="auto"/>
    </w:pPr>
  </w:style>
  <w:style w:type="paragraph" w:customStyle="1" w:styleId="15">
    <w:name w:val="Table Text"/>
    <w:basedOn w:val="1"/>
    <w:uiPriority w:val="0"/>
    <w:pPr>
      <w:spacing w:before="0" w:after="0" w:line="240" w:lineRule="auto"/>
      <w:jc w:val="left"/>
    </w:pPr>
    <w:rPr>
      <w:sz w:val="20"/>
      <w:szCs w:val="20"/>
    </w:rPr>
  </w:style>
  <w:style w:type="table" w:customStyle="1" w:styleId="16">
    <w:name w:val="Three-Line Table"/>
    <w:uiPriority w:val="0"/>
    <w:tblPr>
      <w:tblBorders>
        <w:top w:val="single" w:color="000000" w:sz="12" w:space="0"/>
        <w:bottom w:val="single" w:color="000000" w:sz="12"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TotalTime>0</TotalTime>
  <ScaleCrop>false</ScaleCrop>
  <LinksUpToDate>false</LinksUpToDate>
  <Application>WPS Office_11.8.2.12344_F1E327BC-269C-435d-A152-05C5408002CA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2026-08-23T00:00:00Z</dcterms:created>
  <dc:creator>文少</dc:creator>
  <cp:lastModifiedBy>文少</cp:lastModifiedBy>
  <dcterms:modified xsi:type="dcterms:W3CDTF">2026-10-12T02:35:26Z</dcterms:modified>
  <dc:title>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2052-11.8.2.12344</vt:lpwstr>
  </property>
  <property fmtid="{D5CDD505-2E9C-101B-9397-08002B2CF9AE}" pid="3" name="ICV">
    <vt:lpwstr>AE36664B6B234EB398182BE9DDE2C391</vt:lpwstr>
  </property>
</Properties>
</file>