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keepNext/>
      </w:pPr>
      <w:r>
        <w:t>深度学习引导的牙周炎—阿尔茨海默病界面口腔微肽多模型优选</w:t>
      </w:r>
    </w:p>
    <w:p>
      <w:pPr>
        <w:pStyle w:val="Heading2"/>
        <w:keepNext/>
      </w:pPr>
      <w:r>
        <w:t>摘要</w:t>
      </w:r>
    </w:p>
    <w:p>
      <w:pPr>
        <w:pStyle w:val="Normal"/>
      </w:pPr>
      <w:r>
        <w:rPr>
          <w:b/>
        </w:rPr>
        <w:t>背景：</w:t>
      </w:r>
      <w:r>
        <w:t xml:space="preserve"> 阿尔茨海默病（Alzheimer’s disease，AD）涉及淀粉样蛋白、tau、神经免疫和血管异常的相互作用。牙周感染，特别是涉及牙龈卟啉单胞菌（</w:t>
      </w:r>
      <w:r>
        <w:rPr>
          <w:i/>
        </w:rPr>
        <w:t>Porphyromonas gingivalis</w:t>
      </w:r>
      <w:r>
        <w:t>）的感染，被认为可能参与这一多因素过程，但其在人类中的因果关系和分子链路仍未解决。</w:t>
      </w:r>
    </w:p>
    <w:p>
      <w:pPr>
        <w:pStyle w:val="Normal"/>
      </w:pPr>
      <w:r>
        <w:rPr>
          <w:b/>
        </w:rPr>
        <w:t>目的：</w:t>
      </w:r>
      <w:r>
        <w:t xml:space="preserve"> 在由</w:t>
      </w:r>
      <w:r>
        <w:rPr>
          <w:i/>
        </w:rPr>
        <w:t>P. gingivalis</w:t>
      </w:r>
      <w:r>
        <w:t>启发、但不进行菌种来源指认的AD假设框架内，优选可供机制验证的口腔微肽候选。</w:t>
      </w:r>
    </w:p>
    <w:p>
      <w:pPr>
        <w:pStyle w:val="Normal"/>
      </w:pPr>
      <w:r>
        <w:rPr>
          <w:b/>
        </w:rPr>
        <w:t>方法：</w:t>
      </w:r>
      <w:r>
        <w:t xml:space="preserve"> 对健康标记和牙周炎标记的口腔宏基因组候选集汇总记录实施深度学习引导的级联分析，整合蛋白质语言模型嵌入、任务特异性卷积神经网络、分层神经网络金属结合预测及多任务抗氧化预测。核查公共登录记录，以区分PRJNA678453来源队列与其衍生的EBI-EMG/MGnify第三方注释（TPA）组装项目PRJEB65451。来源报告乙酰胆碱酯酶（AChE）对接单独汇总，并仅进行描述性计算。</w:t>
      </w:r>
    </w:p>
    <w:p>
      <w:pPr>
        <w:pStyle w:val="Normal"/>
      </w:pPr>
      <w:r>
        <w:rPr>
          <w:b/>
        </w:rPr>
        <w:t>结果：</w:t>
      </w:r>
      <w:r>
        <w:t xml:space="preserve"> 所提供漏斗始于11,269,961条健康标记和11,721,988条牙周炎标记smORF，分别保留31,510条和33,786条经蛋白质组支持的非冗余候选。后续汇总记录包含3,518条BBB高分候选；NTxPred2实际覆盖3,299条，其中923条被判为神经毒性阳性。金属结合和抗氧化筛选依次保留111、15、12和最终8条候选。另一份外部记录列出12条序列，首尾为FLLHTTR和HVLLLRQCA，并报告其针对AChE的Vina均值范围为−9.60至−8.25 kcal/mol。</w:t>
      </w:r>
    </w:p>
    <w:p>
      <w:pPr>
        <w:pStyle w:val="Normal"/>
      </w:pPr>
      <w:r>
        <w:rPr>
          <w:b/>
        </w:rPr>
        <w:t>结论：</w:t>
      </w:r>
      <w:r>
        <w:t xml:space="preserve"> 本分析得到的是用于后续验证的紧凑计算候选集，而非已经证实的牙周炎—AD机制。序列来源链、菌种归属、独立对接复现和实验验证仍不可缺少。</w:t>
      </w:r>
    </w:p>
    <w:p>
      <w:pPr>
        <w:pStyle w:val="Keywords"/>
      </w:pPr>
      <w:r>
        <w:rPr>
          <w:b/>
        </w:rPr>
        <w:t>关键词：</w:t>
      </w:r>
      <w:r>
        <w:t xml:space="preserve"> 阿尔茨海默病；牙龈卟啉单胞菌；牙周炎；口腔微肽；宏基因组学；机器学习；乙酰胆碱酯酶</w:t>
      </w:r>
    </w:p>
    <w:p>
      <w:pPr>
        <w:pStyle w:val="Heading2"/>
        <w:keepNext/>
      </w:pPr>
      <w:r>
        <w:t>引言</w:t>
      </w:r>
    </w:p>
    <w:p>
      <w:pPr>
        <w:pStyle w:val="Normal"/>
      </w:pPr>
      <w:r>
        <w:t>阿尔茨海默病（Alzheimer’s disease，AD）是一种进行性神经退行性疾病，也是痴呆的首要原因，其病理连续过程可在明显认知障碍出现前多年启动[1]。当前疾病模型将淀粉样蛋白β积累置于tau病理、突触功能障碍、先天免疫激活和神经血管损伤相互作用的网络中，而不再把疾病进展归因于单一通路[2]。</w:t>
      </w:r>
    </w:p>
    <w:p>
      <w:pPr>
        <w:pStyle w:val="Normal"/>
      </w:pPr>
      <w:r>
        <w:t>牙周炎是一种与菌群失调相关的慢性炎症性疾病，其潜在神经系统影响推动了口腔—脑轴研究[3]。在失调性牙周生物膜中，牙龈卟啉单胞菌（</w:t>
      </w:r>
      <w:r>
        <w:rPr>
          <w:i/>
        </w:rPr>
        <w:t>Porphyromonas gingivalis</w:t>
      </w:r>
      <w:r>
        <w:t>）是一种具有显著免疫调节和组织破坏能力的革兰阴性厌氧条件致病菌[4]。溃疡化牙周界面可能使机体间歇性暴露于细菌、炎症介质和毒力产物，从而为局部口腔感染影响远隔组织提供生物学上合理的路径。</w:t>
      </w:r>
    </w:p>
    <w:p>
      <w:pPr>
        <w:pStyle w:val="Normal"/>
      </w:pPr>
      <w:r>
        <w:t>多条互不排斥的路径可能连接</w:t>
      </w:r>
      <w:r>
        <w:rPr>
          <w:i/>
        </w:rPr>
        <w:t>P. gingivalis</w:t>
      </w:r>
      <w:r>
        <w:t>暴露与AD相关分子过程。一项死后组织研究在AD脑组织中报告了</w:t>
      </w:r>
      <w:r>
        <w:rPr>
          <w:i/>
        </w:rPr>
        <w:t>P. gingivalis</w:t>
      </w:r>
      <w:r>
        <w:t xml:space="preserve"> DNA和牙龈蛋白酶免疫反应性，但这些观察尚不足以确定方向性或因果关系[5]。在野生型小鼠中，反复口腔感染引起神经炎症和淀粉样蛋白相关改变，支持实验可行性，但不能直接外推到人类[6]。另一项小鼠研究显示，</w:t>
      </w:r>
      <w:r>
        <w:rPr>
          <w:i/>
        </w:rPr>
        <w:t>P. gingivalis</w:t>
      </w:r>
      <w:r>
        <w:t>外膜囊泡可到达脑组织，并与炎症小体激活、tau磷酸化和记忆功能障碍相关[7]。相反，一项双样本孟德尔随机化分析未发现牙周病导致AD的遗传学证据，进一步表明人类因果关系仍未解决[8]。</w:t>
      </w:r>
    </w:p>
    <w:p>
      <w:pPr>
        <w:pStyle w:val="Normal"/>
      </w:pPr>
      <w:r>
        <w:t>因此，牙周菌群失调与神经退行性改变之间的分子桥梁仍不完整。人类相关微生物组中广泛存在小开放阅读框，并编码数量庞大但尚未得到充分表征的肽分子库[9]。计算注释能够发现常规基因识别流程容易遗漏的候选小蛋白[10]。牙周炎标记口腔宏基因组候选集所代表的肽是否真实表达、能否从生物膜释放并进入循环、能否跨越血脑屏障（BBB），以及是否会影响神经元、金属/氧化还原或胆碱能过程，均属尚未解决的机制空白。为此，本研究实施深度学习引导的多模型优选，以形成可开展来源链重建和实验验证的候选集合。本分析明确保持探索性定位，不把候选归属于</w:t>
      </w:r>
      <w:r>
        <w:rPr>
          <w:i/>
        </w:rPr>
        <w:t>P. gingivalis</w:t>
      </w:r>
      <w:r>
        <w:t>，也不把模型分数视为AD机制证据。</w:t>
      </w:r>
    </w:p>
    <w:p>
      <w:pPr>
        <w:pStyle w:val="Heading2"/>
        <w:keepNext/>
      </w:pPr>
      <w:r>
        <w:t>材料与方法</w:t>
      </w:r>
    </w:p>
    <w:p>
      <w:pPr>
        <w:pStyle w:val="Heading3"/>
        <w:keepNext/>
      </w:pPr>
      <w:r>
        <w:t>研究设计与登录号来源</w:t>
      </w:r>
    </w:p>
    <w:p>
      <w:pPr>
        <w:pStyle w:val="Normal"/>
      </w:pPr>
      <w:r>
        <w:t>本研究为基于所提供汇总筛选记录的结构化描述性二次分析。记录包含健康标记和牙周炎标记候选的汇总数量，但不含参与者层面映射、登录号—分组对应表或逐行模型输出。</w:t>
      </w:r>
    </w:p>
    <w:p>
      <w:pPr>
        <w:pStyle w:val="Normal"/>
      </w:pPr>
      <w:r>
        <w:t>主要序列来源为BioProject PRJNA678453。已发表队列共22名参与者，包括11名口腔健康对照和11名牙周炎患者；共采集66份口腔标本，包括22份龈下菌斑、22份舌刮取物和22份刺激性唾液，并完成配对宏基因组和宏转录组测量[11]。PRJEB65451经核验为由PRJNA678453衍生、使用metaSPAdes v3.15.3组装并由EBI-EMG/MGnify代理的第三方注释宏基因组组装项目，而不是独立临床队列。ENA记录目前在PRJEB65451下列出118项序列组装分析；这些组装记录不被解释为参与者、临床标本或宏基因组组装基因组。由于该登录号链及队列论文不支持24名健康对照、26名牙周炎患者和296个高质量宏基因组组装基因组的另一种构成，本研究不使用这些数量。经核验的临床构成仅用于说明来源，不作为候选层面推断的分母。</w:t>
      </w:r>
    </w:p>
    <w:p>
      <w:pPr>
        <w:pStyle w:val="Heading3"/>
        <w:keepNext/>
      </w:pPr>
      <w:r>
        <w:t>候选定义与蛋白质组证据过滤</w:t>
      </w:r>
    </w:p>
    <w:p>
      <w:pPr>
        <w:pStyle w:val="Normal"/>
      </w:pPr>
      <w:r>
        <w:t>根据归档的汇总流程，编码4–50 aa肽的推定小开放阅读框按来源提供的健康状态标签分组。候选序列与来源记录中的口腔蛋白质组资源进行精确匹配，包括PXD003151、PXD004319、PXD026727及HOMD相关蛋白序列。精确匹配结果经去重后形成非冗余、具有蛋白质组支持的候选集合。由于逐序列输入和匹配表不可得，该阶段按来源报告过滤步骤处理，未被独立重新运行。</w:t>
      </w:r>
    </w:p>
    <w:p>
      <w:pPr>
        <w:pStyle w:val="Heading3"/>
        <w:keepNext/>
      </w:pPr>
      <w:r>
        <w:t>深度学习引导的多模型优选</w:t>
      </w:r>
    </w:p>
    <w:p>
      <w:pPr>
        <w:pStyle w:val="Normal"/>
      </w:pPr>
      <w:r>
        <w:t>本研究采用串行架构，依次整合上下文序列表征、任务特异性深度分类、分层金属结合预测和多任务抗氧化评分。各阶段回答不同的生物学优选问题，因此下游保留代表串行决策规则，而不是相互独立的实验确证。</w:t>
      </w:r>
    </w:p>
    <w:p>
      <w:pPr>
        <w:pStyle w:val="Normal"/>
      </w:pPr>
      <w:r>
        <w:t>首先，UniDL4BioPep使用预训练ESM-2模型</w:t>
      </w:r>
      <w:r>
        <w:rPr>
          <w:rFonts w:ascii="Consolas" w:hAnsi="Consolas" w:eastAsia="等线"/>
          <w:shd w:val="clear" w:color="auto" w:fill="F2F4F7"/>
        </w:rPr>
        <w:t>esm2_t6_8M_UR50D</w:t>
      </w:r>
      <w:r>
        <w:t>，将每条肽转换为320维上下文敏感嵌入。该嵌入随后输入针对不同肽活性任务分别训练的六层深度卷积神经网络[12]。预测概率≥0.8定义为高置信度模型输出，仅BBB概率≥0.8的候选进入后续级联。</w:t>
      </w:r>
    </w:p>
    <w:p>
      <w:pPr>
        <w:pStyle w:val="Normal"/>
      </w:pPr>
      <w:r>
        <w:t>其次，采用肽特异性NTxPred2架构评价神经毒性。该模型通过迁移学习，在神经毒性肽序列上微调ESM2-t30蛋白质语言模型[13]。分析仅覆盖模型规定的7–50 aa输入范围；长度小于7 aa的序列记录为模型覆盖范围之外，而不视为阴性预测。</w:t>
      </w:r>
    </w:p>
    <w:p>
      <w:pPr>
        <w:pStyle w:val="Normal"/>
      </w:pPr>
      <w:r>
        <w:t>第三，采用mebipred评价Cu、Fe和Zn相关结合潜力。该方法将氨基酸组成、理化描述符和金属结合5-mer频率整合到两级人工神经网络框架中：先由一般金属结合网络进行判定，再进入离子特异性神经分类器[14]。来源记录中的判定阈值为0.5。</w:t>
      </w:r>
    </w:p>
    <w:p>
      <w:pPr>
        <w:pStyle w:val="Normal"/>
      </w:pPr>
      <w:r>
        <w:t>第四，采用多任务深度卷积神经网络AnOxPePred评价抗氧化相关特征。经one-hot编码的肽序列依次通过一维卷积层、平均池化和含256个单元的全连接层，最终分别输出自由基清除（FRS）和螯合（CHEL）分数[15]。首先应用CHEL≥0.25阈值，再应用来源记录中的CHEL/FRS组合标准。</w:t>
      </w:r>
    </w:p>
    <w:p>
      <w:pPr>
        <w:pStyle w:val="Normal"/>
      </w:pPr>
      <w:r>
        <w:t>本次二次分析未重新训练或微调任何模型。历史网页服务器构建版本、模型哈希、随机种子、提交输入文件及逐行输出均未被保存。因此，上述算法说明记录的是文献所述架构及与本研究相关的肽模式，而阈值和保留数量仍属于来源报告的汇总记录。</w:t>
      </w:r>
    </w:p>
    <w:p>
      <w:pPr>
        <w:pStyle w:val="Heading3"/>
        <w:keepNext/>
      </w:pPr>
      <w:r>
        <w:t>外部序列表征与对接证据</w:t>
      </w:r>
    </w:p>
    <w:p>
      <w:pPr>
        <w:pStyle w:val="Normal"/>
      </w:pPr>
      <w:r>
        <w:t>外部12条序列记录作为独立证据层分析，不与汇总筛选漏斗进行逐行合并。使用版本控制代码直接依据序列字符串重新计算序列长度、分子质量、名义电荷、疏水残基比例和氨基酸组成。</w:t>
      </w:r>
    </w:p>
    <w:p>
      <w:pPr>
        <w:pStyle w:val="Normal"/>
      </w:pPr>
      <w:r>
        <w:t>AChE被选作结构分析背景靶点，是因为已有研究报告该酶可通过外周区域加速淀粉样蛋白β纤维形成[16]。外部记录指定人AChE结构PDB 4EY6，该结构具有配体结合结构信息[17]。Vina均值和标准差按来源报告精确转录。由于受体及配体原始文件、质子化状态、网格定义、构象、日志和逐次运行分数均不可得，本研究未重新运行对接，也不推断接触模式、亲和力或功能。该12条外部序列无法映射到更严格的8条汇总终点集。</w:t>
      </w:r>
    </w:p>
    <w:p>
      <w:pPr>
        <w:pStyle w:val="Heading3"/>
        <w:keepNext/>
      </w:pPr>
      <w:r>
        <w:t>统计分析与证据解释</w:t>
      </w:r>
    </w:p>
    <w:p>
      <w:pPr>
        <w:pStyle w:val="Normal"/>
      </w:pPr>
      <w:r>
        <w:t>所有分析均为描述性分析。保留率以前一个有记录的阶段作为分母。候选序列属于计算记账单位，而不是独立参与者或生物学重复，因此未开展健康—牙周炎假设检验、置信区间估计或肽层面推断模型，也未对缺失的逐行数据进行插补。</w:t>
      </w:r>
    </w:p>
    <w:p>
      <w:pPr>
        <w:pStyle w:val="Normal"/>
      </w:pPr>
      <w:r>
        <w:t>Vina分数仅用于来源记录内部排序，不被解释为实验亲和力或结合自由能[18]。当前Vina实现虽改进了搜索和力场选项，但仍无法消除受体准备、搜索空间定义及采样设置的影响[19]。鉴于蛋白质—肽识别可能涉及分散的界面热点片段，单一刚性受体对接排序不被转化为机制结论[20]。</w:t>
      </w:r>
    </w:p>
    <w:p>
      <w:pPr>
        <w:pStyle w:val="Heading2"/>
        <w:keepNext/>
      </w:pPr>
      <w:r>
        <w:t>结果</w:t>
      </w:r>
    </w:p>
    <w:p>
      <w:pPr>
        <w:pStyle w:val="Heading3"/>
        <w:keepNext/>
      </w:pPr>
      <w:r>
        <w:t>汇总优选漏斗</w:t>
      </w:r>
    </w:p>
    <w:p>
      <w:pPr>
        <w:pStyle w:val="Normal"/>
      </w:pPr>
      <w:r>
        <w:t>来源提供11,269,961条健康标记和11,721,988条牙周炎标记smORF。经蛋白质组匹配和去重后分别保留31,510条和33,786条候选，占各自起始库的0.2796%和0.2882%。后续记录包含3,518条BBB高分候选。219条长度小于7 aa的序列超出所记录的NTxPred2输入范围，NTxPred2对3,299条序列给出预测，其中923条标记为神经毒性阳性。面向Cu/Fe/Zn的mebipred筛选保留111条；AnOxPePred在CHEL≥0.25时保留15条，按记录的组合标准保留12条，最终优选8条。</w:t>
      </w:r>
    </w:p>
    <w:p>
      <w:pPr>
        <w:pStyle w:val="Normal"/>
      </w:pPr>
      <w:r>
        <w:rPr>
          <w:b/>
        </w:rPr>
        <w:t>表1. 汇总计算筛选漏斗。计数为描述性计算记账单位。</w:t>
      </w:r>
    </w:p>
    <w:tbl>
      <w:tblPr>
        <w:tblStyle w:val="TableGrid"/>
        <w:tblW w:w="5000" w:type="pct"/>
        <w:tblLayout w:type="fixed"/>
        <w:tblBorders>
          <w:top w:val="single" w:sz="4" w:space="0" w:color="9AA6B2"/>
          <w:left w:val="single" w:sz="4" w:space="0" w:color="9AA6B2"/>
          <w:bottom w:val="single" w:sz="4" w:space="0" w:color="9AA6B2"/>
          <w:right w:val="single" w:sz="4" w:space="0" w:color="9AA6B2"/>
          <w:insideH w:val="single" w:sz="4" w:space="0" w:color="9AA6B2"/>
          <w:insideV w:val="single" w:sz="4" w:space="0" w:color="9AA6B2"/>
        </w:tblBorders>
        <w:tblCellMar>
          <w:top w:w="70" w:type="dxa"/>
          <w:left w:w="80" w:type="dxa"/>
          <w:bottom w:w="70" w:type="dxa"/>
          <w:right w:w="80" w:type="dxa"/>
        </w:tblCellMar>
      </w:tblPr>
      <w:tblGrid>
        <w:gridCol w:w="3120"/>
        <w:gridCol w:w="3120"/>
        <w:gridCol w:w="3120"/>
      </w:tblGrid>
      <w:tr>
        <w:trPr>
          <w:tblHeader/>
        </w:trPr>
        <w:tc>
          <w:tcPr>
            <w:tcW w:w="3120" w:type="dxa"/>
            <w:shd w:val="clear" w:color="auto" w:fill="DCE6F1"/>
            <w:vAlign w:val="center"/>
          </w:tcPr>
          <w:p>
            <w:pPr>
              <w:pStyle w:val="TableText"/>
              <w:spacing w:before="0" w:after="0" w:line="220" w:lineRule="auto"/>
            </w:pPr>
            <w:r>
              <w:rPr>
                <w:sz w:val="17"/>
                <w:szCs w:val="17"/>
              </w:rPr>
              <w:t>阶段</w:t>
            </w:r>
          </w:p>
        </w:tc>
        <w:tc>
          <w:tcPr>
            <w:tcW w:w="3120" w:type="dxa"/>
            <w:shd w:val="clear" w:color="auto" w:fill="DCE6F1"/>
            <w:vAlign w:val="center"/>
          </w:tcPr>
          <w:p>
            <w:pPr>
              <w:pStyle w:val="TableText"/>
              <w:spacing w:before="0" w:after="0" w:line="220" w:lineRule="auto"/>
            </w:pPr>
            <w:r>
              <w:rPr>
                <w:sz w:val="17"/>
                <w:szCs w:val="17"/>
              </w:rPr>
              <w:t>保留数量</w:t>
            </w:r>
          </w:p>
        </w:tc>
        <w:tc>
          <w:tcPr>
            <w:tcW w:w="3120" w:type="dxa"/>
            <w:shd w:val="clear" w:color="auto" w:fill="DCE6F1"/>
            <w:vAlign w:val="center"/>
          </w:tcPr>
          <w:p>
            <w:pPr>
              <w:pStyle w:val="TableText"/>
              <w:spacing w:before="0" w:after="0" w:line="220" w:lineRule="auto"/>
            </w:pPr>
            <w:r>
              <w:rPr>
                <w:sz w:val="17"/>
                <w:szCs w:val="17"/>
              </w:rPr>
              <w:t>证据状态</w:t>
            </w:r>
          </w:p>
        </w:tc>
      </w:tr>
      <w:tr>
        <w:tc>
          <w:tcPr>
            <w:tcW w:w="3120" w:type="dxa"/>
            <w:vAlign w:val="center"/>
          </w:tcPr>
          <w:p>
            <w:pPr>
              <w:pStyle w:val="TableText"/>
              <w:spacing w:before="0" w:after="0" w:line="220" w:lineRule="auto"/>
            </w:pPr>
            <w:r>
              <w:rPr>
                <w:sz w:val="17"/>
                <w:szCs w:val="17"/>
              </w:rPr>
              <w:t>健康标记smORF</w:t>
            </w:r>
          </w:p>
        </w:tc>
        <w:tc>
          <w:tcPr>
            <w:tcW w:w="3120" w:type="dxa"/>
            <w:vAlign w:val="center"/>
          </w:tcPr>
          <w:p>
            <w:pPr>
              <w:pStyle w:val="TableText"/>
              <w:spacing w:before="0" w:after="0" w:line="220" w:lineRule="auto"/>
            </w:pPr>
            <w:r>
              <w:rPr>
                <w:sz w:val="17"/>
                <w:szCs w:val="17"/>
              </w:rPr>
              <w:t>11,269,961</w:t>
            </w:r>
          </w:p>
        </w:tc>
        <w:tc>
          <w:tcPr>
            <w:tcW w:w="3120" w:type="dxa"/>
            <w:vAlign w:val="center"/>
          </w:tcPr>
          <w:p>
            <w:pPr>
              <w:pStyle w:val="TableText"/>
              <w:spacing w:before="0" w:after="0" w:line="220" w:lineRule="auto"/>
            </w:pPr>
            <w:r>
              <w:rPr>
                <w:sz w:val="17"/>
                <w:szCs w:val="17"/>
              </w:rPr>
              <w:t>来源汇总计数</w:t>
            </w:r>
          </w:p>
        </w:tc>
      </w:tr>
      <w:tr>
        <w:tc>
          <w:tcPr>
            <w:tcW w:w="3120" w:type="dxa"/>
            <w:vAlign w:val="center"/>
          </w:tcPr>
          <w:p>
            <w:pPr>
              <w:pStyle w:val="TableText"/>
              <w:spacing w:before="0" w:after="0" w:line="220" w:lineRule="auto"/>
            </w:pPr>
            <w:r>
              <w:rPr>
                <w:sz w:val="17"/>
                <w:szCs w:val="17"/>
              </w:rPr>
              <w:t>牙周炎标记smORF</w:t>
            </w:r>
          </w:p>
        </w:tc>
        <w:tc>
          <w:tcPr>
            <w:tcW w:w="3120" w:type="dxa"/>
            <w:vAlign w:val="center"/>
          </w:tcPr>
          <w:p>
            <w:pPr>
              <w:pStyle w:val="TableText"/>
              <w:spacing w:before="0" w:after="0" w:line="220" w:lineRule="auto"/>
            </w:pPr>
            <w:r>
              <w:rPr>
                <w:sz w:val="17"/>
                <w:szCs w:val="17"/>
              </w:rPr>
              <w:t>11,721,988</w:t>
            </w:r>
          </w:p>
        </w:tc>
        <w:tc>
          <w:tcPr>
            <w:tcW w:w="3120" w:type="dxa"/>
            <w:vAlign w:val="center"/>
          </w:tcPr>
          <w:p>
            <w:pPr>
              <w:pStyle w:val="TableText"/>
              <w:spacing w:before="0" w:after="0" w:line="220" w:lineRule="auto"/>
            </w:pPr>
            <w:r>
              <w:rPr>
                <w:sz w:val="17"/>
                <w:szCs w:val="17"/>
              </w:rPr>
              <w:t>来源汇总计数</w:t>
            </w:r>
          </w:p>
        </w:tc>
      </w:tr>
      <w:tr>
        <w:tc>
          <w:tcPr>
            <w:tcW w:w="3120" w:type="dxa"/>
            <w:vAlign w:val="center"/>
          </w:tcPr>
          <w:p>
            <w:pPr>
              <w:pStyle w:val="TableText"/>
              <w:spacing w:before="0" w:after="0" w:line="220" w:lineRule="auto"/>
            </w:pPr>
            <w:r>
              <w:rPr>
                <w:sz w:val="17"/>
                <w:szCs w:val="17"/>
              </w:rPr>
              <w:t>蛋白质组支持的健康标记候选</w:t>
            </w:r>
          </w:p>
        </w:tc>
        <w:tc>
          <w:tcPr>
            <w:tcW w:w="3120" w:type="dxa"/>
            <w:vAlign w:val="center"/>
          </w:tcPr>
          <w:p>
            <w:pPr>
              <w:pStyle w:val="TableText"/>
              <w:spacing w:before="0" w:after="0" w:line="220" w:lineRule="auto"/>
            </w:pPr>
            <w:r>
              <w:rPr>
                <w:sz w:val="17"/>
                <w:szCs w:val="17"/>
              </w:rPr>
              <w:t>31,510</w:t>
            </w:r>
          </w:p>
        </w:tc>
        <w:tc>
          <w:tcPr>
            <w:tcW w:w="3120" w:type="dxa"/>
            <w:vAlign w:val="center"/>
          </w:tcPr>
          <w:p>
            <w:pPr>
              <w:pStyle w:val="TableText"/>
              <w:spacing w:before="0" w:after="0" w:line="220" w:lineRule="auto"/>
            </w:pPr>
            <w:r>
              <w:rPr>
                <w:sz w:val="17"/>
                <w:szCs w:val="17"/>
              </w:rPr>
              <w:t>来源汇总计数</w:t>
            </w:r>
          </w:p>
        </w:tc>
      </w:tr>
      <w:tr>
        <w:tc>
          <w:tcPr>
            <w:tcW w:w="3120" w:type="dxa"/>
            <w:vAlign w:val="center"/>
          </w:tcPr>
          <w:p>
            <w:pPr>
              <w:pStyle w:val="TableText"/>
              <w:spacing w:before="0" w:after="0" w:line="220" w:lineRule="auto"/>
            </w:pPr>
            <w:r>
              <w:rPr>
                <w:sz w:val="17"/>
                <w:szCs w:val="17"/>
              </w:rPr>
              <w:t>蛋白质组支持的牙周炎标记候选</w:t>
            </w:r>
          </w:p>
        </w:tc>
        <w:tc>
          <w:tcPr>
            <w:tcW w:w="3120" w:type="dxa"/>
            <w:vAlign w:val="center"/>
          </w:tcPr>
          <w:p>
            <w:pPr>
              <w:pStyle w:val="TableText"/>
              <w:spacing w:before="0" w:after="0" w:line="220" w:lineRule="auto"/>
            </w:pPr>
            <w:r>
              <w:rPr>
                <w:sz w:val="17"/>
                <w:szCs w:val="17"/>
              </w:rPr>
              <w:t>33,786</w:t>
            </w:r>
          </w:p>
        </w:tc>
        <w:tc>
          <w:tcPr>
            <w:tcW w:w="3120" w:type="dxa"/>
            <w:vAlign w:val="center"/>
          </w:tcPr>
          <w:p>
            <w:pPr>
              <w:pStyle w:val="TableText"/>
              <w:spacing w:before="0" w:after="0" w:line="220" w:lineRule="auto"/>
            </w:pPr>
            <w:r>
              <w:rPr>
                <w:sz w:val="17"/>
                <w:szCs w:val="17"/>
              </w:rPr>
              <w:t>来源汇总计数</w:t>
            </w:r>
          </w:p>
        </w:tc>
      </w:tr>
      <w:tr>
        <w:tc>
          <w:tcPr>
            <w:tcW w:w="3120" w:type="dxa"/>
            <w:vAlign w:val="center"/>
          </w:tcPr>
          <w:p>
            <w:pPr>
              <w:pStyle w:val="TableText"/>
              <w:spacing w:before="0" w:after="0" w:line="220" w:lineRule="auto"/>
            </w:pPr>
            <w:r>
              <w:rPr>
                <w:sz w:val="17"/>
                <w:szCs w:val="17"/>
              </w:rPr>
              <w:t>BBB概率≥0.8</w:t>
            </w:r>
          </w:p>
        </w:tc>
        <w:tc>
          <w:tcPr>
            <w:tcW w:w="3120" w:type="dxa"/>
            <w:vAlign w:val="center"/>
          </w:tcPr>
          <w:p>
            <w:pPr>
              <w:pStyle w:val="TableText"/>
              <w:spacing w:before="0" w:after="0" w:line="220" w:lineRule="auto"/>
            </w:pPr>
            <w:r>
              <w:rPr>
                <w:sz w:val="17"/>
                <w:szCs w:val="17"/>
              </w:rPr>
              <w:t>3,518</w:t>
            </w:r>
          </w:p>
        </w:tc>
        <w:tc>
          <w:tcPr>
            <w:tcW w:w="3120" w:type="dxa"/>
            <w:vAlign w:val="center"/>
          </w:tcPr>
          <w:p>
            <w:pPr>
              <w:pStyle w:val="TableText"/>
              <w:spacing w:before="0" w:after="0" w:line="220" w:lineRule="auto"/>
            </w:pPr>
            <w:r>
              <w:rPr>
                <w:sz w:val="17"/>
                <w:szCs w:val="17"/>
              </w:rPr>
              <w:t>来源模型汇总</w:t>
            </w:r>
          </w:p>
        </w:tc>
      </w:tr>
      <w:tr>
        <w:tc>
          <w:tcPr>
            <w:tcW w:w="3120" w:type="dxa"/>
            <w:vAlign w:val="center"/>
          </w:tcPr>
          <w:p>
            <w:pPr>
              <w:pStyle w:val="TableText"/>
              <w:spacing w:before="0" w:after="0" w:line="220" w:lineRule="auto"/>
            </w:pPr>
            <w:r>
              <w:rPr>
                <w:sz w:val="17"/>
                <w:szCs w:val="17"/>
              </w:rPr>
              <w:t>NTxPred2实际输出</w:t>
            </w:r>
          </w:p>
        </w:tc>
        <w:tc>
          <w:tcPr>
            <w:tcW w:w="3120" w:type="dxa"/>
            <w:vAlign w:val="center"/>
          </w:tcPr>
          <w:p>
            <w:pPr>
              <w:pStyle w:val="TableText"/>
              <w:spacing w:before="0" w:after="0" w:line="220" w:lineRule="auto"/>
            </w:pPr>
            <w:r>
              <w:rPr>
                <w:sz w:val="17"/>
                <w:szCs w:val="17"/>
              </w:rPr>
              <w:t>3,299</w:t>
            </w:r>
          </w:p>
        </w:tc>
        <w:tc>
          <w:tcPr>
            <w:tcW w:w="3120" w:type="dxa"/>
            <w:vAlign w:val="center"/>
          </w:tcPr>
          <w:p>
            <w:pPr>
              <w:pStyle w:val="TableText"/>
              <w:spacing w:before="0" w:after="0" w:line="220" w:lineRule="auto"/>
            </w:pPr>
            <w:r>
              <w:rPr>
                <w:sz w:val="17"/>
                <w:szCs w:val="17"/>
              </w:rPr>
              <w:t>来源模型汇总</w:t>
            </w:r>
          </w:p>
        </w:tc>
      </w:tr>
      <w:tr>
        <w:tc>
          <w:tcPr>
            <w:tcW w:w="3120" w:type="dxa"/>
            <w:vAlign w:val="center"/>
          </w:tcPr>
          <w:p>
            <w:pPr>
              <w:pStyle w:val="TableText"/>
              <w:spacing w:before="0" w:after="0" w:line="220" w:lineRule="auto"/>
            </w:pPr>
            <w:r>
              <w:rPr>
                <w:sz w:val="17"/>
                <w:szCs w:val="17"/>
              </w:rPr>
              <w:t>神经毒性阳性</w:t>
            </w:r>
          </w:p>
        </w:tc>
        <w:tc>
          <w:tcPr>
            <w:tcW w:w="3120" w:type="dxa"/>
            <w:vAlign w:val="center"/>
          </w:tcPr>
          <w:p>
            <w:pPr>
              <w:pStyle w:val="TableText"/>
              <w:spacing w:before="0" w:after="0" w:line="220" w:lineRule="auto"/>
            </w:pPr>
            <w:r>
              <w:rPr>
                <w:sz w:val="17"/>
                <w:szCs w:val="17"/>
              </w:rPr>
              <w:t>923</w:t>
            </w:r>
          </w:p>
        </w:tc>
        <w:tc>
          <w:tcPr>
            <w:tcW w:w="3120" w:type="dxa"/>
            <w:vAlign w:val="center"/>
          </w:tcPr>
          <w:p>
            <w:pPr>
              <w:pStyle w:val="TableText"/>
              <w:spacing w:before="0" w:after="0" w:line="220" w:lineRule="auto"/>
            </w:pPr>
            <w:r>
              <w:rPr>
                <w:sz w:val="17"/>
                <w:szCs w:val="17"/>
              </w:rPr>
              <w:t>来源模型汇总</w:t>
            </w:r>
          </w:p>
        </w:tc>
      </w:tr>
      <w:tr>
        <w:tc>
          <w:tcPr>
            <w:tcW w:w="3120" w:type="dxa"/>
            <w:vAlign w:val="center"/>
          </w:tcPr>
          <w:p>
            <w:pPr>
              <w:pStyle w:val="TableText"/>
              <w:spacing w:before="0" w:after="0" w:line="220" w:lineRule="auto"/>
            </w:pPr>
            <w:r>
              <w:rPr>
                <w:sz w:val="17"/>
                <w:szCs w:val="17"/>
              </w:rPr>
              <w:t>Cu/Fe/Zn金属结合阳性</w:t>
            </w:r>
          </w:p>
        </w:tc>
        <w:tc>
          <w:tcPr>
            <w:tcW w:w="3120" w:type="dxa"/>
            <w:vAlign w:val="center"/>
          </w:tcPr>
          <w:p>
            <w:pPr>
              <w:pStyle w:val="TableText"/>
              <w:spacing w:before="0" w:after="0" w:line="220" w:lineRule="auto"/>
            </w:pPr>
            <w:r>
              <w:rPr>
                <w:sz w:val="17"/>
                <w:szCs w:val="17"/>
              </w:rPr>
              <w:t>111</w:t>
            </w:r>
          </w:p>
        </w:tc>
        <w:tc>
          <w:tcPr>
            <w:tcW w:w="3120" w:type="dxa"/>
            <w:vAlign w:val="center"/>
          </w:tcPr>
          <w:p>
            <w:pPr>
              <w:pStyle w:val="TableText"/>
              <w:spacing w:before="0" w:after="0" w:line="220" w:lineRule="auto"/>
            </w:pPr>
            <w:r>
              <w:rPr>
                <w:sz w:val="17"/>
                <w:szCs w:val="17"/>
              </w:rPr>
              <w:t>来源模型汇总</w:t>
            </w:r>
          </w:p>
        </w:tc>
      </w:tr>
      <w:tr>
        <w:tc>
          <w:tcPr>
            <w:tcW w:w="3120" w:type="dxa"/>
            <w:vAlign w:val="center"/>
          </w:tcPr>
          <w:p>
            <w:pPr>
              <w:pStyle w:val="TableText"/>
              <w:spacing w:before="0" w:after="0" w:line="220" w:lineRule="auto"/>
            </w:pPr>
            <w:r>
              <w:rPr>
                <w:sz w:val="17"/>
                <w:szCs w:val="17"/>
              </w:rPr>
              <w:t>CHEL≥0.25</w:t>
            </w:r>
          </w:p>
        </w:tc>
        <w:tc>
          <w:tcPr>
            <w:tcW w:w="3120" w:type="dxa"/>
            <w:vAlign w:val="center"/>
          </w:tcPr>
          <w:p>
            <w:pPr>
              <w:pStyle w:val="TableText"/>
              <w:spacing w:before="0" w:after="0" w:line="220" w:lineRule="auto"/>
            </w:pPr>
            <w:r>
              <w:rPr>
                <w:sz w:val="17"/>
                <w:szCs w:val="17"/>
              </w:rPr>
              <w:t>15</w:t>
            </w:r>
          </w:p>
        </w:tc>
        <w:tc>
          <w:tcPr>
            <w:tcW w:w="3120" w:type="dxa"/>
            <w:vAlign w:val="center"/>
          </w:tcPr>
          <w:p>
            <w:pPr>
              <w:pStyle w:val="TableText"/>
              <w:spacing w:before="0" w:after="0" w:line="220" w:lineRule="auto"/>
            </w:pPr>
            <w:r>
              <w:rPr>
                <w:sz w:val="17"/>
                <w:szCs w:val="17"/>
              </w:rPr>
              <w:t>来源模型汇总</w:t>
            </w:r>
          </w:p>
        </w:tc>
      </w:tr>
      <w:tr>
        <w:tc>
          <w:tcPr>
            <w:tcW w:w="3120" w:type="dxa"/>
            <w:vAlign w:val="center"/>
          </w:tcPr>
          <w:p>
            <w:pPr>
              <w:pStyle w:val="TableText"/>
              <w:spacing w:before="0" w:after="0" w:line="220" w:lineRule="auto"/>
            </w:pPr>
            <w:r>
              <w:rPr>
                <w:sz w:val="17"/>
                <w:szCs w:val="17"/>
              </w:rPr>
              <w:t>组合筛选</w:t>
            </w:r>
          </w:p>
        </w:tc>
        <w:tc>
          <w:tcPr>
            <w:tcW w:w="3120" w:type="dxa"/>
            <w:vAlign w:val="center"/>
          </w:tcPr>
          <w:p>
            <w:pPr>
              <w:pStyle w:val="TableText"/>
              <w:spacing w:before="0" w:after="0" w:line="220" w:lineRule="auto"/>
            </w:pPr>
            <w:r>
              <w:rPr>
                <w:sz w:val="17"/>
                <w:szCs w:val="17"/>
              </w:rPr>
              <w:t>12</w:t>
            </w:r>
          </w:p>
        </w:tc>
        <w:tc>
          <w:tcPr>
            <w:tcW w:w="3120" w:type="dxa"/>
            <w:vAlign w:val="center"/>
          </w:tcPr>
          <w:p>
            <w:pPr>
              <w:pStyle w:val="TableText"/>
              <w:spacing w:before="0" w:after="0" w:line="220" w:lineRule="auto"/>
            </w:pPr>
            <w:r>
              <w:rPr>
                <w:sz w:val="17"/>
                <w:szCs w:val="17"/>
              </w:rPr>
              <w:t>来源模型汇总</w:t>
            </w:r>
          </w:p>
        </w:tc>
      </w:tr>
      <w:tr>
        <w:tc>
          <w:tcPr>
            <w:tcW w:w="3120" w:type="dxa"/>
            <w:vAlign w:val="center"/>
          </w:tcPr>
          <w:p>
            <w:pPr>
              <w:pStyle w:val="TableText"/>
              <w:spacing w:before="0" w:after="0" w:line="220" w:lineRule="auto"/>
            </w:pPr>
            <w:r>
              <w:rPr>
                <w:sz w:val="17"/>
                <w:szCs w:val="17"/>
              </w:rPr>
              <w:t>最终严格集</w:t>
            </w:r>
          </w:p>
        </w:tc>
        <w:tc>
          <w:tcPr>
            <w:tcW w:w="3120" w:type="dxa"/>
            <w:vAlign w:val="center"/>
          </w:tcPr>
          <w:p>
            <w:pPr>
              <w:pStyle w:val="TableText"/>
              <w:spacing w:before="0" w:after="0" w:line="220" w:lineRule="auto"/>
            </w:pPr>
            <w:r>
              <w:rPr>
                <w:sz w:val="17"/>
                <w:szCs w:val="17"/>
              </w:rPr>
              <w:t>8</w:t>
            </w:r>
          </w:p>
        </w:tc>
        <w:tc>
          <w:tcPr>
            <w:tcW w:w="3120" w:type="dxa"/>
            <w:vAlign w:val="center"/>
          </w:tcPr>
          <w:p>
            <w:pPr>
              <w:pStyle w:val="TableText"/>
              <w:spacing w:before="0" w:after="0" w:line="220" w:lineRule="auto"/>
            </w:pPr>
            <w:r>
              <w:rPr>
                <w:sz w:val="17"/>
                <w:szCs w:val="17"/>
              </w:rPr>
              <w:t>成员未知</w:t>
            </w:r>
          </w:p>
        </w:tc>
      </w:tr>
    </w:tbl>
    <w:p>
      <w:pPr>
        <w:spacing w:after="40"/>
      </w:pPr>
    </w:p>
    <w:p>
      <w:pPr>
        <w:pStyle w:val="Figure"/>
        <w:jc w:val="center"/>
        <w:keepNext/>
      </w:pPr>
      <w:r>
        <w:drawing>
          <wp:inline distT="0" distB="0" distL="0" distR="0">
            <wp:extent cx="6150000" cy="5261666"/>
            <wp:effectExtent l="0" t="0" r="0" b="0"/>
            <wp:docPr id="1" name="Figure 1" descr="汇总计算优选漏斗"/>
            <wp:cNvGraphicFramePr>
              <a:graphicFrameLocks noChangeAspect="1"/>
            </wp:cNvGraphicFramePr>
            <a:graphic>
              <a:graphicData uri="http://schemas.openxmlformats.org/drawingml/2006/picture">
                <pic:pic>
                  <pic:nvPicPr>
                    <pic:cNvPr id="0" name="prioritization_funnel.png"/>
                    <pic:cNvPicPr/>
                  </pic:nvPicPr>
                  <pic:blipFill>
                    <a:blip r:embed="rId10"/>
                    <a:stretch>
                      <a:fillRect/>
                    </a:stretch>
                  </pic:blipFill>
                  <pic:spPr>
                    <a:xfrm>
                      <a:off x="0" y="0"/>
                      <a:ext cx="6150000" cy="5261666"/>
                    </a:xfrm>
                    <a:prstGeom prst="rect">
                      <a:avLst/>
                    </a:prstGeom>
                  </pic:spPr>
                </pic:pic>
              </a:graphicData>
            </a:graphic>
          </wp:inline>
        </w:drawing>
      </w:r>
    </w:p>
    <w:p>
      <w:pPr>
        <w:pStyle w:val="Normal"/>
      </w:pPr>
      <w:r>
        <w:rPr>
          <w:b/>
        </w:rPr>
        <w:t>图1.</w:t>
      </w:r>
      <w:r>
        <w:t xml:space="preserve"> 汇总计算优选漏斗。该图汇总来源计数，不代表参与者流程或独立生物学重复。</w:t>
      </w:r>
    </w:p>
    <w:p>
      <w:pPr>
        <w:pStyle w:val="Heading3"/>
        <w:keepNext/>
      </w:pPr>
      <w:r>
        <w:t>外部12条序列记录</w:t>
      </w:r>
    </w:p>
    <w:p>
      <w:pPr>
        <w:pStyle w:val="Normal"/>
      </w:pPr>
      <w:r>
        <w:t>外部记录列出12条互不重复的肽。其针对AChE的来源报告Vina均值范围为−9.60至−8.25 kcal/mol。在该记录内部，FLLHTTR排序第一，HVLLLRQCA排序最后。序列组成经独立重算，但对接构象和分数未被独立复现。</w:t>
      </w:r>
    </w:p>
    <w:p>
      <w:pPr>
        <w:pStyle w:val="Normal"/>
      </w:pPr>
      <w:r>
        <w:rPr>
          <w:b/>
        </w:rPr>
        <w:t>表2. 外部序列记录及来源报告AChE对接汇总。</w:t>
      </w:r>
    </w:p>
    <w:tbl>
      <w:tblPr>
        <w:tblStyle w:val="TableGrid"/>
        <w:tblW w:w="5000" w:type="pct"/>
        <w:tblLayout w:type="fixed"/>
        <w:tblBorders>
          <w:top w:val="single" w:sz="4" w:space="0" w:color="9AA6B2"/>
          <w:left w:val="single" w:sz="4" w:space="0" w:color="9AA6B2"/>
          <w:bottom w:val="single" w:sz="4" w:space="0" w:color="9AA6B2"/>
          <w:right w:val="single" w:sz="4" w:space="0" w:color="9AA6B2"/>
          <w:insideH w:val="single" w:sz="4" w:space="0" w:color="9AA6B2"/>
          <w:insideV w:val="single" w:sz="4" w:space="0" w:color="9AA6B2"/>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shd w:val="clear" w:color="auto" w:fill="DCE6F1"/>
            <w:vAlign w:val="center"/>
          </w:tcPr>
          <w:p>
            <w:pPr>
              <w:pStyle w:val="TableText"/>
              <w:spacing w:before="0" w:after="0" w:line="220" w:lineRule="auto"/>
            </w:pPr>
            <w:r>
              <w:rPr>
                <w:sz w:val="17"/>
                <w:szCs w:val="17"/>
              </w:rPr>
              <w:t>排名</w:t>
            </w:r>
          </w:p>
        </w:tc>
        <w:tc>
          <w:tcPr>
            <w:tcW w:w="1872" w:type="dxa"/>
            <w:shd w:val="clear" w:color="auto" w:fill="DCE6F1"/>
            <w:vAlign w:val="center"/>
          </w:tcPr>
          <w:p>
            <w:pPr>
              <w:pStyle w:val="TableText"/>
              <w:spacing w:before="0" w:after="0" w:line="220" w:lineRule="auto"/>
            </w:pPr>
            <w:r>
              <w:rPr>
                <w:sz w:val="17"/>
                <w:szCs w:val="17"/>
              </w:rPr>
              <w:t>序列</w:t>
            </w:r>
          </w:p>
        </w:tc>
        <w:tc>
          <w:tcPr>
            <w:tcW w:w="1872" w:type="dxa"/>
            <w:shd w:val="clear" w:color="auto" w:fill="DCE6F1"/>
            <w:vAlign w:val="center"/>
          </w:tcPr>
          <w:p>
            <w:pPr>
              <w:pStyle w:val="TableText"/>
              <w:spacing w:before="0" w:after="0" w:line="220" w:lineRule="auto"/>
            </w:pPr>
            <w:r>
              <w:rPr>
                <w:sz w:val="17"/>
                <w:szCs w:val="17"/>
              </w:rPr>
              <w:t>长度（aa）</w:t>
            </w:r>
          </w:p>
        </w:tc>
        <w:tc>
          <w:tcPr>
            <w:tcW w:w="1872" w:type="dxa"/>
            <w:shd w:val="clear" w:color="auto" w:fill="DCE6F1"/>
            <w:vAlign w:val="center"/>
          </w:tcPr>
          <w:p>
            <w:pPr>
              <w:pStyle w:val="TableText"/>
              <w:spacing w:before="0" w:after="0" w:line="220" w:lineRule="auto"/>
            </w:pPr>
            <w:r>
              <w:rPr>
                <w:sz w:val="17"/>
                <w:szCs w:val="17"/>
              </w:rPr>
              <w:t>来源报告均值（kcal/mol）</w:t>
            </w:r>
          </w:p>
        </w:tc>
        <w:tc>
          <w:tcPr>
            <w:tcW w:w="1872" w:type="dxa"/>
            <w:shd w:val="clear" w:color="auto" w:fill="DCE6F1"/>
            <w:vAlign w:val="center"/>
          </w:tcPr>
          <w:p>
            <w:pPr>
              <w:pStyle w:val="TableText"/>
              <w:spacing w:before="0" w:after="0" w:line="220" w:lineRule="auto"/>
            </w:pPr>
            <w:r>
              <w:rPr>
                <w:sz w:val="17"/>
                <w:szCs w:val="17"/>
              </w:rPr>
              <w:t>来源报告SD</w:t>
            </w:r>
          </w:p>
        </w:tc>
      </w:tr>
      <w:tr>
        <w:tc>
          <w:tcPr>
            <w:tcW w:w="1872" w:type="dxa"/>
            <w:vAlign w:val="center"/>
          </w:tcPr>
          <w:p>
            <w:pPr>
              <w:pStyle w:val="TableText"/>
              <w:spacing w:before="0" w:after="0" w:line="220" w:lineRule="auto"/>
            </w:pPr>
            <w:r>
              <w:rPr>
                <w:sz w:val="17"/>
                <w:szCs w:val="17"/>
              </w:rPr>
              <w:t>1</w:t>
            </w:r>
          </w:p>
        </w:tc>
        <w:tc>
          <w:tcPr>
            <w:tcW w:w="1872" w:type="dxa"/>
            <w:vAlign w:val="center"/>
          </w:tcPr>
          <w:p>
            <w:pPr>
              <w:pStyle w:val="TableText"/>
              <w:spacing w:before="0" w:after="0" w:line="220" w:lineRule="auto"/>
            </w:pPr>
            <w:r>
              <w:rPr>
                <w:sz w:val="17"/>
                <w:szCs w:val="17"/>
              </w:rPr>
              <w:t>FLLHTTR</w:t>
            </w:r>
          </w:p>
        </w:tc>
        <w:tc>
          <w:tcPr>
            <w:tcW w:w="1872" w:type="dxa"/>
            <w:vAlign w:val="center"/>
          </w:tcPr>
          <w:p>
            <w:pPr>
              <w:pStyle w:val="TableText"/>
              <w:spacing w:before="0" w:after="0" w:line="220" w:lineRule="auto"/>
            </w:pPr>
            <w:r>
              <w:rPr>
                <w:sz w:val="17"/>
                <w:szCs w:val="17"/>
              </w:rPr>
              <w:t>7</w:t>
            </w:r>
          </w:p>
        </w:tc>
        <w:tc>
          <w:tcPr>
            <w:tcW w:w="1872" w:type="dxa"/>
            <w:vAlign w:val="center"/>
          </w:tcPr>
          <w:p>
            <w:pPr>
              <w:pStyle w:val="TableText"/>
              <w:spacing w:before="0" w:after="0" w:line="220" w:lineRule="auto"/>
            </w:pPr>
            <w:r>
              <w:rPr>
                <w:sz w:val="17"/>
                <w:szCs w:val="17"/>
              </w:rPr>
              <w:t>−9.60</w:t>
            </w:r>
          </w:p>
        </w:tc>
        <w:tc>
          <w:tcPr>
            <w:tcW w:w="1872" w:type="dxa"/>
            <w:vAlign w:val="center"/>
          </w:tcPr>
          <w:p>
            <w:pPr>
              <w:pStyle w:val="TableText"/>
              <w:spacing w:before="0" w:after="0" w:line="220" w:lineRule="auto"/>
            </w:pPr>
            <w:r>
              <w:rPr>
                <w:sz w:val="17"/>
                <w:szCs w:val="17"/>
              </w:rPr>
              <w:t>0.08</w:t>
            </w:r>
          </w:p>
        </w:tc>
      </w:tr>
      <w:tr>
        <w:tc>
          <w:tcPr>
            <w:tcW w:w="1872" w:type="dxa"/>
            <w:vAlign w:val="center"/>
          </w:tcPr>
          <w:p>
            <w:pPr>
              <w:pStyle w:val="TableText"/>
              <w:spacing w:before="0" w:after="0" w:line="220" w:lineRule="auto"/>
            </w:pPr>
            <w:r>
              <w:rPr>
                <w:sz w:val="17"/>
                <w:szCs w:val="17"/>
              </w:rPr>
              <w:t>2</w:t>
            </w:r>
          </w:p>
        </w:tc>
        <w:tc>
          <w:tcPr>
            <w:tcW w:w="1872" w:type="dxa"/>
            <w:vAlign w:val="center"/>
          </w:tcPr>
          <w:p>
            <w:pPr>
              <w:pStyle w:val="TableText"/>
              <w:spacing w:before="0" w:after="0" w:line="220" w:lineRule="auto"/>
            </w:pPr>
            <w:r>
              <w:rPr>
                <w:sz w:val="17"/>
                <w:szCs w:val="17"/>
              </w:rPr>
              <w:t>KNGIYHLK</w:t>
            </w:r>
          </w:p>
        </w:tc>
        <w:tc>
          <w:tcPr>
            <w:tcW w:w="1872" w:type="dxa"/>
            <w:vAlign w:val="center"/>
          </w:tcPr>
          <w:p>
            <w:pPr>
              <w:pStyle w:val="TableText"/>
              <w:spacing w:before="0" w:after="0" w:line="220" w:lineRule="auto"/>
            </w:pPr>
            <w:r>
              <w:rPr>
                <w:sz w:val="17"/>
                <w:szCs w:val="17"/>
              </w:rPr>
              <w:t>8</w:t>
            </w:r>
          </w:p>
        </w:tc>
        <w:tc>
          <w:tcPr>
            <w:tcW w:w="1872" w:type="dxa"/>
            <w:vAlign w:val="center"/>
          </w:tcPr>
          <w:p>
            <w:pPr>
              <w:pStyle w:val="TableText"/>
              <w:spacing w:before="0" w:after="0" w:line="220" w:lineRule="auto"/>
            </w:pPr>
            <w:r>
              <w:rPr>
                <w:sz w:val="17"/>
                <w:szCs w:val="17"/>
              </w:rPr>
              <w:t>−9.42</w:t>
            </w:r>
          </w:p>
        </w:tc>
        <w:tc>
          <w:tcPr>
            <w:tcW w:w="1872" w:type="dxa"/>
            <w:vAlign w:val="center"/>
          </w:tcPr>
          <w:p>
            <w:pPr>
              <w:pStyle w:val="TableText"/>
              <w:spacing w:before="0" w:after="0" w:line="220" w:lineRule="auto"/>
            </w:pPr>
            <w:r>
              <w:rPr>
                <w:sz w:val="17"/>
                <w:szCs w:val="17"/>
              </w:rPr>
              <w:t>0.06</w:t>
            </w:r>
          </w:p>
        </w:tc>
      </w:tr>
      <w:tr>
        <w:tc>
          <w:tcPr>
            <w:tcW w:w="1872" w:type="dxa"/>
            <w:vAlign w:val="center"/>
          </w:tcPr>
          <w:p>
            <w:pPr>
              <w:pStyle w:val="TableText"/>
              <w:spacing w:before="0" w:after="0" w:line="220" w:lineRule="auto"/>
            </w:pPr>
            <w:r>
              <w:rPr>
                <w:sz w:val="17"/>
                <w:szCs w:val="17"/>
              </w:rPr>
              <w:t>3</w:t>
            </w:r>
          </w:p>
        </w:tc>
        <w:tc>
          <w:tcPr>
            <w:tcW w:w="1872" w:type="dxa"/>
            <w:vAlign w:val="center"/>
          </w:tcPr>
          <w:p>
            <w:pPr>
              <w:pStyle w:val="TableText"/>
              <w:spacing w:before="0" w:after="0" w:line="220" w:lineRule="auto"/>
            </w:pPr>
            <w:r>
              <w:rPr>
                <w:sz w:val="17"/>
                <w:szCs w:val="17"/>
              </w:rPr>
              <w:t>KNAIRLQ</w:t>
            </w:r>
          </w:p>
        </w:tc>
        <w:tc>
          <w:tcPr>
            <w:tcW w:w="1872" w:type="dxa"/>
            <w:vAlign w:val="center"/>
          </w:tcPr>
          <w:p>
            <w:pPr>
              <w:pStyle w:val="TableText"/>
              <w:spacing w:before="0" w:after="0" w:line="220" w:lineRule="auto"/>
            </w:pPr>
            <w:r>
              <w:rPr>
                <w:sz w:val="17"/>
                <w:szCs w:val="17"/>
              </w:rPr>
              <w:t>7</w:t>
            </w:r>
          </w:p>
        </w:tc>
        <w:tc>
          <w:tcPr>
            <w:tcW w:w="1872" w:type="dxa"/>
            <w:vAlign w:val="center"/>
          </w:tcPr>
          <w:p>
            <w:pPr>
              <w:pStyle w:val="TableText"/>
              <w:spacing w:before="0" w:after="0" w:line="220" w:lineRule="auto"/>
            </w:pPr>
            <w:r>
              <w:rPr>
                <w:sz w:val="17"/>
                <w:szCs w:val="17"/>
              </w:rPr>
              <w:t>−9.31</w:t>
            </w:r>
          </w:p>
        </w:tc>
        <w:tc>
          <w:tcPr>
            <w:tcW w:w="1872" w:type="dxa"/>
            <w:vAlign w:val="center"/>
          </w:tcPr>
          <w:p>
            <w:pPr>
              <w:pStyle w:val="TableText"/>
              <w:spacing w:before="0" w:after="0" w:line="220" w:lineRule="auto"/>
            </w:pPr>
            <w:r>
              <w:rPr>
                <w:sz w:val="17"/>
                <w:szCs w:val="17"/>
              </w:rPr>
              <w:t>0.05</w:t>
            </w:r>
          </w:p>
        </w:tc>
      </w:tr>
      <w:tr>
        <w:tc>
          <w:tcPr>
            <w:tcW w:w="1872" w:type="dxa"/>
            <w:vAlign w:val="center"/>
          </w:tcPr>
          <w:p>
            <w:pPr>
              <w:pStyle w:val="TableText"/>
              <w:spacing w:before="0" w:after="0" w:line="220" w:lineRule="auto"/>
            </w:pPr>
            <w:r>
              <w:rPr>
                <w:sz w:val="17"/>
                <w:szCs w:val="17"/>
              </w:rPr>
              <w:t>4</w:t>
            </w:r>
          </w:p>
        </w:tc>
        <w:tc>
          <w:tcPr>
            <w:tcW w:w="1872" w:type="dxa"/>
            <w:vAlign w:val="center"/>
          </w:tcPr>
          <w:p>
            <w:pPr>
              <w:pStyle w:val="TableText"/>
              <w:spacing w:before="0" w:after="0" w:line="220" w:lineRule="auto"/>
            </w:pPr>
            <w:r>
              <w:rPr>
                <w:sz w:val="17"/>
                <w:szCs w:val="17"/>
              </w:rPr>
              <w:t>NRPPHPPY</w:t>
            </w:r>
          </w:p>
        </w:tc>
        <w:tc>
          <w:tcPr>
            <w:tcW w:w="1872" w:type="dxa"/>
            <w:vAlign w:val="center"/>
          </w:tcPr>
          <w:p>
            <w:pPr>
              <w:pStyle w:val="TableText"/>
              <w:spacing w:before="0" w:after="0" w:line="220" w:lineRule="auto"/>
            </w:pPr>
            <w:r>
              <w:rPr>
                <w:sz w:val="17"/>
                <w:szCs w:val="17"/>
              </w:rPr>
              <w:t>8</w:t>
            </w:r>
          </w:p>
        </w:tc>
        <w:tc>
          <w:tcPr>
            <w:tcW w:w="1872" w:type="dxa"/>
            <w:vAlign w:val="center"/>
          </w:tcPr>
          <w:p>
            <w:pPr>
              <w:pStyle w:val="TableText"/>
              <w:spacing w:before="0" w:after="0" w:line="220" w:lineRule="auto"/>
            </w:pPr>
            <w:r>
              <w:rPr>
                <w:sz w:val="17"/>
                <w:szCs w:val="17"/>
              </w:rPr>
              <w:t>−9.18</w:t>
            </w:r>
          </w:p>
        </w:tc>
        <w:tc>
          <w:tcPr>
            <w:tcW w:w="1872" w:type="dxa"/>
            <w:vAlign w:val="center"/>
          </w:tcPr>
          <w:p>
            <w:pPr>
              <w:pStyle w:val="TableText"/>
              <w:spacing w:before="0" w:after="0" w:line="220" w:lineRule="auto"/>
            </w:pPr>
            <w:r>
              <w:rPr>
                <w:sz w:val="17"/>
                <w:szCs w:val="17"/>
              </w:rPr>
              <w:t>0.09</w:t>
            </w:r>
          </w:p>
        </w:tc>
      </w:tr>
      <w:tr>
        <w:tc>
          <w:tcPr>
            <w:tcW w:w="1872" w:type="dxa"/>
            <w:vAlign w:val="center"/>
          </w:tcPr>
          <w:p>
            <w:pPr>
              <w:pStyle w:val="TableText"/>
              <w:spacing w:before="0" w:after="0" w:line="220" w:lineRule="auto"/>
            </w:pPr>
            <w:r>
              <w:rPr>
                <w:sz w:val="17"/>
                <w:szCs w:val="17"/>
              </w:rPr>
              <w:t>5</w:t>
            </w:r>
          </w:p>
        </w:tc>
        <w:tc>
          <w:tcPr>
            <w:tcW w:w="1872" w:type="dxa"/>
            <w:vAlign w:val="center"/>
          </w:tcPr>
          <w:p>
            <w:pPr>
              <w:pStyle w:val="TableText"/>
              <w:spacing w:before="0" w:after="0" w:line="220" w:lineRule="auto"/>
            </w:pPr>
            <w:r>
              <w:rPr>
                <w:sz w:val="17"/>
                <w:szCs w:val="17"/>
              </w:rPr>
              <w:t>QMMKQAQK</w:t>
            </w:r>
          </w:p>
        </w:tc>
        <w:tc>
          <w:tcPr>
            <w:tcW w:w="1872" w:type="dxa"/>
            <w:vAlign w:val="center"/>
          </w:tcPr>
          <w:p>
            <w:pPr>
              <w:pStyle w:val="TableText"/>
              <w:spacing w:before="0" w:after="0" w:line="220" w:lineRule="auto"/>
            </w:pPr>
            <w:r>
              <w:rPr>
                <w:sz w:val="17"/>
                <w:szCs w:val="17"/>
              </w:rPr>
              <w:t>8</w:t>
            </w:r>
          </w:p>
        </w:tc>
        <w:tc>
          <w:tcPr>
            <w:tcW w:w="1872" w:type="dxa"/>
            <w:vAlign w:val="center"/>
          </w:tcPr>
          <w:p>
            <w:pPr>
              <w:pStyle w:val="TableText"/>
              <w:spacing w:before="0" w:after="0" w:line="220" w:lineRule="auto"/>
            </w:pPr>
            <w:r>
              <w:rPr>
                <w:sz w:val="17"/>
                <w:szCs w:val="17"/>
              </w:rPr>
              <w:t>−9.05</w:t>
            </w:r>
          </w:p>
        </w:tc>
        <w:tc>
          <w:tcPr>
            <w:tcW w:w="1872" w:type="dxa"/>
            <w:vAlign w:val="center"/>
          </w:tcPr>
          <w:p>
            <w:pPr>
              <w:pStyle w:val="TableText"/>
              <w:spacing w:before="0" w:after="0" w:line="220" w:lineRule="auto"/>
            </w:pPr>
            <w:r>
              <w:rPr>
                <w:sz w:val="17"/>
                <w:szCs w:val="17"/>
              </w:rPr>
              <w:t>0.07</w:t>
            </w:r>
          </w:p>
        </w:tc>
      </w:tr>
      <w:tr>
        <w:tc>
          <w:tcPr>
            <w:tcW w:w="1872" w:type="dxa"/>
            <w:vAlign w:val="center"/>
          </w:tcPr>
          <w:p>
            <w:pPr>
              <w:pStyle w:val="TableText"/>
              <w:spacing w:before="0" w:after="0" w:line="220" w:lineRule="auto"/>
            </w:pPr>
            <w:r>
              <w:rPr>
                <w:sz w:val="17"/>
                <w:szCs w:val="17"/>
              </w:rPr>
              <w:t>6</w:t>
            </w:r>
          </w:p>
        </w:tc>
        <w:tc>
          <w:tcPr>
            <w:tcW w:w="1872" w:type="dxa"/>
            <w:vAlign w:val="center"/>
          </w:tcPr>
          <w:p>
            <w:pPr>
              <w:pStyle w:val="TableText"/>
              <w:spacing w:before="0" w:after="0" w:line="220" w:lineRule="auto"/>
            </w:pPr>
            <w:r>
              <w:rPr>
                <w:sz w:val="17"/>
                <w:szCs w:val="17"/>
              </w:rPr>
              <w:t>WNMSKYYK</w:t>
            </w:r>
          </w:p>
        </w:tc>
        <w:tc>
          <w:tcPr>
            <w:tcW w:w="1872" w:type="dxa"/>
            <w:vAlign w:val="center"/>
          </w:tcPr>
          <w:p>
            <w:pPr>
              <w:pStyle w:val="TableText"/>
              <w:spacing w:before="0" w:after="0" w:line="220" w:lineRule="auto"/>
            </w:pPr>
            <w:r>
              <w:rPr>
                <w:sz w:val="17"/>
                <w:szCs w:val="17"/>
              </w:rPr>
              <w:t>8</w:t>
            </w:r>
          </w:p>
        </w:tc>
        <w:tc>
          <w:tcPr>
            <w:tcW w:w="1872" w:type="dxa"/>
            <w:vAlign w:val="center"/>
          </w:tcPr>
          <w:p>
            <w:pPr>
              <w:pStyle w:val="TableText"/>
              <w:spacing w:before="0" w:after="0" w:line="220" w:lineRule="auto"/>
            </w:pPr>
            <w:r>
              <w:rPr>
                <w:sz w:val="17"/>
                <w:szCs w:val="17"/>
              </w:rPr>
              <w:t>−8.94</w:t>
            </w:r>
          </w:p>
        </w:tc>
        <w:tc>
          <w:tcPr>
            <w:tcW w:w="1872" w:type="dxa"/>
            <w:vAlign w:val="center"/>
          </w:tcPr>
          <w:p>
            <w:pPr>
              <w:pStyle w:val="TableText"/>
              <w:spacing w:before="0" w:after="0" w:line="220" w:lineRule="auto"/>
            </w:pPr>
            <w:r>
              <w:rPr>
                <w:sz w:val="17"/>
                <w:szCs w:val="17"/>
              </w:rPr>
              <w:t>0.04</w:t>
            </w:r>
          </w:p>
        </w:tc>
      </w:tr>
      <w:tr>
        <w:tc>
          <w:tcPr>
            <w:tcW w:w="1872" w:type="dxa"/>
            <w:vAlign w:val="center"/>
          </w:tcPr>
          <w:p>
            <w:pPr>
              <w:pStyle w:val="TableText"/>
              <w:spacing w:before="0" w:after="0" w:line="220" w:lineRule="auto"/>
            </w:pPr>
            <w:r>
              <w:rPr>
                <w:sz w:val="17"/>
                <w:szCs w:val="17"/>
              </w:rPr>
              <w:t>7</w:t>
            </w:r>
          </w:p>
        </w:tc>
        <w:tc>
          <w:tcPr>
            <w:tcW w:w="1872" w:type="dxa"/>
            <w:vAlign w:val="center"/>
          </w:tcPr>
          <w:p>
            <w:pPr>
              <w:pStyle w:val="TableText"/>
              <w:spacing w:before="0" w:after="0" w:line="220" w:lineRule="auto"/>
            </w:pPr>
            <w:r>
              <w:rPr>
                <w:sz w:val="17"/>
                <w:szCs w:val="17"/>
              </w:rPr>
              <w:t>YPWINHPQ</w:t>
            </w:r>
          </w:p>
        </w:tc>
        <w:tc>
          <w:tcPr>
            <w:tcW w:w="1872" w:type="dxa"/>
            <w:vAlign w:val="center"/>
          </w:tcPr>
          <w:p>
            <w:pPr>
              <w:pStyle w:val="TableText"/>
              <w:spacing w:before="0" w:after="0" w:line="220" w:lineRule="auto"/>
            </w:pPr>
            <w:r>
              <w:rPr>
                <w:sz w:val="17"/>
                <w:szCs w:val="17"/>
              </w:rPr>
              <w:t>8</w:t>
            </w:r>
          </w:p>
        </w:tc>
        <w:tc>
          <w:tcPr>
            <w:tcW w:w="1872" w:type="dxa"/>
            <w:vAlign w:val="center"/>
          </w:tcPr>
          <w:p>
            <w:pPr>
              <w:pStyle w:val="TableText"/>
              <w:spacing w:before="0" w:after="0" w:line="220" w:lineRule="auto"/>
            </w:pPr>
            <w:r>
              <w:rPr>
                <w:sz w:val="17"/>
                <w:szCs w:val="17"/>
              </w:rPr>
              <w:t>−8.83</w:t>
            </w:r>
          </w:p>
        </w:tc>
        <w:tc>
          <w:tcPr>
            <w:tcW w:w="1872" w:type="dxa"/>
            <w:vAlign w:val="center"/>
          </w:tcPr>
          <w:p>
            <w:pPr>
              <w:pStyle w:val="TableText"/>
              <w:spacing w:before="0" w:after="0" w:line="220" w:lineRule="auto"/>
            </w:pPr>
            <w:r>
              <w:rPr>
                <w:sz w:val="17"/>
                <w:szCs w:val="17"/>
              </w:rPr>
              <w:t>0.10</w:t>
            </w:r>
          </w:p>
        </w:tc>
      </w:tr>
      <w:tr>
        <w:tc>
          <w:tcPr>
            <w:tcW w:w="1872" w:type="dxa"/>
            <w:vAlign w:val="center"/>
          </w:tcPr>
          <w:p>
            <w:pPr>
              <w:pStyle w:val="TableText"/>
              <w:spacing w:before="0" w:after="0" w:line="220" w:lineRule="auto"/>
            </w:pPr>
            <w:r>
              <w:rPr>
                <w:sz w:val="17"/>
                <w:szCs w:val="17"/>
              </w:rPr>
              <w:t>8</w:t>
            </w:r>
          </w:p>
        </w:tc>
        <w:tc>
          <w:tcPr>
            <w:tcW w:w="1872" w:type="dxa"/>
            <w:vAlign w:val="center"/>
          </w:tcPr>
          <w:p>
            <w:pPr>
              <w:pStyle w:val="TableText"/>
              <w:spacing w:before="0" w:after="0" w:line="220" w:lineRule="auto"/>
            </w:pPr>
            <w:r>
              <w:rPr>
                <w:sz w:val="17"/>
                <w:szCs w:val="17"/>
              </w:rPr>
              <w:t>WVAHKNY</w:t>
            </w:r>
          </w:p>
        </w:tc>
        <w:tc>
          <w:tcPr>
            <w:tcW w:w="1872" w:type="dxa"/>
            <w:vAlign w:val="center"/>
          </w:tcPr>
          <w:p>
            <w:pPr>
              <w:pStyle w:val="TableText"/>
              <w:spacing w:before="0" w:after="0" w:line="220" w:lineRule="auto"/>
            </w:pPr>
            <w:r>
              <w:rPr>
                <w:sz w:val="17"/>
                <w:szCs w:val="17"/>
              </w:rPr>
              <w:t>7</w:t>
            </w:r>
          </w:p>
        </w:tc>
        <w:tc>
          <w:tcPr>
            <w:tcW w:w="1872" w:type="dxa"/>
            <w:vAlign w:val="center"/>
          </w:tcPr>
          <w:p>
            <w:pPr>
              <w:pStyle w:val="TableText"/>
              <w:spacing w:before="0" w:after="0" w:line="220" w:lineRule="auto"/>
            </w:pPr>
            <w:r>
              <w:rPr>
                <w:sz w:val="17"/>
                <w:szCs w:val="17"/>
              </w:rPr>
              <w:t>−8.71</w:t>
            </w:r>
          </w:p>
        </w:tc>
        <w:tc>
          <w:tcPr>
            <w:tcW w:w="1872" w:type="dxa"/>
            <w:vAlign w:val="center"/>
          </w:tcPr>
          <w:p>
            <w:pPr>
              <w:pStyle w:val="TableText"/>
              <w:spacing w:before="0" w:after="0" w:line="220" w:lineRule="auto"/>
            </w:pPr>
            <w:r>
              <w:rPr>
                <w:sz w:val="17"/>
                <w:szCs w:val="17"/>
              </w:rPr>
              <w:t>0.06</w:t>
            </w:r>
          </w:p>
        </w:tc>
      </w:tr>
      <w:tr>
        <w:tc>
          <w:tcPr>
            <w:tcW w:w="1872" w:type="dxa"/>
            <w:vAlign w:val="center"/>
          </w:tcPr>
          <w:p>
            <w:pPr>
              <w:pStyle w:val="TableText"/>
              <w:spacing w:before="0" w:after="0" w:line="220" w:lineRule="auto"/>
            </w:pPr>
            <w:r>
              <w:rPr>
                <w:sz w:val="17"/>
                <w:szCs w:val="17"/>
              </w:rPr>
              <w:t>9</w:t>
            </w:r>
          </w:p>
        </w:tc>
        <w:tc>
          <w:tcPr>
            <w:tcW w:w="1872" w:type="dxa"/>
            <w:vAlign w:val="center"/>
          </w:tcPr>
          <w:p>
            <w:pPr>
              <w:pStyle w:val="TableText"/>
              <w:spacing w:before="0" w:after="0" w:line="220" w:lineRule="auto"/>
            </w:pPr>
            <w:r>
              <w:rPr>
                <w:sz w:val="17"/>
                <w:szCs w:val="17"/>
              </w:rPr>
              <w:t>YPIVIHPN</w:t>
            </w:r>
          </w:p>
        </w:tc>
        <w:tc>
          <w:tcPr>
            <w:tcW w:w="1872" w:type="dxa"/>
            <w:vAlign w:val="center"/>
          </w:tcPr>
          <w:p>
            <w:pPr>
              <w:pStyle w:val="TableText"/>
              <w:spacing w:before="0" w:after="0" w:line="220" w:lineRule="auto"/>
            </w:pPr>
            <w:r>
              <w:rPr>
                <w:sz w:val="17"/>
                <w:szCs w:val="17"/>
              </w:rPr>
              <w:t>8</w:t>
            </w:r>
          </w:p>
        </w:tc>
        <w:tc>
          <w:tcPr>
            <w:tcW w:w="1872" w:type="dxa"/>
            <w:vAlign w:val="center"/>
          </w:tcPr>
          <w:p>
            <w:pPr>
              <w:pStyle w:val="TableText"/>
              <w:spacing w:before="0" w:after="0" w:line="220" w:lineRule="auto"/>
            </w:pPr>
            <w:r>
              <w:rPr>
                <w:sz w:val="17"/>
                <w:szCs w:val="17"/>
              </w:rPr>
              <w:t>−8.58</w:t>
            </w:r>
          </w:p>
        </w:tc>
        <w:tc>
          <w:tcPr>
            <w:tcW w:w="1872" w:type="dxa"/>
            <w:vAlign w:val="center"/>
          </w:tcPr>
          <w:p>
            <w:pPr>
              <w:pStyle w:val="TableText"/>
              <w:spacing w:before="0" w:after="0" w:line="220" w:lineRule="auto"/>
            </w:pPr>
            <w:r>
              <w:rPr>
                <w:sz w:val="17"/>
                <w:szCs w:val="17"/>
              </w:rPr>
              <w:t>0.11</w:t>
            </w:r>
          </w:p>
        </w:tc>
      </w:tr>
      <w:tr>
        <w:tc>
          <w:tcPr>
            <w:tcW w:w="1872" w:type="dxa"/>
            <w:vAlign w:val="center"/>
          </w:tcPr>
          <w:p>
            <w:pPr>
              <w:pStyle w:val="TableText"/>
              <w:spacing w:before="0" w:after="0" w:line="220" w:lineRule="auto"/>
            </w:pPr>
            <w:r>
              <w:rPr>
                <w:sz w:val="17"/>
                <w:szCs w:val="17"/>
              </w:rPr>
              <w:t>10</w:t>
            </w:r>
          </w:p>
        </w:tc>
        <w:tc>
          <w:tcPr>
            <w:tcW w:w="1872" w:type="dxa"/>
            <w:vAlign w:val="center"/>
          </w:tcPr>
          <w:p>
            <w:pPr>
              <w:pStyle w:val="TableText"/>
              <w:spacing w:before="0" w:after="0" w:line="220" w:lineRule="auto"/>
            </w:pPr>
            <w:r>
              <w:rPr>
                <w:sz w:val="17"/>
                <w:szCs w:val="17"/>
              </w:rPr>
              <w:t>YDRNWNNK</w:t>
            </w:r>
          </w:p>
        </w:tc>
        <w:tc>
          <w:tcPr>
            <w:tcW w:w="1872" w:type="dxa"/>
            <w:vAlign w:val="center"/>
          </w:tcPr>
          <w:p>
            <w:pPr>
              <w:pStyle w:val="TableText"/>
              <w:spacing w:before="0" w:after="0" w:line="220" w:lineRule="auto"/>
            </w:pPr>
            <w:r>
              <w:rPr>
                <w:sz w:val="17"/>
                <w:szCs w:val="17"/>
              </w:rPr>
              <w:t>8</w:t>
            </w:r>
          </w:p>
        </w:tc>
        <w:tc>
          <w:tcPr>
            <w:tcW w:w="1872" w:type="dxa"/>
            <w:vAlign w:val="center"/>
          </w:tcPr>
          <w:p>
            <w:pPr>
              <w:pStyle w:val="TableText"/>
              <w:spacing w:before="0" w:after="0" w:line="220" w:lineRule="auto"/>
            </w:pPr>
            <w:r>
              <w:rPr>
                <w:sz w:val="17"/>
                <w:szCs w:val="17"/>
              </w:rPr>
              <w:t>−8.46</w:t>
            </w:r>
          </w:p>
        </w:tc>
        <w:tc>
          <w:tcPr>
            <w:tcW w:w="1872" w:type="dxa"/>
            <w:vAlign w:val="center"/>
          </w:tcPr>
          <w:p>
            <w:pPr>
              <w:pStyle w:val="TableText"/>
              <w:spacing w:before="0" w:after="0" w:line="220" w:lineRule="auto"/>
            </w:pPr>
            <w:r>
              <w:rPr>
                <w:sz w:val="17"/>
                <w:szCs w:val="17"/>
              </w:rPr>
              <w:t>0.08</w:t>
            </w:r>
          </w:p>
        </w:tc>
      </w:tr>
      <w:tr>
        <w:tc>
          <w:tcPr>
            <w:tcW w:w="1872" w:type="dxa"/>
            <w:vAlign w:val="center"/>
          </w:tcPr>
          <w:p>
            <w:pPr>
              <w:pStyle w:val="TableText"/>
              <w:spacing w:before="0" w:after="0" w:line="220" w:lineRule="auto"/>
            </w:pPr>
            <w:r>
              <w:rPr>
                <w:sz w:val="17"/>
                <w:szCs w:val="17"/>
              </w:rPr>
              <w:t>11</w:t>
            </w:r>
          </w:p>
        </w:tc>
        <w:tc>
          <w:tcPr>
            <w:tcW w:w="1872" w:type="dxa"/>
            <w:vAlign w:val="center"/>
          </w:tcPr>
          <w:p>
            <w:pPr>
              <w:pStyle w:val="TableText"/>
              <w:spacing w:before="0" w:after="0" w:line="220" w:lineRule="auto"/>
            </w:pPr>
            <w:r>
              <w:rPr>
                <w:sz w:val="17"/>
                <w:szCs w:val="17"/>
              </w:rPr>
              <w:t>RKQIKRYL</w:t>
            </w:r>
          </w:p>
        </w:tc>
        <w:tc>
          <w:tcPr>
            <w:tcW w:w="1872" w:type="dxa"/>
            <w:vAlign w:val="center"/>
          </w:tcPr>
          <w:p>
            <w:pPr>
              <w:pStyle w:val="TableText"/>
              <w:spacing w:before="0" w:after="0" w:line="220" w:lineRule="auto"/>
            </w:pPr>
            <w:r>
              <w:rPr>
                <w:sz w:val="17"/>
                <w:szCs w:val="17"/>
              </w:rPr>
              <w:t>8</w:t>
            </w:r>
          </w:p>
        </w:tc>
        <w:tc>
          <w:tcPr>
            <w:tcW w:w="1872" w:type="dxa"/>
            <w:vAlign w:val="center"/>
          </w:tcPr>
          <w:p>
            <w:pPr>
              <w:pStyle w:val="TableText"/>
              <w:spacing w:before="0" w:after="0" w:line="220" w:lineRule="auto"/>
            </w:pPr>
            <w:r>
              <w:rPr>
                <w:sz w:val="17"/>
                <w:szCs w:val="17"/>
              </w:rPr>
              <w:t>−8.34</w:t>
            </w:r>
          </w:p>
        </w:tc>
        <w:tc>
          <w:tcPr>
            <w:tcW w:w="1872" w:type="dxa"/>
            <w:vAlign w:val="center"/>
          </w:tcPr>
          <w:p>
            <w:pPr>
              <w:pStyle w:val="TableText"/>
              <w:spacing w:before="0" w:after="0" w:line="220" w:lineRule="auto"/>
            </w:pPr>
            <w:r>
              <w:rPr>
                <w:sz w:val="17"/>
                <w:szCs w:val="17"/>
              </w:rPr>
              <w:t>0.05</w:t>
            </w:r>
          </w:p>
        </w:tc>
      </w:tr>
      <w:tr>
        <w:tc>
          <w:tcPr>
            <w:tcW w:w="1872" w:type="dxa"/>
            <w:vAlign w:val="center"/>
          </w:tcPr>
          <w:p>
            <w:pPr>
              <w:pStyle w:val="TableText"/>
              <w:spacing w:before="0" w:after="0" w:line="220" w:lineRule="auto"/>
            </w:pPr>
            <w:r>
              <w:rPr>
                <w:sz w:val="17"/>
                <w:szCs w:val="17"/>
              </w:rPr>
              <w:t>12</w:t>
            </w:r>
          </w:p>
        </w:tc>
        <w:tc>
          <w:tcPr>
            <w:tcW w:w="1872" w:type="dxa"/>
            <w:vAlign w:val="center"/>
          </w:tcPr>
          <w:p>
            <w:pPr>
              <w:pStyle w:val="TableText"/>
              <w:spacing w:before="0" w:after="0" w:line="220" w:lineRule="auto"/>
            </w:pPr>
            <w:r>
              <w:rPr>
                <w:sz w:val="17"/>
                <w:szCs w:val="17"/>
              </w:rPr>
              <w:t>HVLLLRQCA</w:t>
            </w:r>
          </w:p>
        </w:tc>
        <w:tc>
          <w:tcPr>
            <w:tcW w:w="1872" w:type="dxa"/>
            <w:vAlign w:val="center"/>
          </w:tcPr>
          <w:p>
            <w:pPr>
              <w:pStyle w:val="TableText"/>
              <w:spacing w:before="0" w:after="0" w:line="220" w:lineRule="auto"/>
            </w:pPr>
            <w:r>
              <w:rPr>
                <w:sz w:val="17"/>
                <w:szCs w:val="17"/>
              </w:rPr>
              <w:t>9</w:t>
            </w:r>
          </w:p>
        </w:tc>
        <w:tc>
          <w:tcPr>
            <w:tcW w:w="1872" w:type="dxa"/>
            <w:vAlign w:val="center"/>
          </w:tcPr>
          <w:p>
            <w:pPr>
              <w:pStyle w:val="TableText"/>
              <w:spacing w:before="0" w:after="0" w:line="220" w:lineRule="auto"/>
            </w:pPr>
            <w:r>
              <w:rPr>
                <w:sz w:val="17"/>
                <w:szCs w:val="17"/>
              </w:rPr>
              <w:t>−8.25</w:t>
            </w:r>
          </w:p>
        </w:tc>
        <w:tc>
          <w:tcPr>
            <w:tcW w:w="1872" w:type="dxa"/>
            <w:vAlign w:val="center"/>
          </w:tcPr>
          <w:p>
            <w:pPr>
              <w:pStyle w:val="TableText"/>
              <w:spacing w:before="0" w:after="0" w:line="220" w:lineRule="auto"/>
            </w:pPr>
            <w:r>
              <w:rPr>
                <w:sz w:val="17"/>
                <w:szCs w:val="17"/>
              </w:rPr>
              <w:t>0.12</w:t>
            </w:r>
          </w:p>
        </w:tc>
      </w:tr>
    </w:tbl>
    <w:p>
      <w:pPr>
        <w:spacing w:after="40"/>
      </w:pPr>
    </w:p>
    <w:p>
      <w:pPr>
        <w:pStyle w:val="Heading2"/>
        <w:keepNext/>
      </w:pPr>
      <w:r>
        <w:t>讨论</w:t>
      </w:r>
    </w:p>
    <w:p>
      <w:pPr>
        <w:pStyle w:val="Normal"/>
      </w:pPr>
      <w:r>
        <w:t>本分析把规模很大的来源候选池压缩为两个边界清楚的后续对象：一个成员信息缺失的8条汇总终点集，以及一份独立的12条外部序列记录。其价值在于优选和定位证据缺口，而不是发现已经验证的AD机制。</w:t>
      </w:r>
    </w:p>
    <w:p>
      <w:pPr>
        <w:pStyle w:val="Normal"/>
      </w:pPr>
      <w:r>
        <w:t>本研究的生物学动机始于牙周炎—AD界面。</w:t>
      </w:r>
      <w:r>
        <w:rPr>
          <w:i/>
        </w:rPr>
        <w:t>P. gingivalis</w:t>
      </w:r>
      <w:r>
        <w:t>感染可合理地关联于系统性炎症信号、LPS和牙龈蛋白酶暴露、囊泡介导的成分运输、BBB扰动及小胶质细胞激活[3–7]。候选流程进一步提出：口腔微生物肽是否可能构成一类尚少研究、并具有BBB、神经毒性、金属/氧化还原或AChE相关预测特征的分子。然而，本研究结果均未证明候选在来源参与者中表达、从口腔生物膜释放、进入循环、跨越BBB、影响神经系统或具有AD特异性。尤其重要的是，汇总来源不能证明任何候选由</w:t>
      </w:r>
      <w:r>
        <w:rPr>
          <w:i/>
        </w:rPr>
        <w:t>P. gingivalis</w:t>
      </w:r>
      <w:r>
        <w:t>编码；该菌在本文中是机制研究动机，而不是已确定的序列来源。</w:t>
      </w:r>
    </w:p>
    <w:p>
      <w:pPr>
        <w:pStyle w:val="Normal"/>
      </w:pPr>
      <w:r>
        <w:t>经核验的登录号关系也改变了输入数据的表述方式。PRJNA678453是11名健康对照、11名牙周炎患者和66份标本的原始队列；PRJEB65451则是衍生TPA组装资源。参与者、临床标本、配对DNA/RNA测量和组装分析属于不同统计单位，不能混用。由于缺少参与者—序列映射，两组近似的汇总保留率不能支持疾病富集结论。</w:t>
      </w:r>
    </w:p>
    <w:p>
      <w:pPr>
        <w:pStyle w:val="Normal"/>
      </w:pPr>
      <w:r>
        <w:t>本研究存在数项决定性局限。第一，逐行模型输出和精确服务器版本缺失，阈值及计数只能在汇总层面审计。第二，8条与12条的成员关系仍未解决。第三，对接记录缺少复现及检查构象所需材料。第四，基于异质数据集训练的预测器可能不适用于极短的微生物组来源肽；多个模型结果一致也不等同于实验独立性。合理的下一步是恢复候选来源链，使用固定版本重新运行预测和对接，继而检验合成质量、稳定性、细胞毒性、BBB转运、金属相互作用、AChE活性以及神经元或胶质细胞表型，之后再讨论疾病机制。</w:t>
      </w:r>
    </w:p>
    <w:p>
      <w:pPr>
        <w:pStyle w:val="Heading2"/>
        <w:keepNext/>
      </w:pPr>
      <w:r>
        <w:t>结论</w:t>
      </w:r>
    </w:p>
    <w:p>
      <w:pPr>
        <w:pStyle w:val="Normal"/>
      </w:pPr>
      <w:r>
        <w:t>汇总证据支持形成一个透明的待验证候选清单，但不支持从牙周炎或</w:t>
      </w:r>
      <w:r>
        <w:rPr>
          <w:i/>
        </w:rPr>
        <w:t>P. gingivalis</w:t>
      </w:r>
      <w:r>
        <w:t>到AD的因果链。核正后的来源为：PRJNA678453是包含22名参与者、66份口腔标本的来源队列；PRJEB65451是其衍生的EBI-EMG/MGnify TPA组装项目。12条外部序列及其来源报告AChE分数仍与成员未知的最终8条集合分离。恢复逐行来源并完成独立计算和实验验证，是进行机制解释的前提。</w:t>
      </w:r>
    </w:p>
    <w:p>
      <w:pPr>
        <w:pStyle w:val="Heading2"/>
        <w:keepNext/>
      </w:pPr>
      <w:r>
        <w:t>参考文献</w:t>
      </w:r>
    </w:p>
    <w:p>
      <w:pPr>
        <w:pStyle w:val="Reference"/>
        <w:ind w:left="360" w:hanging="360"/>
      </w:pPr>
      <w:r>
        <w:rPr>
          <w:sz w:val="18"/>
          <w:szCs w:val="18"/>
        </w:rPr>
        <w:t xml:space="preserve">1. Scheltens P, De Strooper B, Kivipelto M, et al. Alzheimer’s disease. </w:t>
      </w:r>
      <w:r>
        <w:rPr>
          <w:i/>
          <w:sz w:val="18"/>
          <w:szCs w:val="18"/>
        </w:rPr>
        <w:t>Lancet</w:t>
      </w:r>
      <w:r>
        <w:rPr>
          <w:sz w:val="18"/>
          <w:szCs w:val="18"/>
        </w:rPr>
        <w:t>. 2021;397:1577–1590. doi:10.1016/S0140-6736(20)32205-4.</w:t>
      </w:r>
    </w:p>
    <w:p>
      <w:pPr>
        <w:pStyle w:val="Reference"/>
        <w:ind w:left="360" w:hanging="360"/>
      </w:pPr>
      <w:r>
        <w:rPr>
          <w:sz w:val="18"/>
          <w:szCs w:val="18"/>
        </w:rPr>
        <w:t xml:space="preserve">2. Selkoe DJ. Treatments for Alzheimer’s disease emerge. </w:t>
      </w:r>
      <w:r>
        <w:rPr>
          <w:i/>
          <w:sz w:val="18"/>
          <w:szCs w:val="18"/>
        </w:rPr>
        <w:t>Nature</w:t>
      </w:r>
      <w:r>
        <w:rPr>
          <w:sz w:val="18"/>
          <w:szCs w:val="18"/>
        </w:rPr>
        <w:t>. 2023;616:33–34. doi:10.1038/s41586-023-05769-3.</w:t>
      </w:r>
    </w:p>
    <w:p>
      <w:pPr>
        <w:pStyle w:val="Reference"/>
        <w:ind w:left="360" w:hanging="360"/>
      </w:pPr>
      <w:r>
        <w:rPr>
          <w:sz w:val="18"/>
          <w:szCs w:val="18"/>
        </w:rPr>
        <w:t xml:space="preserve">3. Chalmers JC, Hernandez-Kapila YL. The role of the oral microbiome, host response, and periodontal disease treatment in Alzheimer’s disease: a primer. </w:t>
      </w:r>
      <w:r>
        <w:rPr>
          <w:i/>
          <w:sz w:val="18"/>
          <w:szCs w:val="18"/>
        </w:rPr>
        <w:t>Periodontol 2000</w:t>
      </w:r>
      <w:r>
        <w:rPr>
          <w:sz w:val="18"/>
          <w:szCs w:val="18"/>
        </w:rPr>
        <w:t>. 2025;98:220–227. doi:10.1111/prd.12631.</w:t>
      </w:r>
    </w:p>
    <w:p>
      <w:pPr>
        <w:pStyle w:val="Reference"/>
        <w:ind w:left="360" w:hanging="360"/>
      </w:pPr>
      <w:r>
        <w:rPr>
          <w:sz w:val="18"/>
          <w:szCs w:val="18"/>
        </w:rPr>
        <w:t xml:space="preserve">4. Liu S, Butler CA, Ayton S, Reynolds EC, Dashper SG. </w:t>
      </w:r>
      <w:r>
        <w:rPr>
          <w:i/>
          <w:sz w:val="18"/>
          <w:szCs w:val="18"/>
        </w:rPr>
        <w:t>Porphyromonas gingivalis</w:t>
      </w:r>
      <w:r>
        <w:rPr>
          <w:sz w:val="18"/>
          <w:szCs w:val="18"/>
        </w:rPr>
        <w:t xml:space="preserve"> and the pathogenesis of Alzheimer’s disease. </w:t>
      </w:r>
      <w:r>
        <w:rPr>
          <w:i/>
          <w:sz w:val="18"/>
          <w:szCs w:val="18"/>
        </w:rPr>
        <w:t>Crit Rev Microbiol</w:t>
      </w:r>
      <w:r>
        <w:rPr>
          <w:sz w:val="18"/>
          <w:szCs w:val="18"/>
        </w:rPr>
        <w:t>. 2024;50:127–137. doi:10.1080/1040841X.2022.2163613.</w:t>
      </w:r>
    </w:p>
    <w:p>
      <w:pPr>
        <w:pStyle w:val="Reference"/>
        <w:ind w:left="360" w:hanging="360"/>
      </w:pPr>
      <w:r>
        <w:rPr>
          <w:sz w:val="18"/>
          <w:szCs w:val="18"/>
        </w:rPr>
        <w:t xml:space="preserve">5. Dominy SS, Lynch C, Ermini F, et al. </w:t>
      </w:r>
      <w:r>
        <w:rPr>
          <w:i/>
          <w:sz w:val="18"/>
          <w:szCs w:val="18"/>
        </w:rPr>
        <w:t>Porphyromonas gingivalis</w:t>
      </w:r>
      <w:r>
        <w:rPr>
          <w:sz w:val="18"/>
          <w:szCs w:val="18"/>
        </w:rPr>
        <w:t xml:space="preserve"> in Alzheimer’s disease brains: evidence for disease causation and treatment with small-molecule inhibitors. </w:t>
      </w:r>
      <w:r>
        <w:rPr>
          <w:i/>
          <w:sz w:val="18"/>
          <w:szCs w:val="18"/>
        </w:rPr>
        <w:t>Sci Adv</w:t>
      </w:r>
      <w:r>
        <w:rPr>
          <w:sz w:val="18"/>
          <w:szCs w:val="18"/>
        </w:rPr>
        <w:t>. 2019;5:eaau3333. doi:10.1126/sciadv.aau3333.</w:t>
      </w:r>
    </w:p>
    <w:p>
      <w:pPr>
        <w:pStyle w:val="Reference"/>
        <w:ind w:left="360" w:hanging="360"/>
      </w:pPr>
      <w:r>
        <w:rPr>
          <w:sz w:val="18"/>
          <w:szCs w:val="18"/>
        </w:rPr>
        <w:t xml:space="preserve">6. Ilievski V, Zuchowska PK, Green SJ, et al. Chronic oral application of a periodontal pathogen results in brain inflammation, neurodegeneration and amyloid beta production in wild type mice. </w:t>
      </w:r>
      <w:r>
        <w:rPr>
          <w:i/>
          <w:sz w:val="18"/>
          <w:szCs w:val="18"/>
        </w:rPr>
        <w:t>PLoS One</w:t>
      </w:r>
      <w:r>
        <w:rPr>
          <w:sz w:val="18"/>
          <w:szCs w:val="18"/>
        </w:rPr>
        <w:t>. 2018;13:e0204941. doi:10.1371/journal.pone.0204941.</w:t>
      </w:r>
    </w:p>
    <w:p>
      <w:pPr>
        <w:pStyle w:val="Reference"/>
        <w:ind w:left="360" w:hanging="360"/>
      </w:pPr>
      <w:r>
        <w:rPr>
          <w:sz w:val="18"/>
          <w:szCs w:val="18"/>
        </w:rPr>
        <w:t xml:space="preserve">7. Gong T, Chen Q, Mao H, et al. Outer membrane vesicles of </w:t>
      </w:r>
      <w:r>
        <w:rPr>
          <w:i/>
          <w:sz w:val="18"/>
          <w:szCs w:val="18"/>
        </w:rPr>
        <w:t>Porphyromonas gingivalis</w:t>
      </w:r>
      <w:r>
        <w:rPr>
          <w:sz w:val="18"/>
          <w:szCs w:val="18"/>
        </w:rPr>
        <w:t xml:space="preserve"> trigger NLRP3 inflammasome and induce neuroinflammation, tau phosphorylation, and memory dysfunction in mice. </w:t>
      </w:r>
      <w:r>
        <w:rPr>
          <w:i/>
          <w:sz w:val="18"/>
          <w:szCs w:val="18"/>
        </w:rPr>
        <w:t>Front Cell Infect Microbiol</w:t>
      </w:r>
      <w:r>
        <w:rPr>
          <w:sz w:val="18"/>
          <w:szCs w:val="18"/>
        </w:rPr>
        <w:t>. 2022;12:925435. doi:10.3389/fcimb.2022.925435.</w:t>
      </w:r>
    </w:p>
    <w:p>
      <w:pPr>
        <w:pStyle w:val="Reference"/>
        <w:ind w:left="360" w:hanging="360"/>
      </w:pPr>
      <w:r>
        <w:rPr>
          <w:sz w:val="18"/>
          <w:szCs w:val="18"/>
        </w:rPr>
        <w:t xml:space="preserve">8. Hu C, Li H, Huang L, et al. Periodontal disease and risk of Alzheimer’s disease: a two-sample Mendelian randomization. </w:t>
      </w:r>
      <w:r>
        <w:rPr>
          <w:i/>
          <w:sz w:val="18"/>
          <w:szCs w:val="18"/>
        </w:rPr>
        <w:t>Brain Behav</w:t>
      </w:r>
      <w:r>
        <w:rPr>
          <w:sz w:val="18"/>
          <w:szCs w:val="18"/>
        </w:rPr>
        <w:t>. 2024;14:e3486. doi:10.1002/brb3.3486.</w:t>
      </w:r>
    </w:p>
    <w:p>
      <w:pPr>
        <w:pStyle w:val="Reference"/>
        <w:ind w:left="360" w:hanging="360"/>
      </w:pPr>
      <w:r>
        <w:rPr>
          <w:sz w:val="18"/>
          <w:szCs w:val="18"/>
        </w:rPr>
        <w:t xml:space="preserve">9. Sberro H, Fremin BJ, Zlitni S, et al. Large-scale analyses of human microbiomes reveal thousands of small, novel genes. </w:t>
      </w:r>
      <w:r>
        <w:rPr>
          <w:i/>
          <w:sz w:val="18"/>
          <w:szCs w:val="18"/>
        </w:rPr>
        <w:t>Cell</w:t>
      </w:r>
      <w:r>
        <w:rPr>
          <w:sz w:val="18"/>
          <w:szCs w:val="18"/>
        </w:rPr>
        <w:t>. 2019;178:1245–1259.e14. doi:10.1016/j.cell.2019.07.016.</w:t>
      </w:r>
    </w:p>
    <w:p>
      <w:pPr>
        <w:pStyle w:val="Reference"/>
        <w:ind w:left="360" w:hanging="360"/>
      </w:pPr>
      <w:r>
        <w:rPr>
          <w:sz w:val="18"/>
          <w:szCs w:val="18"/>
        </w:rPr>
        <w:t xml:space="preserve">10. Durrant MG, Bhatt AS. Automated prediction and annotation of small open reading frames in microbial genomes. </w:t>
      </w:r>
      <w:r>
        <w:rPr>
          <w:i/>
          <w:sz w:val="18"/>
          <w:szCs w:val="18"/>
        </w:rPr>
        <w:t>Nat Microbiol</w:t>
      </w:r>
      <w:r>
        <w:rPr>
          <w:sz w:val="18"/>
          <w:szCs w:val="18"/>
        </w:rPr>
        <w:t>. 2021;6:564–574. doi:10.1038/s41564-021-00891-0.</w:t>
      </w:r>
    </w:p>
    <w:p>
      <w:pPr>
        <w:pStyle w:val="Reference"/>
        <w:ind w:left="360" w:hanging="360"/>
      </w:pPr>
      <w:r>
        <w:rPr>
          <w:sz w:val="18"/>
          <w:szCs w:val="18"/>
        </w:rPr>
        <w:t xml:space="preserve">11. Belstrøm D, Constancias F, Drautz-Moses DI, et al. Periodontitis associates with species-specific gene expression of the oral microbiota. </w:t>
      </w:r>
      <w:r>
        <w:rPr>
          <w:i/>
          <w:sz w:val="18"/>
          <w:szCs w:val="18"/>
        </w:rPr>
        <w:t>NPJ Biofilms Microbiomes</w:t>
      </w:r>
      <w:r>
        <w:rPr>
          <w:sz w:val="18"/>
          <w:szCs w:val="18"/>
        </w:rPr>
        <w:t>. 2021;7:76. doi:10.1038/s41522-021-00247-y.</w:t>
      </w:r>
    </w:p>
    <w:p>
      <w:pPr>
        <w:pStyle w:val="Reference"/>
        <w:ind w:left="360" w:hanging="360"/>
      </w:pPr>
      <w:r>
        <w:rPr>
          <w:sz w:val="18"/>
          <w:szCs w:val="18"/>
        </w:rPr>
        <w:t xml:space="preserve">12. Du Z, Ding X, Xu Y, Li W. UniDL4BioPep: a universal deep learning architecture for binary classification in peptide bioactivity. </w:t>
      </w:r>
      <w:r>
        <w:rPr>
          <w:i/>
          <w:sz w:val="18"/>
          <w:szCs w:val="18"/>
        </w:rPr>
        <w:t>Brief Bioinform</w:t>
      </w:r>
      <w:r>
        <w:rPr>
          <w:sz w:val="18"/>
          <w:szCs w:val="18"/>
        </w:rPr>
        <w:t>. 2023;24:bbad135. doi:10.1093/bib/bbad135.</w:t>
      </w:r>
    </w:p>
    <w:p>
      <w:pPr>
        <w:pStyle w:val="Reference"/>
        <w:ind w:left="360" w:hanging="360"/>
      </w:pPr>
      <w:r>
        <w:rPr>
          <w:sz w:val="18"/>
          <w:szCs w:val="18"/>
        </w:rPr>
        <w:t xml:space="preserve">13. Rathore AS, Jain S, Choudhury S, Raghava GPS. A large language model for predicting neurotoxic peptides and neurotoxins. </w:t>
      </w:r>
      <w:r>
        <w:rPr>
          <w:i/>
          <w:sz w:val="18"/>
          <w:szCs w:val="18"/>
        </w:rPr>
        <w:t>Protein Sci</w:t>
      </w:r>
      <w:r>
        <w:rPr>
          <w:sz w:val="18"/>
          <w:szCs w:val="18"/>
        </w:rPr>
        <w:t>. 2025;34:e70200. doi:10.1002/pro.70200.</w:t>
      </w:r>
    </w:p>
    <w:p>
      <w:pPr>
        <w:pStyle w:val="Reference"/>
        <w:ind w:left="360" w:hanging="360"/>
      </w:pPr>
      <w:r>
        <w:rPr>
          <w:sz w:val="18"/>
          <w:szCs w:val="18"/>
        </w:rPr>
        <w:t xml:space="preserve">14. Valasatava Y, Rosato A, Banci L, Andreini C. mebipred: identifying metal-binding potential in protein sequence. </w:t>
      </w:r>
      <w:r>
        <w:rPr>
          <w:i/>
          <w:sz w:val="18"/>
          <w:szCs w:val="18"/>
        </w:rPr>
        <w:t>Bioinformatics</w:t>
      </w:r>
      <w:r>
        <w:rPr>
          <w:sz w:val="18"/>
          <w:szCs w:val="18"/>
        </w:rPr>
        <w:t>. 2022;38:3532–3540. doi:10.1093/bioinformatics/btac358.</w:t>
      </w:r>
    </w:p>
    <w:p>
      <w:pPr>
        <w:pStyle w:val="Reference"/>
        <w:ind w:left="360" w:hanging="360"/>
      </w:pPr>
      <w:r>
        <w:rPr>
          <w:sz w:val="18"/>
          <w:szCs w:val="18"/>
        </w:rPr>
        <w:t xml:space="preserve">15. Olsen TH, Yesiltas B, Marin FI, et al. AnOxPePred: using deep learning for the prediction of antioxidative properties of peptides. </w:t>
      </w:r>
      <w:r>
        <w:rPr>
          <w:i/>
          <w:sz w:val="18"/>
          <w:szCs w:val="18"/>
        </w:rPr>
        <w:t>Sci Rep</w:t>
      </w:r>
      <w:r>
        <w:rPr>
          <w:sz w:val="18"/>
          <w:szCs w:val="18"/>
        </w:rPr>
        <w:t>. 2020;10:21471. doi:10.1038/s41598-020-78319-w.</w:t>
      </w:r>
    </w:p>
    <w:p>
      <w:pPr>
        <w:pStyle w:val="Reference"/>
        <w:ind w:left="360" w:hanging="360"/>
      </w:pPr>
      <w:r>
        <w:rPr>
          <w:sz w:val="18"/>
          <w:szCs w:val="18"/>
        </w:rPr>
        <w:t xml:space="preserve">16. Inestrosa NC, Alvarez A, Pérez CA, et al. Acetylcholinesterase accelerates assembly of amyloid-β-peptides into Alzheimer’s fibrils. </w:t>
      </w:r>
      <w:r>
        <w:rPr>
          <w:i/>
          <w:sz w:val="18"/>
          <w:szCs w:val="18"/>
        </w:rPr>
        <w:t>Neuron</w:t>
      </w:r>
      <w:r>
        <w:rPr>
          <w:sz w:val="18"/>
          <w:szCs w:val="18"/>
        </w:rPr>
        <w:t>. 1996;16:881–891. doi:10.1016/S0896-6273(00)80108-7.</w:t>
      </w:r>
    </w:p>
    <w:p>
      <w:pPr>
        <w:pStyle w:val="Reference"/>
        <w:ind w:left="360" w:hanging="360"/>
      </w:pPr>
      <w:r>
        <w:rPr>
          <w:sz w:val="18"/>
          <w:szCs w:val="18"/>
        </w:rPr>
        <w:t xml:space="preserve">17. Cheung J, Rudolph MJ, Burshteyn F, et al. Structures of human acetylcholinesterase in complex with pharmacologically important ligands. </w:t>
      </w:r>
      <w:r>
        <w:rPr>
          <w:i/>
          <w:sz w:val="18"/>
          <w:szCs w:val="18"/>
        </w:rPr>
        <w:t>J Med Chem</w:t>
      </w:r>
      <w:r>
        <w:rPr>
          <w:sz w:val="18"/>
          <w:szCs w:val="18"/>
        </w:rPr>
        <w:t>. 2012;55:10282–10286. doi:10.1021/jm300871x.</w:t>
      </w:r>
    </w:p>
    <w:p>
      <w:pPr>
        <w:pStyle w:val="Reference"/>
        <w:ind w:left="360" w:hanging="360"/>
      </w:pPr>
      <w:r>
        <w:rPr>
          <w:sz w:val="18"/>
          <w:szCs w:val="18"/>
        </w:rPr>
        <w:t xml:space="preserve">18. Trott O, Olson AJ. AutoDock Vina: improving the speed and accuracy of docking. </w:t>
      </w:r>
      <w:r>
        <w:rPr>
          <w:i/>
          <w:sz w:val="18"/>
          <w:szCs w:val="18"/>
        </w:rPr>
        <w:t>J Comput Chem</w:t>
      </w:r>
      <w:r>
        <w:rPr>
          <w:sz w:val="18"/>
          <w:szCs w:val="18"/>
        </w:rPr>
        <w:t>. 2010;31:455–461. doi:10.1002/jcc.21334.</w:t>
      </w:r>
    </w:p>
    <w:p>
      <w:pPr>
        <w:pStyle w:val="Reference"/>
        <w:ind w:left="360" w:hanging="360"/>
      </w:pPr>
      <w:r>
        <w:rPr>
          <w:sz w:val="18"/>
          <w:szCs w:val="18"/>
        </w:rPr>
        <w:t xml:space="preserve">19. Eberhardt J, Santos-Martins D, Tillack AF, Forli S. AutoDock Vina 1.2.0: new docking methods, expanded force field, and Python bindings. </w:t>
      </w:r>
      <w:r>
        <w:rPr>
          <w:i/>
          <w:sz w:val="18"/>
          <w:szCs w:val="18"/>
        </w:rPr>
        <w:t>J Chem Inf Model</w:t>
      </w:r>
      <w:r>
        <w:rPr>
          <w:sz w:val="18"/>
          <w:szCs w:val="18"/>
        </w:rPr>
        <w:t>. 2021;61:3891–3898. doi:10.1021/acs.jcim.1c00203.</w:t>
      </w:r>
    </w:p>
    <w:p>
      <w:pPr>
        <w:pStyle w:val="Reference"/>
        <w:ind w:left="360" w:hanging="360"/>
      </w:pPr>
      <w:r>
        <w:rPr>
          <w:sz w:val="18"/>
          <w:szCs w:val="18"/>
        </w:rPr>
        <w:t xml:space="preserve">20. London N, Raveh B, Schueler-Furman O. Druggable protein–protein interactions—from hot spots to hot segments. </w:t>
      </w:r>
      <w:r>
        <w:rPr>
          <w:i/>
          <w:sz w:val="18"/>
          <w:szCs w:val="18"/>
        </w:rPr>
        <w:t>Curr Opin Chem Biol</w:t>
      </w:r>
      <w:r>
        <w:rPr>
          <w:sz w:val="18"/>
          <w:szCs w:val="18"/>
        </w:rPr>
        <w:t>. 2013;17:952–959. doi:10.1016/j.cbpa.2013.10.011.</w:t>
      </w:r>
    </w:p>
    <w:sectPr>
      <w:pgSz w:w="11906" w:h="16838"/>
      <w:pgMar w:top="1134" w:right="1134" w:bottom="1134" w:left="1134" w:header="600" w:footer="600" w:gutter="0"/>
      <w:cols w:space="720"/>
      <w:docGrid w:linePitch="312"/>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2"/>
        <w:szCs w:val="22"/>
        <w:lang w:val="en-US" w:eastAsia="zh-CN"/>
      </w:rPr>
    </w:rPrDefault>
    <w:pPrDefault>
      <w:pPr>
        <w:spacing w:after="120" w:line="276" w:lineRule="auto"/>
        <w:jc w:val="both"/>
      </w:pPr>
    </w:pPrDefault>
  </w:docDefaults>
  <w:style w:type="paragraph" w:default="1" w:styleId="Normal">
    <w:name w:val="Normal"/>
    <w:qFormat/>
    <w:pPr>
      <w:widowControl/>
    </w:pPr>
  </w:style>
  <w:style w:type="paragraph" w:styleId="Heading1">
    <w:name w:val="heading 1"/>
    <w:basedOn w:val="Normal"/>
    <w:next w:val="Normal"/>
    <w:qFormat/>
    <w:pPr>
      <w:keepNext/>
      <w:keepLines/>
      <w:spacing w:before="240" w:after="180"/>
      <w:jc w:val="center"/>
      <w:outlineLvl w:val="0"/>
    </w:pPr>
    <w:rPr>
      <w:rFonts w:ascii="Arial" w:hAnsi="Arial" w:eastAsia="黑体"/>
      <w:b/>
      <w:color w:val="17365D"/>
      <w:sz w:val="36"/>
      <w:szCs w:val="36"/>
    </w:rPr>
  </w:style>
  <w:style w:type="paragraph" w:styleId="Heading2">
    <w:name w:val="heading 2"/>
    <w:basedOn w:val="Normal"/>
    <w:next w:val="Normal"/>
    <w:qFormat/>
    <w:pPr>
      <w:keepNext/>
      <w:keepLines/>
      <w:spacing w:before="280" w:after="140"/>
      <w:outlineLvl w:val="1"/>
    </w:pPr>
    <w:rPr>
      <w:rFonts w:ascii="Arial" w:hAnsi="Arial" w:eastAsia="黑体"/>
      <w:b/>
      <w:color w:val="17365D"/>
      <w:sz w:val="30"/>
      <w:szCs w:val="30"/>
    </w:rPr>
  </w:style>
  <w:style w:type="paragraph" w:styleId="Heading3">
    <w:name w:val="heading 3"/>
    <w:basedOn w:val="Normal"/>
    <w:next w:val="Normal"/>
    <w:qFormat/>
    <w:pPr>
      <w:keepNext/>
      <w:spacing w:before="220" w:after="100"/>
      <w:outlineLvl w:val="2"/>
    </w:pPr>
    <w:rPr>
      <w:rFonts w:ascii="Arial" w:hAnsi="Arial" w:eastAsia="黑体"/>
      <w:b/>
      <w:color w:val="2F5597"/>
      <w:sz w:val="26"/>
      <w:szCs w:val="26"/>
    </w:rPr>
  </w:style>
  <w:style w:type="paragraph" w:styleId="Heading4">
    <w:name w:val="heading 4"/>
    <w:basedOn w:val="Normal"/>
    <w:next w:val="Normal"/>
    <w:qFormat/>
    <w:pPr>
      <w:keepNext/>
      <w:spacing w:before="180" w:after="80"/>
      <w:outlineLvl w:val="3"/>
    </w:pPr>
    <w:rPr>
      <w:rFonts w:ascii="Arial" w:hAnsi="Arial" w:eastAsia="黑体"/>
      <w:b/>
      <w:color w:val="365F91"/>
      <w:sz w:val="23"/>
      <w:szCs w:val="23"/>
    </w:rPr>
  </w:style>
  <w:style w:type="paragraph" w:styleId="Note">
    <w:name w:val="Note"/>
    <w:basedOn w:val="Normal"/>
    <w:pPr>
      <w:spacing w:after="80"/>
      <w:jc w:val="left"/>
    </w:pPr>
    <w:rPr>
      <w:color w:val="5B6573"/>
      <w:i/>
      <w:sz w:val="19"/>
      <w:szCs w:val="19"/>
    </w:rPr>
  </w:style>
  <w:style w:type="paragraph" w:styleId="Keywords">
    <w:name w:val="Keywords"/>
    <w:basedOn w:val="Normal"/>
    <w:pPr>
      <w:spacing w:after="160"/>
    </w:pPr>
    <w:rPr>
      <w:sz w:val="20"/>
      <w:szCs w:val="20"/>
    </w:rPr>
  </w:style>
  <w:style w:type="paragraph" w:styleId="Caption">
    <w:name w:val="Caption"/>
    <w:basedOn w:val="Normal"/>
    <w:pPr>
      <w:keepNext/>
      <w:spacing w:before="60" w:after="120"/>
      <w:jc w:val="left"/>
    </w:pPr>
    <w:rPr>
      <w:i/>
      <w:sz w:val="18"/>
      <w:szCs w:val="18"/>
    </w:rPr>
  </w:style>
  <w:style w:type="paragraph" w:styleId="Figure">
    <w:name w:val="Figure"/>
    <w:basedOn w:val="Normal"/>
    <w:pPr>
      <w:spacing w:before="120" w:after="60"/>
      <w:jc w:val="center"/>
    </w:pPr>
  </w:style>
  <w:style w:type="paragraph" w:styleId="Reference">
    <w:name w:val="Reference"/>
    <w:basedOn w:val="Normal"/>
    <w:pPr>
      <w:spacing w:after="60" w:line="220" w:lineRule="auto"/>
      <w:jc w:val="left"/>
    </w:pPr>
    <w:rPr>
      <w:sz w:val="18"/>
      <w:szCs w:val="18"/>
    </w:rPr>
  </w:style>
  <w:style w:type="paragraph" w:styleId="ListParagraph">
    <w:name w:val="List Paragraph"/>
    <w:basedOn w:val="Normal"/>
    <w:pPr>
      <w:spacing w:after="60"/>
    </w:pPr>
  </w:style>
  <w:style w:type="paragraph" w:styleId="TableText">
    <w:name w:val="Table Text"/>
    <w:basedOn w:val="Normal"/>
    <w:pPr>
      <w:spacing w:after="0"/>
      <w:jc w:val="left"/>
    </w:pPr>
    <w:rPr>
      <w:sz w:val="17"/>
      <w:szCs w:val="17"/>
    </w:rPr>
  </w:style>
  <w:style w:type="table" w:styleId="TableGrid">
    <w:name w:val="Table Grid"/>
    <w:tblPr>
      <w:tblBorders>
        <w:top w:val="single" w:sz="4" w:color="9AA6B2"/>
        <w:left w:val="single" w:sz="4" w:color="9AA6B2"/>
        <w:bottom w:val="single" w:sz="4" w:color="9AA6B2"/>
        <w:right w:val="single" w:sz="4" w:color="9AA6B2"/>
        <w:insideH w:val="single" w:sz="4" w:color="9AA6B2"/>
        <w:insideV w:val="single" w:sz="4" w:color="9AA6B2"/>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深度学习引导的牙周炎—阿尔茨海默病界面口腔微肽多模型优选</dc:title>
  <dcterms:created xsi:type="dcterms:W3CDTF">2026-08-14T00:00:00Z</dcterms:created>
  <dcterms:modified xsi:type="dcterms:W3CDTF">2026-08-14T00:00:00Z</dcterms:modified>
</cp:coreProperties>
</file>