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vanish/>
          <w:sz w:val="2"/>
        </w:rPr>
      </w:pPr>
      <w:r>
        <w:rPr>
          <w:vanish/>
          <w:sz w:val="2"/>
        </w:rPr>
        <w:fldChar w:fldCharType="begin"/>
      </w:r>
      <w:r>
        <w:rPr>
          <w:vanish/>
          <w:sz w:val="2"/>
        </w:rPr>
        <w:instrText xml:space="preserve"> ADDIN ZOTERO_PREF &lt;data data-version="3" zotero-version="7.0.11"&gt;&lt;session id="6bfef06db53a48a9a807e20860c2cc67"/&gt;&lt;style id="http://www.zotero.org/styles/vancouver" locale="en-US" hasBibliography="1" bibliographyStyleHasBeenSet="1"/&gt;&lt;prefs&gt;&lt;pref name="fieldType" value="Field"/&gt;&lt;pref name="automaticJournalAbbreviations" value="true"/&gt;&lt;pref name="noteType" value="0"/&gt;&lt;/prefs&gt;&lt;/data&gt;</w:instrText>
      </w:r>
      <w:r>
        <w:rPr>
          <w:vanish/>
          <w:sz w:val="2"/>
        </w:rPr>
        <w:fldChar w:fldCharType="end"/>
      </w:r>
    </w:p>
    <w:p>
      <w:pPr>
        <w:pStyle w:val="2"/>
        <w:keepNext/>
        <w:rPr>
          <w:rFonts w:hint="default" w:eastAsia="黑体"/>
          <w:lang w:val="en-US" w:eastAsia="zh-CN"/>
        </w:rPr>
      </w:pPr>
      <w:r>
        <w:t>Deep-learning screening, molecular docking and molecular dynamics of periodontitis oral micropeptides targeting human acetylcholinesterase</w:t>
      </w:r>
      <w:r>
        <w:rPr>
          <w:rFonts w:hint="eastAsia"/>
          <w:lang w:val="en-US" w:eastAsia="zh-CN"/>
        </w:rPr>
        <w:t>促进Aβ聚集的模型</w:t>
      </w:r>
      <w:bookmarkStart w:id="0" w:name="_GoBack"/>
      <w:bookmarkEnd w:id="0"/>
      <w:r>
        <w:rPr>
          <w:rFonts w:hint="eastAsia"/>
          <w:lang w:val="en-US" w:eastAsia="zh-CN"/>
        </w:rPr>
        <w:t xml:space="preserve"> 有神经毒性的肽 2-3条pc12</w:t>
      </w:r>
    </w:p>
    <w:p>
      <w:pPr>
        <w:pStyle w:val="3"/>
        <w:keepNext/>
      </w:pPr>
      <w:r>
        <w:t>Abstract</w:t>
      </w:r>
    </w:p>
    <w:p>
      <w:r>
        <w:t>Periodontitis has been linked to Alzheimer’s disease (AD) in epidemiological and experimental studies, but it remains unclear whether oral microbial molecules could take part in processes related to amyloid-β (Aβ) assembly. This study aimed to screen oral microbe-derived short peptides that may interact with the peripheral anionic site (PAS) of human acetylcholinesterase (AChE), and to assess possible modes of interaction by molecular simulation. sORFs were predicted with EMBOSS getorf from PRJNA678453 metagenome-assembled genomes and scored with UniDL4BioPep. Periodontitis-labelled candidates were then matched to oral genomic and metaproteomic catalogues and reduced with NTxPred2, mebipred and AnOxPePred to twelve explicit peptides. All twelve are 7–9 residues, net-positive at pH 7.4, and leucine-rich. The twelve ligands were docked into human AChE; apo enzyme and three representative complexes were then run for 100-ns MD. Docking placed FLLHTTR, YLSLLQR and LLHPLRL near the PAS. Relative to apo AChE, the FLLHTTR and YLSLLQR complexes adopted more compact overall conformations; FLLHTTR showed a richer intermolecular hydrogen-bond network, and YLSLLQR a reduced solvent-accessible surface. These features are conformational and contact descriptors, not proof of tighter binding. The calculations suggest that some oral micropeptides may interact with AChE-PAS. They supply computational evidence for a possible peptide-level link between periodontitis and AD-related AChE–Aβ biology, and they nominate candidates for later binding and Aβ-aggregation assays.</w:t>
      </w:r>
    </w:p>
    <w:p>
      <w:pPr>
        <w:pStyle w:val="11"/>
      </w:pPr>
      <w:r>
        <w:rPr>
          <w:b/>
        </w:rPr>
        <w:t>Keywords:</w:t>
      </w:r>
      <w:r>
        <w:t xml:space="preserve"> Alzheimer’s disease; periodontitis; micropeptide; molecular docking; molecular dynamics</w:t>
      </w:r>
    </w:p>
    <w:p>
      <w:pPr>
        <w:pStyle w:val="3"/>
        <w:keepNext/>
      </w:pPr>
      <w:r>
        <w:t>Introduction</w:t>
      </w:r>
    </w:p>
    <w:p>
      <w:pPr>
        <w:pStyle w:val="7"/>
      </w:pPr>
      <w:r>
        <w:t xml:space="preserve">Alzheimer’s disease (AD) combines amyloid deposition, tau pathology, synaptic failure, immune activation and vascular injury over a long preclinical course </w:t>
      </w:r>
      <w:r>
        <w:fldChar w:fldCharType="begin"/>
      </w:r>
      <w:r>
        <w:instrText xml:space="preserve"> ADDIN ZOTERO_ITEM CSL_CITATION {"citationID":"c54bad23","properties":{"formattedCitation":"[1]","plainCitation":"[1]","dontUpdate":false,"noteIndex":0},"citationItems":[{"id":1,"uris":["http://zotero.org/users/local/items/scheltens2021alzheimer"],"itemData":{"id":1,"type":"article-journal","title":"Alzheimer's disease","author":[{"family":"Scheltens","given":"Philip"},{"family":"De Strooper","given":"Bart"},{"family":"Kivipelto","given":"Miia"},{"family":"Holstege","given":"Henne"},{"family":"Chételat","given":"Gael"},{"family":"Teunissen","given":"Charlotte E."},{"family":"Cummings","given":"Jeffrey"},{"family":"van der Flier","given":"Wiesje M."}],"citation-key":"scheltens2021alzheimer","issued":{"date-parts":[[2021]]},"container-title":"The Lancet","volume":"397","issue":"10284","page":"1577-1590","DOI":"10.1016/S0140-6736(20)32205-4"}}],"schema":"https://github.com/citation-style-language/schema/raw/master/csl-citation.json"}</w:instrText>
      </w:r>
      <w:r>
        <w:fldChar w:fldCharType="separate"/>
      </w:r>
      <w:r>
        <w:t>[1]</w:t>
      </w:r>
      <w:r>
        <w:fldChar w:fldCharType="end"/>
      </w:r>
      <w:r>
        <w:t xml:space="preserve">. Sequential cleavage of APP by β- and γ-secretases releases Aβ40 and Aβ42; soluble oligomers injure synapses; familial APP/PSEN mutations change peptide length and amount </w:t>
      </w:r>
      <w:r>
        <w:fldChar w:fldCharType="begin"/>
      </w:r>
      <w:r>
        <w:instrText xml:space="preserve"> ADDIN ZOTERO_ITEM CSL_CITATION {"citationID":"c1b22d3e","properties":{"formattedCitation":"[2]","plainCitation":"[2]","dontUpdate":false,"noteIndex":0},"citationItems":[{"id":2,"uris":["http://zotero.org/users/local/items/selkoe2016amyloid"],"itemData":{"id":2,"type":"article-journal","title":"The amyloid hypothesis of Alzheimer's disease at 25 years","author":[{"family":"Selkoe","given":"Dennis J."},{"family":"Hardy","given":"John"}],"citation-key":"selkoe2016amyloid","issued":{"date-parts":[[2016]]},"container-title":"EMBO Molecular Medicine","volume":"8","issue":"6","page":"595-608","DOI":"10.15252/emmm.201606210"}}],"schema":"https://github.com/citation-style-language/schema/raw/master/csl-citation.json"}</w:instrText>
      </w:r>
      <w:r>
        <w:fldChar w:fldCharType="separate"/>
      </w:r>
      <w:r>
        <w:t>[2]</w:t>
      </w:r>
      <w:r>
        <w:fldChar w:fldCharType="end"/>
      </w:r>
      <w:r>
        <w:t>. Amyloid load does not explain the spatial or clinical heterogeneity of the disease, so peripheral inflammatory exposures have been examined as possible modifiers of vulnerability rather than as single sufficient causes. Clarifying possible molecular links between peripheral chronic inflammation and AD-related pathology is therefore one route into that heterogeneity. Beyond inflammatory signalling itself, whether microbial products can take part in protein interactions related to Aβ generation, assembly or synaptic failure remains an open question.</w:t>
      </w:r>
    </w:p>
    <w:p>
      <w:pPr>
        <w:pStyle w:val="7"/>
      </w:pPr>
      <w:r>
        <w:t xml:space="preserve">Loss of basal-forebrain acetylcholine accounts for a large fraction of the cognitive picture, which is why AChE inhibitors remain in routine use </w:t>
      </w:r>
      <w:r>
        <w:fldChar w:fldCharType="begin"/>
      </w:r>
      <w:r>
        <w:instrText xml:space="preserve"> ADDIN ZOTERO_ITEM CSL_CITATION {"citationID":"595e325e","properties":{"formattedCitation":"[3]","plainCitation":"[3]","dontUpdate":false,"noteIndex":0},"citationItems":[{"id":3,"uris":["http://zotero.org/users/local/items/hampel2018cholinergic"],"itemData":{"id":3,"type":"article-journal","title":"The cholinergic system in the pathophysiology and treatment of Alzheimer's disease","author":[{"family":"Hampel","given":"Harald"},{"family":"Mesulam","given":"M.-Marsel"},{"family":"Cuello","given":"A. Claudio"},{"family":"Farlow","given":"Martin R."},{"family":"Giacobini","given":"Ezio"},{"family":"Grossberg","given":"George T."},{"family":"Khachaturian","given":"Ara S."},{"family":"Vergallo","given":"Andrea"},{"family":"Cavedo","given":"Enrica"},{"family":"Snyder","given":"Peter J."},{"family":"Khachaturian","given":"Zaven S."}],"citation-key":"hampel2018cholinergic","issued":{"date-parts":[[2018]]},"container-title":"Brain","volume":"141","issue":"7","page":"1917-1933","DOI":"10.1093/brain/awy132"}}],"schema":"https://github.com/citation-style-language/schema/raw/master/csl-citation.json"}</w:instrText>
      </w:r>
      <w:r>
        <w:fldChar w:fldCharType="separate"/>
      </w:r>
      <w:r>
        <w:t>[3]</w:t>
      </w:r>
      <w:r>
        <w:fldChar w:fldCharType="end"/>
      </w:r>
      <w:r>
        <w:t xml:space="preserve">. Catalysis is only part of the enzyme’s role. AChE accelerates Aβ fibril growth through the peripheral anionic site (PAS), and AChE–Aβ particles are more toxic than free peptide </w:t>
      </w:r>
      <w:r>
        <w:fldChar w:fldCharType="begin"/>
      </w:r>
      <w:r>
        <w:instrText xml:space="preserve"> ADDIN ZOTERO_ITEM CSL_CITATION {"citationID":"c3e95ebd","properties":{"formattedCitation":"[4]","plainCitation":"[4]","dontUpdate":false,"noteIndex":0},"citationItems":[{"id":4,"uris":["http://zotero.org/users/local/items/inestrosa1996ache"],"itemData":{"id":4,"type":"article-journal","title":"Acetylcholinesterase accelerates assembly of amyloid-$\\beta$-peptides into Alzheimer's fibrils: possible role of the peripheral site of the enzyme","author":[{"family":"Inestrosa","given":"Nibaldo C."},{"family":"Alvarez","given":"Alejandra"},{"family":"Pérez","given":"Carlos A."},{"family":"Moreno","given":"Rodrigo D."},{"family":"Vicente","given":"Marcelo"},{"family":"Linker","given":"Claudio"},{"family":"Casanueva","given":"Olivia I."},{"family":"Soto","given":"Claudio"},{"family":"Garrido","given":"Jorge"}],"citation-key":"inestrosa1996ache","issued":{"date-parts":[[1996]]},"container-title":"Neuron","volume":"16","issue":"4","page":"881-891","DOI":"10.1016/s0896-6273(00)80108-7"}}],"schema":"https://github.com/citation-style-language/schema/raw/master/csl-citation.json"}</w:instrText>
      </w:r>
      <w:r>
        <w:fldChar w:fldCharType="separate"/>
      </w:r>
      <w:r>
        <w:t>[4]</w:t>
      </w:r>
      <w:r>
        <w:fldChar w:fldCharType="end"/>
      </w:r>
      <w:r>
        <w:t xml:space="preserve">. A short hydrophobic PAS motif is sufficient for that chaperone effect </w:t>
      </w:r>
      <w:r>
        <w:fldChar w:fldCharType="begin"/>
      </w:r>
      <w:r>
        <w:instrText xml:space="preserve"> ADDIN ZOTERO_ITEM CSL_CITATION {"citationID":"50718778","properties":{"formattedCitation":"[5]","plainCitation":"[5]","dontUpdate":false,"noteIndex":0},"citationItems":[{"id":5,"uris":["http://zotero.org/users/local/items/deferrari2001motif"],"itemData":{"id":5,"type":"article-journal","title":"A structural motif of acetylcholinesterase that promotes amyloid $\\beta$-peptide fibril formation","author":[{"family":"De Ferrari","given":"G. V."},{"family":"Canales","given":"M. A."},{"family":"Shin","given":"I."},{"family":"Weiner","given":"L. M."},{"family":"Silman","given":"I."},{"family":"Inestrosa","given":"N. C."}],"citation-key":"deferrari2001motif","issued":{"date-parts":[[2001]]},"container-title":"Biochemistry","volume":"40","issue":"35","page":"10447-10457","DOI":"10.1021/bi0101392"}}],"schema":"https://github.com/citation-style-language/schema/raw/master/csl-citation.json"}</w:instrText>
      </w:r>
      <w:r>
        <w:fldChar w:fldCharType="separate"/>
      </w:r>
      <w:r>
        <w:t>[5]</w:t>
      </w:r>
      <w:r>
        <w:fldChar w:fldCharType="end"/>
      </w:r>
      <w:r>
        <w:t xml:space="preserve">. PAS-directed small molecules can block AChE-induced aggregation in biochemical assays </w:t>
      </w:r>
      <w:r>
        <w:fldChar w:fldCharType="begin"/>
      </w:r>
      <w:r>
        <w:instrText xml:space="preserve"> ADDIN ZOTERO_ITEM CSL_CITATION {"citationID":"54b91b64","properties":{"formattedCitation":"[6]","plainCitation":"[6]","dontUpdate":false,"noteIndex":0},"citationItems":[{"id":6,"uris":["http://zotero.org/users/local/items/bartolini2003pas"],"itemData":{"id":6,"type":"article-journal","title":"$\\beta$-Amyloid aggregation induced by human acetylcholinesterase: inhibition studies","author":[{"family":"Bartolini","given":"Manuela"},{"family":"Bertucci","given":"Carlo"},{"family":"Cavrini","given":"Vanni"},{"family":"Andrisano","given":"Vincenza"}],"citation-key":"bartolini2003pas","issued":{"date-parts":[[2003]]},"container-title":"Biochemical Pharmacology","volume":"65","issue":"3","page":"407-416","DOI":"10.1016/s0006-2952(02)01514-9"}}],"schema":"https://github.com/citation-style-language/schema/raw/master/csl-citation.json"}</w:instrText>
      </w:r>
      <w:r>
        <w:fldChar w:fldCharType="separate"/>
      </w:r>
      <w:r>
        <w:t>[6]</w:t>
      </w:r>
      <w:r>
        <w:fldChar w:fldCharType="end"/>
      </w:r>
      <w:r>
        <w:t>. The same protein surface therefore joins cholinergic failure to amyloid deposition.</w:t>
      </w:r>
    </w:p>
    <w:p>
      <w:pPr>
        <w:pStyle w:val="7"/>
      </w:pPr>
      <w:r>
        <w:t xml:space="preserve">Chronic periodontitis maintains a low-grade inflammatory load at a disrupted mucosal barrier and allows microbial products into blood </w:t>
      </w:r>
      <w:r>
        <w:fldChar w:fldCharType="begin"/>
      </w:r>
      <w:r>
        <w:instrText xml:space="preserve"> ADDIN ZOTERO_ITEM CSL_CITATION {"citationID":"3d59f59f","properties":{"formattedCitation":"[7]","plainCitation":"[7]","dontUpdate":false,"noteIndex":0},"citationItems":[{"id":7,"uris":["http://zotero.org/users/local/items/chalmers2025primer"],"itemData":{"id":7,"type":"article-journal","title":"The role of the oral microbiome, host response, and periodontal disease treatment in Alzheimer's disease: A primer","author":[{"family":"Chalmers","given":"Jaclyn C."},{"family":"Hernandez-Kapila","given":"Yvonne L."}],"citation-key":"chalmers2025primer","issued":{"date-parts":[[2025]]},"container-title":"Periodontology 2000","volume":"98","issue":"1","page":"220-227","DOI":"10.1111/prd.12631"}}],"schema":"https://github.com/citation-style-language/schema/raw/master/csl-citation.json"}</w:instrText>
      </w:r>
      <w:r>
        <w:fldChar w:fldCharType="separate"/>
      </w:r>
      <w:r>
        <w:t>[7]</w:t>
      </w:r>
      <w:r>
        <w:fldChar w:fldCharType="end"/>
      </w:r>
      <w:r>
        <w:t xml:space="preserve">. Oral activity is species- and site-specific, so 16S abundance cannot stand in for a molecular ligand </w:t>
      </w:r>
      <w:r>
        <w:fldChar w:fldCharType="begin"/>
      </w:r>
      <w:r>
        <w:instrText xml:space="preserve"> ADDIN ZOTERO_ITEM CSL_CITATION {"citationID":"815f6293","properties":{"formattedCitation":"[8]","plainCitation":"[8]","dontUpdate":false,"noteIndex":0},"citationItems":[{"id":8,"uris":["http://zotero.org/users/local/items/belstrom2021periodontitis"],"itemData":{"id":8,"type":"article-journal","title":"Periodontitis associates with species-specific gene expression of the oral microbiota","author":[{"family":"Belstrøm","given":"Daniel"},{"family":"Constancias","given":"Florentin"},{"family":"Drautz-Moses","given":"Daniela I."},{"family":"Schuster","given":"Stephan C."},{"family":"Veleba","given":"Mark"},{"family":"Mahé","given":"Frédéric"},{"family":"Givskov","given":"Michael"}],"citation-key":"belstrom2021periodontitis","issued":{"date-parts":[[2021]]},"container-title":"npj Biofilms and Microbiomes","volume":"7","page":"76","DOI":"10.1038/s41522-021-00247-y"}}],"schema":"https://github.com/citation-style-language/schema/raw/master/csl-citation.json"}</w:instrText>
      </w:r>
      <w:r>
        <w:fldChar w:fldCharType="separate"/>
      </w:r>
      <w:r>
        <w:t>[8]</w:t>
      </w:r>
      <w:r>
        <w:fldChar w:fldCharType="end"/>
      </w:r>
      <w:r>
        <w:t xml:space="preserve">. Meta-analyses report associations between periodontal disease and cognitive disorders, although effect sizes move with case definitions </w:t>
      </w:r>
      <w:r>
        <w:fldChar w:fldCharType="begin"/>
      </w:r>
      <w:r>
        <w:instrText xml:space="preserve"> ADDIN ZOTERO_ITEM CSL_CITATION {"citationID":"31d56bc6","properties":{"formattedCitation":"[9]","plainCitation":"[9]","dontUpdate":false,"noteIndex":0},"citationItems":[{"id":9,"uris":["http://zotero.org/users/local/items/larvin2023periodontalcognition"],"itemData":{"id":9,"type":"article-journal","title":"The impact of study factors in the association of periodontal disease and cognitive disorders: systematic review and meta-analysis","author":[{"family":"Larvin","given":"Heather"},{"family":"Gao","given":"C."},{"family":"Kang","given":"J."},{"family":"Aggarwal","given":"V. R."},{"family":"Pavitt","given":"S."},{"family":"Wu","given":"J."}],"citation-key":"larvin2023periodontalcognition","issued":{"date-parts":[[2023]]},"container-title":"Age and Ageing","volume":"52","issue":"2","page":"afad015","DOI":"10.1093/ageing/afad015"}}],"schema":"https://github.com/citation-style-language/schema/raw/master/csl-citation.json"}</w:instrText>
      </w:r>
      <w:r>
        <w:fldChar w:fldCharType="separate"/>
      </w:r>
      <w:r>
        <w:t>[9]</w:t>
      </w:r>
      <w:r>
        <w:fldChar w:fldCharType="end"/>
      </w:r>
      <w:r>
        <w:t xml:space="preserve">. In an AD cohort, periodontitis tracked later decline </w:t>
      </w:r>
      <w:r>
        <w:fldChar w:fldCharType="begin"/>
      </w:r>
      <w:r>
        <w:instrText xml:space="preserve"> ADDIN ZOTERO_ITEM CSL_CITATION {"citationID":"5e87c57c","properties":{"formattedCitation":"[10]","plainCitation":"[10]","dontUpdate":false,"noteIndex":0},"citationItems":[{"id":10,"uris":["http://zotero.org/users/local/items/ide2016periodontitis"],"itemData":{"id":10,"type":"article-journal","title":"Periodontitis and cognitive decline in Alzheimer's disease","author":[{"family":"Ide","given":"Mark"},{"family":"Harris","given":"Marina"},{"family":"Stevens","given":"Annette"},{"family":"Sussams","given":"Rebecca"},{"family":"Hopkins","given":"Viv"},{"family":"Culliford","given":"David"},{"family":"Fuller","given":"James"},{"family":"Ibbett","given":"Paul"},{"family":"Raybould","given":"Rachel"},{"family":"Thomas","given":"Rhodri"},{"family":"Puenter","given":"Ursula"},{"family":"Teeling","given":"Jessica"},{"family":"Perry","given":"V. Hugh"},{"family":"Holmes","given":"Clive"}],"citation-key":"ide2016periodontitis","issued":{"date-parts":[[2016]]},"container-title":"PLOS ONE","volume":"11","issue":"3","page":"e0151081","DOI":"10.1371/journal.pone.0151081"}}],"schema":"https://github.com/citation-style-language/schema/raw/master/csl-citation.json"}</w:instrText>
      </w:r>
      <w:r>
        <w:fldChar w:fldCharType="separate"/>
      </w:r>
      <w:r>
        <w:t>[10]</w:t>
      </w:r>
      <w:r>
        <w:fldChar w:fldCharType="end"/>
      </w:r>
      <w:r>
        <w:t xml:space="preserve">. A two-sample Mendelian randomization analysis did not support a genetic causal effect of periodontal disease on AD </w:t>
      </w:r>
      <w:r>
        <w:fldChar w:fldCharType="begin"/>
      </w:r>
      <w:r>
        <w:instrText xml:space="preserve"> ADDIN ZOTERO_ITEM CSL_CITATION {"citationID":"1d1785e2","properties":{"formattedCitation":"[11]","plainCitation":"[11]","dontUpdate":false,"noteIndex":0},"citationItems":[{"id":11,"uris":["http://zotero.org/users/local/items/hu2024mendelian"],"itemData":{"id":11,"type":"article-journal","title":"Periodontal disease and risk of Alzheimer's disease: a two-sample Mendelian randomization","author":[{"family":"Hu","given":"C."},{"family":"Li","given":"H."},{"family":"Huang","given":"L."}],"citation-key":"hu2024mendelian","issued":{"date-parts":[[2024]]},"container-title":"Brain and Behavior","volume":"14","issue":"4","page":"e3486","DOI":"10.1002/brb3.3486"}}],"schema":"https://github.com/citation-style-language/schema/raw/master/csl-citation.json"}</w:instrText>
      </w:r>
      <w:r>
        <w:fldChar w:fldCharType="separate"/>
      </w:r>
      <w:r>
        <w:t>[11]</w:t>
      </w:r>
      <w:r>
        <w:fldChar w:fldCharType="end"/>
      </w:r>
      <w:r>
        <w:t>. Epidemiology therefore motivates a molecular search; it does not identify the ligand.</w:t>
      </w:r>
    </w:p>
    <w:p>
      <w:pPr>
        <w:pStyle w:val="7"/>
      </w:pPr>
      <w:r>
        <w:t xml:space="preserve">Gingipains and outer-membrane vesicles of Porphyromonas gingivalis supply one mapped virulence pair </w:t>
      </w:r>
      <w:r>
        <w:fldChar w:fldCharType="begin"/>
      </w:r>
      <w:r>
        <w:instrText xml:space="preserve"> ADDIN ZOTERO_ITEM CSL_CITATION {"citationID":"ae4f191b","properties":{"formattedCitation":"[12–13]","plainCitation":"[12–13]","dontUpdate":false,"noteIndex":0},"citationItems":[{"id":12,"uris":["http://zotero.org/users/local/items/guo2010gingipain"],"itemData":{"id":12,"type":"article-journal","title":"Dichotomy of gingipains action as virulence factors: from cleaving substrates with the precision of a surgeon's knife to a meat chopper-like brutal degradation of proteins","author":[{"family":"Guo","given":"Y."},{"family":"Nguyen","given":"K.-A."},{"family":"Potempa","given":"J."}],"citation-key":"guo2010gingipain","issued":{"date-parts":[[2010]]},"container-title":"Periodontology 2000","volume":"54","issue":"1","page":"15-44","DOI":"10.1111/j.1600-0757.2010.00377.x"}},{"id":13,"uris":["http://zotero.org/users/local/items/ho2015omv"],"itemData":{"id":13,"type":"article-journal","title":"Functional advantages of \\textitPorphyromonas gingivalis vesicles","author":[{"family":"Ho","given":"Meng-Hsuan"},{"family":"Chen","given":"Chia-Huey"},{"family":"Goodwin","given":"J. Shawn"},{"family":"Wang","given":"Bing-Yan"},{"family":"Xie","given":"Hua"}],"citation-key":"ho2015omv","issued":{"date-parts":[[2015]]},"container-title":"PLOS ONE","volume":"10","issue":"4","page":"e0123448","DOI":"10.1371/journal.pone.0123448"}}],"schema":"https://github.com/citation-style-language/schema/raw/master/csl-citation.json"}</w:instrText>
      </w:r>
      <w:r>
        <w:fldChar w:fldCharType="separate"/>
      </w:r>
      <w:r>
        <w:t>[12–13]</w:t>
      </w:r>
      <w:r>
        <w:fldChar w:fldCharType="end"/>
      </w:r>
      <w:r>
        <w:t xml:space="preserve">. The organism and gingipains have been reported in AD brains </w:t>
      </w:r>
      <w:r>
        <w:fldChar w:fldCharType="begin"/>
      </w:r>
      <w:r>
        <w:instrText xml:space="preserve"> ADDIN ZOTERO_ITEM CSL_CITATION {"citationID":"0dd6281a","properties":{"formattedCitation":"[14]","plainCitation":"[14]","dontUpdate":false,"noteIndex":0},"citationItems":[{"id":14,"uris":["http://zotero.org/users/local/items/dominy2019pgingivalis"],"itemData":{"id":14,"type":"article-journal","title":"Porphyromonas gingivalis in Alzheimer's disease brains: Evidence for disease causation and treatment with small-molecule inhibitors","author":[{"family":"Dominy","given":"Stephen S."},{"family":"Lynch","given":"Casey"},{"family":"Ermini","given":"Florian"},{"family":"Benedyk","given":"Marc"},{"family":"Marczyk","given":"Anna"},{"family":"Konradi","given":"Alvin"},{"family":"Nguyen","given":"Manh"},{"family":"Haditsch","given":"Ursula"},{"family":"Raha","given":"Deepak"},{"family":"Griffin","given":"Casey"},{"family":"Holsinger","given":"Leslie J."},{"family":"Arastu-Kapur","given":"Shirin"},{"family":"Kaba","given":"Sharief"},{"family":"Lee","given":"Amy"},{"family":"Ryder","given":"Mark I."},{"family":"Potempa","given":"Jan"},{"family":"Mydel","given":"Piotr"},{"family":"Hellvard","given":"Annelie"}],"citation-key":"dominy2019pgingivalis","issued":{"date-parts":[[2019]]},"container-title":"Science Advances","volume":"5","issue":"1","page":"eaau3333","DOI":"10.1126/sciadv.aau3333"}}],"schema":"https://github.com/citation-style-language/schema/raw/master/csl-citation.json"}</w:instrText>
      </w:r>
      <w:r>
        <w:fldChar w:fldCharType="separate"/>
      </w:r>
      <w:r>
        <w:t>[14]</w:t>
      </w:r>
      <w:r>
        <w:fldChar w:fldCharType="end"/>
      </w:r>
      <w:r>
        <w:t xml:space="preserve">, and repeated oral infection in mice produces neuroinflammation and Aβ-related changes </w:t>
      </w:r>
      <w:r>
        <w:fldChar w:fldCharType="begin"/>
      </w:r>
      <w:r>
        <w:instrText xml:space="preserve"> ADDIN ZOTERO_ITEM CSL_CITATION {"citationID":"9bf26aa6","properties":{"formattedCitation":"[15]","plainCitation":"[15]","dontUpdate":false,"noteIndex":0},"citationItems":[{"id":15,"uris":["http://zotero.org/users/local/items/ilievski2018oral"],"itemData":{"id":15,"type":"article-journal","title":"Chronic oral application of a periodontal pathogen results in brain inflammation, neurodegeneration and amyloid beta production in wild type mice","author":[{"family":"Ilievski","given":"Vladimir"},{"family":"Zuchowska","given":"Paulina K."},{"family":"Green","given":"Stefan J."},{"family":"Toth","given":"Peter T."},{"family":"Ragozzino","given":"Michael E."},{"family":"Le","given":"Khuong"},{"family":"Aljewari","given":"Haider W."},{"family":"O'Brien-Simpson","given":"Neil M."},{"family":"Reynolds","given":"Eric C."},{"family":"Watanabe","given":"Keiko"}],"citation-key":"ilievski2018oral","issued":{"date-parts":[[2018]]},"container-title":"PLOS ONE","volume":"13","issue":"10","page":"e0204941","DOI":"10.1371/journal.pone.0204941"}}],"schema":"https://github.com/citation-style-language/schema/raw/master/csl-citation.json"}</w:instrText>
      </w:r>
      <w:r>
        <w:fldChar w:fldCharType="separate"/>
      </w:r>
      <w:r>
        <w:t>[15]</w:t>
      </w:r>
      <w:r>
        <w:fldChar w:fldCharType="end"/>
      </w:r>
      <w:r>
        <w:t>. Those observations justify looking at oral products. They do not, by themselves, name a peptide that occupies AChE. Existing work has mainly tracked named pathogens, virulence factors and inflammatory responses. Whether short peptides encoded by the oral microbiome could themselves take part in AD-related protein interactions is still poorly defined. Short microbial peptides are a candidate class because they are compact and chemically diverse. Nominating such peptides and testing them against an AD-related target would move the periodontitis–AD association onto a more specific molecular footing.</w:t>
      </w:r>
    </w:p>
    <w:p>
      <w:pPr>
        <w:pStyle w:val="7"/>
      </w:pPr>
      <w:r>
        <w:t xml:space="preserve">Microbiome smORFs encode a large pool of uncharted small proteins </w:t>
      </w:r>
      <w:r>
        <w:fldChar w:fldCharType="begin"/>
      </w:r>
      <w:r>
        <w:instrText xml:space="preserve"> ADDIN ZOTERO_ITEM CSL_CITATION {"citationID":"8dba9413","properties":{"formattedCitation":"[16–17]","plainCitation":"[16–17]","dontUpdate":false,"noteIndex":0},"citationItems":[{"id":16,"uris":["http://zotero.org/users/local/items/sberro2019smallgenes"],"itemData":{"id":16,"type":"article-journal","title":"Large-Scale Analyses of Human Microbiomes Reveal Thousands of Small, Novel Genes","author":[{"family":"Sberro","given":"Hila"},{"family":"Fremin","given":"Brayon J."},{"family":"Zlitni","given":"Soumaya"},{"family":"Edfors","given":"Fredrik"},{"family":"Greenfield","given":"Nicholas"},{"family":"Snyder","given":"Michael P."},{"family":"Pavlopoulos","given":"Georgios A."},{"family":"Kyrpides","given":"Nikos C."},{"family":"Bhatt","given":"Ami S."}],"citation-key":"sberro2019smallgenes","issued":{"date-parts":[[2019]]},"container-title":"Cell","volume":"178","issue":"5","page":"1245-1259.e14","DOI":"10.1016/j.cell.2019.07.016"}},{"id":17,"uris":["http://zotero.org/users/local/items/durrant2021sorf"],"itemData":{"id":17,"type":"article-journal","title":"Automated prediction and annotation of small open reading frames in microbial genomes","author":[{"family":"Durrant","given":"Matthew G."},{"family":"Bhatt","given":"Ami S."}],"citation-key":"durrant2021sorf","issued":{"date-parts":[[2021]]},"container-title":"Cell Host \\&amp; Microbe","volume":"29","issue":"1","page":"121-131.e4","DOI":"10.1016/j.chom.2020.11.002"}}],"schema":"https://github.com/citation-style-language/schema/raw/master/csl-citation.json"}</w:instrText>
      </w:r>
      <w:r>
        <w:fldChar w:fldCharType="separate"/>
      </w:r>
      <w:r>
        <w:t>[16–17]</w:t>
      </w:r>
      <w:r>
        <w:fldChar w:fldCharType="end"/>
      </w:r>
      <w:r>
        <w:t xml:space="preserve">. Mining of human microbiomes for peptide antibiotics first scored millions of translated open reading frames and then applied experimental filters </w:t>
      </w:r>
      <w:r>
        <w:fldChar w:fldCharType="begin"/>
      </w:r>
      <w:r>
        <w:instrText xml:space="preserve"> ADDIN ZOTERO_ITEM CSL_CITATION {"citationID":"babe1112","properties":{"formattedCitation":"[18]","plainCitation":"[18]","dontUpdate":false,"noteIndex":0},"citationItems":[{"id":18,"uris":["http://zotero.org/users/local/items/torres2024peptideantibiotics"],"itemData":{"id":18,"type":"article-journal","title":"Mining human microbiomes reveals an untapped source of peptide antibiotics","author":[{"family":"Torres","given":"Marcelo D. T."},{"family":"Brooks","given":"Emily F."},{"family":"Cesaro","given":"Alessandro"}],"citation-key":"torres2024peptideantibiotics","issued":{"date-parts":[[2024]]},"container-title":"Cell","volume":"187","issue":"19","page":"5453-5467.e15","DOI":"10.1016/j.cell.2024.07.027"}}],"schema":"https://github.com/citation-style-language/schema/raw/master/csl-citation.json"}</w:instrText>
      </w:r>
      <w:r>
        <w:fldChar w:fldCharType="separate"/>
      </w:r>
      <w:r>
        <w:t>[18]</w:t>
      </w:r>
      <w:r>
        <w:fldChar w:fldCharType="end"/>
      </w:r>
      <w:r>
        <w:t xml:space="preserve">. UniDL4BioPep supplies more than twenty binary bioactivity heads on ESM-2 embeddings </w:t>
      </w:r>
      <w:r>
        <w:fldChar w:fldCharType="begin"/>
      </w:r>
      <w:r>
        <w:instrText xml:space="preserve"> ADDIN ZOTERO_ITEM CSL_CITATION {"citationID":"ca3f323e","properties":{"formattedCitation":"[19]","plainCitation":"[19]","dontUpdate":false,"noteIndex":0},"citationItems":[{"id":19,"uris":["http://zotero.org/users/local/items/du2023unidl4biopep"],"itemData":{"id":19,"type":"article-journal","title":"UniDL4BioPep: a universal deep learning architecture for binary classification in peptide bioactivity","author":[{"family":"Du","given":"Zhenjiao"},{"family":"Ding","given":"Xingjian"},{"family":"Xu","given":"Yixiang"},{"family":"Li","given":"Yonghui"}],"citation-key":"du2023unidl4biopep","issued":{"date-parts":[[2023]]},"container-title":"Briefings in Bioinformatics","volume":"24","issue":"3","page":"bbad135","DOI":"10.1093/bib/bbad135"}}],"schema":"https://github.com/citation-style-language/schema/raw/master/csl-citation.json"}</w:instrText>
      </w:r>
      <w:r>
        <w:fldChar w:fldCharType="separate"/>
      </w:r>
      <w:r>
        <w:t>[19]</w:t>
      </w:r>
      <w:r>
        <w:fldChar w:fldCharType="end"/>
      </w:r>
      <w:r>
        <w:t>. Sequence-based scores can only rank candidates; they cannot prove a protein-binding activity or locate a pose on a target surface. After a shortlist exists, docking and MD are needed to ask whether an interaction with AChE-PAS is geometrically plausible and what conformational features it would have. Combining sequence filters with that structural step narrows a large oral-encoded set to a smaller list that later assays can test.</w:t>
      </w:r>
    </w:p>
    <w:p>
      <w:pPr>
        <w:pStyle w:val="7"/>
      </w:pPr>
      <w:r>
        <w:t xml:space="preserve">Molecular docking and MD are the usual next step once a ligand list exists. Accelerated MD places Aβ on the AChE surface and treats the enzyme as a nucleation centre </w:t>
      </w:r>
      <w:r>
        <w:fldChar w:fldCharType="begin"/>
      </w:r>
      <w:r>
        <w:instrText xml:space="preserve"> ADDIN ZOTERO_ITEM CSL_CITATION {"citationID":"8c053990","properties":{"formattedCitation":"[20]","plainCitation":"[20]","dontUpdate":false,"noteIndex":0},"citationItems":[{"id":20,"uris":["http://zotero.org/users/local/items/lushchekina2017amd"],"itemData":{"id":20,"type":"article-journal","title":"Role of acetylcholinesterase in $\\beta$-amyloid aggregation studied by accelerated molecular dynamics","author":[{"family":"Lushchekina","given":"Sofya V."},{"family":"Kots","given":"Ekaterina D."},{"family":"Novichkova","given":"Dana A."},{"family":"Petrov","given":"Konstantin A."},{"family":"Masson","given":"Patrick"}],"citation-key":"lushchekina2017amd","issued":{"date-parts":[[2017]]},"container-title":"BioNanoScience","volume":"7","page":"396-402","DOI":"10.1007/s12668-016-0375-x"}}],"schema":"https://github.com/citation-style-language/schema/raw/master/csl-citation.json"}</w:instrText>
      </w:r>
      <w:r>
        <w:fldChar w:fldCharType="separate"/>
      </w:r>
      <w:r>
        <w:t>[20]</w:t>
      </w:r>
      <w:r>
        <w:fldChar w:fldCharType="end"/>
      </w:r>
      <w:r>
        <w:t xml:space="preserve">. A 1-μs PAS-centred AChE–Aβ trajectory remains bound, with the main residence at residues 344–361 </w:t>
      </w:r>
      <w:r>
        <w:fldChar w:fldCharType="begin"/>
      </w:r>
      <w:r>
        <w:instrText xml:space="preserve"> ADDIN ZOTERO_ITEM CSL_CITATION {"citationID":"b2da4752","properties":{"formattedCitation":"[21]","plainCitation":"[21]","dontUpdate":false,"noteIndex":0},"citationItems":[{"id":21,"uris":["http://zotero.org/users/local/items/atanasova2020md"],"itemData":{"id":21,"type":"article-journal","title":"Molecular dynamics simulations of acetylcholinesterase -- beta-amyloid peptide complex","author":[{"family":"Atanasova","given":"Mariana"},{"family":"Dimitrov","given":"Ivan"},{"family":"Ivanov","given":"Stefan"}],"citation-key":"atanasova2020md","issued":{"date-parts":[[2020]]},"container-title":"Cybernetics and Information Technologies","volume":"20","issue":"6","page":"140-154","DOI":"10.2478/cait-2020-0068"}}],"schema":"https://github.com/citation-style-language/schema/raw/master/csl-citation.json"}</w:instrText>
      </w:r>
      <w:r>
        <w:fldChar w:fldCharType="separate"/>
      </w:r>
      <w:r>
        <w:t>[21]</w:t>
      </w:r>
      <w:r>
        <w:fldChar w:fldCharType="end"/>
      </w:r>
      <w:r>
        <w:t xml:space="preserve">. PDB 4EY6 gives a 2.40 Å human AChE frame </w:t>
      </w:r>
      <w:r>
        <w:fldChar w:fldCharType="begin"/>
      </w:r>
      <w:r>
        <w:instrText xml:space="preserve"> ADDIN ZOTERO_ITEM CSL_CITATION {"citationID":"641944e3","properties":{"formattedCitation":"[22]","plainCitation":"[22]","dontUpdate":false,"noteIndex":0},"citationItems":[{"id":22,"uris":["http://zotero.org/users/local/items/cheung2012ache"],"itemData":{"id":22,"type":"article-journal","title":"Structures of human acetylcholinesterase in complex with pharmacologically important ligands","author":[{"family":"Cheung","given":"Jean"},{"family":"Rudolph","given":"Michael J."},{"family":"Burshteyn","given":"Fabian"},{"family":"Cassidy","given":"Matthew S."},{"family":"Gary","given":"Edwin N."},{"family":"Love","given":"James"},{"family":"Franklin","given":"Michael C."},{"family":"Height","given":"Jonathan J."}],"citation-key":"cheung2012ache","issued":{"date-parts":[[2012]]},"container-title":"Journal of Medicinal Chemistry","volume":"55","issue":"23","page":"10282-10286","DOI":"10.1021/jm300871x"}}],"schema":"https://github.com/citation-style-language/schema/raw/master/csl-citation.json"}</w:instrText>
      </w:r>
      <w:r>
        <w:fldChar w:fldCharType="separate"/>
      </w:r>
      <w:r>
        <w:t>[22]</w:t>
      </w:r>
      <w:r>
        <w:fldChar w:fldCharType="end"/>
      </w:r>
      <w:r>
        <w:t xml:space="preserve">. The aromatic gorge that joins the catalytic triad to the PAS was mapped on Torpedo AChE </w:t>
      </w:r>
      <w:r>
        <w:fldChar w:fldCharType="begin"/>
      </w:r>
      <w:r>
        <w:instrText xml:space="preserve"> ADDIN ZOTERO_ITEM CSL_CITATION {"citationID":"96c9c941","properties":{"formattedCitation":"[23]","plainCitation":"[23]","dontUpdate":false,"noteIndex":0},"citationItems":[{"id":23,"uris":["http://zotero.org/users/local/items/kryger1999e2020"],"itemData":{"id":23,"type":"article-journal","title":"Structure of acetylcholinesterase complexed with E2020 (Aricept): implications for the design of new anti-Alzheimer drugs","author":[{"family":"Kryger","given":"Gilad"},{"family":"Silman","given":"Israel"},{"family":"Sussman","given":"Joel L."}],"citation-key":"kryger1999e2020","issued":{"date-parts":[[1999]]},"container-title":"Structure","volume":"7","issue":"3","page":"297-307","DOI":"10.1016/s0969-2126(99)80040-9"}}],"schema":"https://github.com/citation-style-language/schema/raw/master/csl-citation.json"}</w:instrText>
      </w:r>
      <w:r>
        <w:fldChar w:fldCharType="separate"/>
      </w:r>
      <w:r>
        <w:t>[23]</w:t>
      </w:r>
      <w:r>
        <w:fldChar w:fldCharType="end"/>
      </w:r>
      <w:r>
        <w:t>. Docking can assess whether oral short peptides may interact with that same PAS; MD can assess conformational features of the complex. What remains missing is that peptide-level test, drawn from oral smORFs rather than from Aβ itself.</w:t>
      </w:r>
    </w:p>
    <w:p>
      <w:pPr>
        <w:pStyle w:val="7"/>
      </w:pPr>
      <w:r>
        <w:t>On that background, this study aimed to screen oral microbiome-encoded short peptides that may interact with the PAS of AChE, and to assess possible modes of interaction by computation. We hypothesise that some oral-encoded short peptides have sequence and physicochemical features compatible with AChE-PAS occupancy, and that those peptides therefore deserve to be examined for a possible role in AChE-related Aβ assembly. sORFs were predicted with EMBOSS getorf from PRJNA678453 MAGs and scored with 22 UniDL4BioPep heads; periodontitis-labelled candidates were matched to oral genomic and metaproteomic catalogues and reduced with NTxPred2, mebipred and AnOxPePred. Twelve short peptides were then modelled with AlphaFold3 and docked into human AChE. Apo AChE and three representative complexes—the two strongest PAS poses (FLLHTTR, YLSLLQR) and the strongest catalytic-site pose (ALLLHRC)—were simulated for 100 ns to inspect conformational change, intermolecular contacts and apparent stability on that window. The aim is to nominate peptide-level candidates and computational evidence for a possible oral–AD molecular link, not to prove pathogenicity, and to set up later peptide–AChE binding and Aβ-aggregation assays.</w:t>
      </w:r>
    </w:p>
    <w:p>
      <w:pPr>
        <w:pStyle w:val="3"/>
        <w:keepNext/>
      </w:pPr>
      <w:r>
        <w:t>Materials and methods</w:t>
      </w:r>
    </w:p>
    <w:p>
      <w:pPr>
        <w:pStyle w:val="4"/>
        <w:keepNext/>
      </w:pPr>
      <w:r>
        <w:t>Study design</w:t>
      </w:r>
    </w:p>
    <w:p>
      <w:pPr>
        <w:pStyle w:val="7"/>
      </w:pPr>
      <w:r>
        <w:t>The work is computational. No new patients, specimens, sequencing runs or wet assays were added. Healthy and periodontitis tags are library labels; they are not peptide-level clinical diagnoses. Ligand starting coordinates for docking were AlphaFold3-predicted structures of the twelve peptides. All twelve were docked with local three-run AutoDock Vina. MD used GROMACS 2025.1 on apo AChE and three complexes taken from the best-run poses, as described below.</w:t>
      </w:r>
    </w:p>
    <w:p>
      <w:pPr>
        <w:pStyle w:val="4"/>
        <w:keepNext/>
      </w:pPr>
      <w:r>
        <w:t>Source libraries and sORF prediction</w:t>
      </w:r>
    </w:p>
    <w:p>
      <w:pPr>
        <w:pStyle w:val="7"/>
      </w:pPr>
      <w:r>
        <w:t xml:space="preserve">The public source is PRJNA678453, paired oral metagenomes and metatranscriptomes from periodontitis and orally healthy donors </w:t>
      </w:r>
      <w:r>
        <w:fldChar w:fldCharType="begin"/>
      </w:r>
      <w:r>
        <w:instrText xml:space="preserve"> ADDIN ZOTERO_ITEM CSL_CITATION {"citationID":"a755c62d","properties":{"formattedCitation":"[8]","plainCitation":"[8]","dontUpdate":false,"noteIndex":0},"citationItems":[{"id":8,"uris":["http://zotero.org/users/local/items/belstrom2021periodontitis"],"itemData":{"id":8,"type":"article-journal","title":"Periodontitis associates with species-specific gene expression of the oral microbiota","author":[{"family":"Belstrøm","given":"Daniel"},{"family":"Constancias","given":"Florentin"},{"family":"Drautz-Moses","given":"Daniela I."},{"family":"Schuster","given":"Stephan C."},{"family":"Veleba","given":"Mark"},{"family":"Mahé","given":"Frédéric"},{"family":"Givskov","given":"Michael"}],"citation-key":"belstrom2021periodontitis","issued":{"date-parts":[[2021]]},"container-title":"npj Biofilms and Microbiomes","volume":"7","page":"76","DOI":"10.1038/s41522-021-00247-y"}}],"schema":"https://github.com/citation-style-language/schema/raw/master/csl-citation.json"}</w:instrText>
      </w:r>
      <w:r>
        <w:fldChar w:fldCharType="separate"/>
      </w:r>
      <w:r>
        <w:t>[8]</w:t>
      </w:r>
      <w:r>
        <w:fldChar w:fldCharType="end"/>
      </w:r>
      <w:r>
        <w:t>. A derived MGnify third-party assembly, PRJEB65451 (metaSPAdes v3.15.3), exists for the same BioProject and is not a second clinical cohort. Metagenome-assembled genomes (MAGs) were sorted into 24 healthy-labelled and 26 periodontitis-labelled sample folders; 296 MAG files were matched through GCA-to-SRR metadata. Open reading frames were predicted with EMBOSS getorf using bacterial codon table 11, from start codon to stop codon (</w:t>
      </w:r>
      <w:r>
        <w:rPr>
          <w:rFonts w:ascii="Consolas" w:hAnsi="Consolas" w:eastAsia="等线"/>
          <w:shd w:val="clear" w:color="auto" w:fill="F2F4F7"/>
        </w:rPr>
        <w:t>-find 0</w:t>
      </w:r>
      <w:r>
        <w:t xml:space="preserve">), with a length window of 15–150 bp </w:t>
      </w:r>
      <w:r>
        <w:fldChar w:fldCharType="begin"/>
      </w:r>
      <w:r>
        <w:instrText xml:space="preserve"> ADDIN ZOTERO_ITEM CSL_CITATION {"citationID":"fa7588f6","properties":{"formattedCitation":"[24]","plainCitation":"[24]","dontUpdate":false,"noteIndex":0},"citationItems":[{"id":24,"uris":["http://zotero.org/users/local/items/rice2000emboss"],"itemData":{"id":24,"type":"article-journal","title":"EMBOSS: the European Molecular Biology Open Software Suite","author":[{"family":"Rice","given":"Peter"},{"family":"Longden","given":"Ian"},{"family":"Bleasby","given":"Alan"}],"citation-key":"rice2000emboss","issued":{"date-parts":[[2000]]},"container-title":"Trends in Genetics","volume":"16","issue":"6","page":"276-277","DOI":"10.1016/S0168-9525(00)02024-2"}}],"schema":"https://github.com/citation-style-language/schema/raw/master/csl-citation.json"}</w:instrText>
      </w:r>
      <w:r>
        <w:fldChar w:fldCharType="separate"/>
      </w:r>
      <w:r>
        <w:t>[24]</w:t>
      </w:r>
      <w:r>
        <w:fldChar w:fldCharType="end"/>
      </w:r>
      <w:r>
        <w:t>. Identical amino-acid strings were collapsed. Qualitative presence or absence of each unique string across samples was recorded without remapping reads to the MAG set. The scored libraries contained 11,269,961 healthy-labelled and 11,721,988 periodontitis-labelled 5–50-aa peptides. No new patients were enrolled; the present work is the getorf call, the 22-task screen, catalogue matching, docking and MD.</w:t>
      </w:r>
    </w:p>
    <w:p>
      <w:pPr>
        <w:pStyle w:val="4"/>
        <w:keepNext/>
      </w:pPr>
      <w:r>
        <w:t>UniDL4BioPep (22 tasks)</w:t>
      </w:r>
    </w:p>
    <w:p>
      <w:pPr>
        <w:pStyle w:val="7"/>
      </w:pPr>
      <w:r>
        <w:t xml:space="preserve">UniDL4BioPep was applied first to both full libraries, following the predict-then-filter order used when mining microbiome peptide antibiotics </w:t>
      </w:r>
      <w:r>
        <w:fldChar w:fldCharType="begin"/>
      </w:r>
      <w:r>
        <w:instrText xml:space="preserve"> ADDIN ZOTERO_ITEM CSL_CITATION {"citationID":"6c1f1e38","properties":{"formattedCitation":"[18–19]","plainCitation":"[18–19]","dontUpdate":false,"noteIndex":0},"citationItems":[{"id":18,"uris":["http://zotero.org/users/local/items/torres2024peptideantibiotics"],"itemData":{"id":18,"type":"article-journal","title":"Mining human microbiomes reveals an untapped source of peptide antibiotics","author":[{"family":"Torres","given":"Marcelo D. T."},{"family":"Brooks","given":"Emily F."},{"family":"Cesaro","given":"Alessandro"}],"citation-key":"torres2024peptideantibiotics","issued":{"date-parts":[[2024]]},"container-title":"Cell","volume":"187","issue":"19","page":"5453-5467.e15","DOI":"10.1016/j.cell.2024.07.027"}},{"id":19,"uris":["http://zotero.org/users/local/items/du2023unidl4biopep"],"itemData":{"id":19,"type":"article-journal","title":"UniDL4BioPep: a universal deep learning architecture for binary classification in peptide bioactivity","author":[{"family":"Du","given":"Zhenjiao"},{"family":"Ding","given":"Xingjian"},{"family":"Xu","given":"Yixiang"},{"family":"Li","given":"Yonghui"}],"citation-key":"du2023unidl4biopep","issued":{"date-parts":[[2023]]},"container-title":"Briefings in Bioinformatics","volume":"24","issue":"3","page":"bbad135","DOI":"10.1093/bib/bbad135"}}],"schema":"https://github.com/citation-style-language/schema/raw/master/csl-citation.json"}</w:instrText>
      </w:r>
      <w:r>
        <w:fldChar w:fldCharType="separate"/>
      </w:r>
      <w:r>
        <w:t>[18–19]</w:t>
      </w:r>
      <w:r>
        <w:fldChar w:fldCharType="end"/>
      </w:r>
      <w:r>
        <w:t>. Du et al. freeze ESM-2 (</w:t>
      </w:r>
      <w:r>
        <w:rPr>
          <w:rFonts w:ascii="Consolas" w:hAnsi="Consolas" w:eastAsia="等线"/>
          <w:shd w:val="clear" w:color="auto" w:fill="F2F4F7"/>
        </w:rPr>
        <w:t>esm2_t6_8M_UR50D</w:t>
      </w:r>
      <w:r>
        <w:t xml:space="preserve">; 6 layers, 8 million parameters, 320-dimensional residue states) and average residue embeddings so that peptides of any length collapse to one fixed vector. A convolutional classifier is then trained, per bioactivity, on that vector; the same backbone is reused across datasets rather than designing a new network for each endpoint. In the original report the architecture beat the previous state of the art on 15 of 20 binary peptide tasks. We did not retrain the networks. We scored 22 published heads: ACE inhibitory, DPP-IV inhibitory, Bitter, Umami, Antimicrobial, Antimalarial (alternative), Antimalarial (main), Quorum sensing, Anticancer (main), Anticancer (alternative), Anti-MRSA, TTCA, BBB (BBP), Anti-parasitic (APP), NeuroPred, Antibacterial, Antifungal, Antiviral, Toxicity, Antioxidant FRS, Allergenicity, and cell-penetrating peptide (CPP). Every head used a score cut of ≥0.80. “BBB-high” is that operational cut on the BBP head, not measured transcytosis. Other BBB peptide tools (for example Augur) are trained on different positives and encodings, so their published AUCs do not transfer to these 4–50-aa oral strings </w:t>
      </w:r>
      <w:r>
        <w:fldChar w:fldCharType="begin"/>
      </w:r>
      <w:r>
        <w:instrText xml:space="preserve"> ADDIN ZOTERO_ITEM CSL_CITATION {"citationID":"37f0c0f1","properties":{"formattedCitation":"[25]","plainCitation":"[25]","dontUpdate":false,"noteIndex":0},"citationItems":[{"id":25,"uris":["http://zotero.org/users/local/items/gu2024bbb"],"itemData":{"id":25,"type":"article-journal","title":"Prediction of blood-brain barrier penetrating peptides based on data augmentation with Augur","author":[{"family":"Gu","given":"Z. F."},{"family":"Hao","given":"Y. D."},{"family":"Wang","given":"T. Y."}],"citation-key":"gu2024bbb","issued":{"date-parts":[[2024]]},"container-title":"BMC Biology","volume":"22","page":"86","DOI":"10.1186/s12915-024-01883-4"}}],"schema":"https://github.com/citation-style-language/schema/raw/master/csl-citation.json"}</w:instrText>
      </w:r>
      <w:r>
        <w:fldChar w:fldCharType="separate"/>
      </w:r>
      <w:r>
        <w:t>[25]</w:t>
      </w:r>
      <w:r>
        <w:fldChar w:fldCharType="end"/>
      </w:r>
      <w:r>
        <w:t>.</w:t>
      </w:r>
    </w:p>
    <w:p>
      <w:pPr>
        <w:pStyle w:val="4"/>
        <w:keepNext/>
      </w:pPr>
      <w:r>
        <w:t>Catalogue matching (periodontitis branch only)</w:t>
      </w:r>
    </w:p>
    <w:p>
      <w:pPr>
        <w:pStyle w:val="7"/>
      </w:pPr>
      <w:r>
        <w:t xml:space="preserve">After scoring, only periodontitis-labelled sequences were exact-matched to oral genomic and metaproteomic resources and collapsed to unique peptides. HOMD and eHOMD supply curated aerodigestive genomes </w:t>
      </w:r>
      <w:r>
        <w:fldChar w:fldCharType="begin"/>
      </w:r>
      <w:r>
        <w:instrText xml:space="preserve"> ADDIN ZOTERO_ITEM CSL_CITATION {"citationID":"4ea7cd00","properties":{"formattedCitation":"[26–27]","plainCitation":"[26–27]","dontUpdate":false,"noteIndex":0},"citationItems":[{"id":26,"uris":["http://zotero.org/users/local/items/chen2010homd"],"itemData":{"id":26,"type":"article-journal","title":"The Human Oral Microbiome Database: a web accessible resource for investigating oral microbe taxonomic and genomic information","author":[{"family":"Chen","given":"Tsute"},{"family":"Yu","given":"Wen-Han"},{"family":"Izard","given":"Jacques"},{"family":"Baranova","given":"Oxana V."},{"family":"Lakshmanan","given":"Abirami"},{"family":"Dewhirst","given":"Floyd E."}],"citation-key":"chen2010homd","issued":{"date-parts":[[2010]]},"container-title":"Database","volume":"2010","page":"baq013","DOI":"10.1093/database/baq013"}},{"id":27,"uris":["http://zotero.org/users/local/items/escapa2018ehomd"],"itemData":{"id":27,"type":"article-journal","title":"New Insights into Human Nostril Microbiome from the Expanded Human Oral Microbiome Database (eHOMD): a Resource for the Microbiome of the Human Aerodigestive Tract","author":[{"family":"Escapa","given":"Isabel F."},{"family":"Chen","given":"Tsute"},{"family":"Huang","given":"Yanmei"},{"family":"Gajare","given":"Prasad"},{"family":"Dewhirst","given":"Floyd E."},{"family":"Lemon","given":"Katherine P."}],"citation-key":"escapa2018ehomd","issued":{"date-parts":[[2018]]},"container-title":"mSystems","volume":"3","issue":"6","page":"e00187-18","DOI":"10.1128/mSystems.00187-18"}}],"schema":"https://github.com/citation-style-language/schema/raw/master/csl-citation.json"}</w:instrText>
      </w:r>
      <w:r>
        <w:fldChar w:fldCharType="separate"/>
      </w:r>
      <w:r>
        <w:t>[26–27]</w:t>
      </w:r>
      <w:r>
        <w:fldChar w:fldCharType="end"/>
      </w:r>
      <w:r>
        <w:t xml:space="preserve">. Salivary metaproteomes record peptides inside their own false-discovery framework </w:t>
      </w:r>
      <w:r>
        <w:fldChar w:fldCharType="begin"/>
      </w:r>
      <w:r>
        <w:instrText xml:space="preserve"> ADDIN ZOTERO_ITEM CSL_CITATION {"citationID":"56e9846d","properties":{"formattedCitation":"[28]","plainCitation":"[28]","dontUpdate":false,"noteIndex":0},"citationItems":[{"id":28,"uris":["http://zotero.org/users/local/items/belstrom2016metaproteomics"],"itemData":{"id":28,"type":"article-journal","title":"Metaproteomics of saliva identifies human protein markers specific for individuals with periodontitis and dental caries compared to orally healthy controls","author":[{"family":"Belstrøm","given":"Daniel"},{"family":"Jersie-Christensen","given":"Rosa R."},{"family":"Lyon","given":"David"},{"family":"Damgaard","given":"Christian"},{"family":"Jensen","given":"Lars J."},{"family":"Holmstrup","given":"Palle"},{"family":"Olsen","given":"Jesper V."}],"citation-key":"belstrom2016metaproteomics","issued":{"date-parts":[[2016]]},"container-title":"PeerJ","volume":"4","page":"e2433","DOI":"10.7717/peerj.2433"}}],"schema":"https://github.com/citation-style-language/schema/raw/master/csl-citation.json"}</w:instrText>
      </w:r>
      <w:r>
        <w:fldChar w:fldCharType="separate"/>
      </w:r>
      <w:r>
        <w:t>[28]</w:t>
      </w:r>
      <w:r>
        <w:fldChar w:fldCharType="end"/>
      </w:r>
      <w:r>
        <w:t xml:space="preserve">. Further oral metaproteomic sets add sequence observations from other clinical contexts </w:t>
      </w:r>
      <w:r>
        <w:fldChar w:fldCharType="begin"/>
      </w:r>
      <w:r>
        <w:instrText xml:space="preserve"> ADDIN ZOTERO_ITEM CSL_CITATION {"citationID":"ddff1a77","properties":{"formattedCitation":"[29–30]","plainCitation":"[29–30]","dontUpdate":false,"noteIndex":0},"citationItems":[{"id":29,"uris":["http://zotero.org/users/local/items/jiang2022oralmetaproteomics"],"itemData":{"id":29,"type":"article-journal","title":"In-Depth Metaproteomics Analysis of Oral Microbiome for Lung Cancer","author":[{"family":"Jiang","given":"Xiaoteng"},{"family":"Zhang","given":"Y."},{"family":"Wang","given":"H."},{"family":"Wang","given":"Z."},{"family":"Hu","given":"S."},{"family":"Cao","given":"C."},{"family":"Xiao","given":"H."}],"citation-key":"jiang2022oralmetaproteomics","issued":{"date-parts":[[2022]]},"container-title":"Research","volume":"2022","page":"9781578","DOI":"10.34133/2022/9781578"}},{"id":30,"uris":["http://zotero.org/users/local/items/yuan2025osample"],"itemData":{"id":30,"type":"article-journal","title":"OSaMPle workflow for salivary metaproteomics analysis reveals dysbiosis in inflammatory bowel disease patients","author":[{"family":"Yuan","given":"Jing"},{"family":"Sun","given":"Bowen"},{"family":"Li","given":"Ming"}],"citation-key":"yuan2025osample","issued":{"date-parts":[[2025]]},"container-title":"npj Biofilms and Microbiomes","volume":"11","page":"63","DOI":"10.1038/s41522-025-00692-z"}}],"schema":"https://github.com/citation-style-language/schema/raw/master/csl-citation.json"}</w:instrText>
      </w:r>
      <w:r>
        <w:fldChar w:fldCharType="separate"/>
      </w:r>
      <w:r>
        <w:t>[29–30]</w:t>
      </w:r>
      <w:r>
        <w:fldChar w:fldCharType="end"/>
      </w:r>
      <w:r>
        <w:t>. A match supports prior observation of the string; it does not prove expression in PRJNA678453 samples. The periodontitis library yielded 33,786 unique catalogue-supported peptides. Intersection with the 1,125,832 periodontitis BBB (BBP) hits recovered 3,518 sequences (3,446 of 5–30 aa; 72 of 31–50 aa). The healthy library was left at the 22-task score tables and was not dereplicated.</w:t>
      </w:r>
    </w:p>
    <w:p>
      <w:pPr>
        <w:pStyle w:val="4"/>
        <w:keepNext/>
      </w:pPr>
      <w:r>
        <w:t>NTxPred2</w:t>
      </w:r>
    </w:p>
    <w:p>
      <w:pPr>
        <w:pStyle w:val="7"/>
      </w:pPr>
      <w:r>
        <w:t xml:space="preserve">NTxPred2 trains separate peptide and protein models because a single neurotoxin classifier does not transfer between length classes </w:t>
      </w:r>
      <w:r>
        <w:fldChar w:fldCharType="begin"/>
      </w:r>
      <w:r>
        <w:instrText xml:space="preserve"> ADDIN ZOTERO_ITEM CSL_CITATION {"citationID":"7a51b889","properties":{"formattedCitation":"[31]","plainCitation":"[31]","dontUpdate":false,"noteIndex":0},"citationItems":[{"id":31,"uris":["http://zotero.org/users/local/items/rathore2025ntxpred2"],"itemData":{"id":31,"type":"article-journal","title":"A large language model for predicting neurotoxic peptides and neurotoxins","author":[{"family":"Rathore","given":"Anand Singh"},{"family":"Jain","given":"Saloni"},{"family":"Choudhury","given":"Shubham"},{"family":"Raghava","given":"Gajendra P. S."}],"citation-key":"rathore2025ntxpred2","issued":{"date-parts":[[2025]]},"container-title":"Protein Science","volume":"34","issue":"8","page":"e70200","DOI":"10.1002/pro.70200"}}],"schema":"https://github.com/citation-style-language/schema/raw/master/csl-citation.json"}</w:instrText>
      </w:r>
      <w:r>
        <w:fldChar w:fldCharType="separate"/>
      </w:r>
      <w:r>
        <w:t>[31]</w:t>
      </w:r>
      <w:r>
        <w:fldChar w:fldCharType="end"/>
      </w:r>
      <w:r>
        <w:t>. The peptide set has 877 neurotoxic and 877 non-toxic sequences; the protein set has 775 of each. Composition and binary-profile machine-learning models reach AUC 0.97 (peptides) and 0.85 (proteins). Fine-tuning ESM2-t30 on the peptide set raises independent-set AUC to 0.98 (MCC 0.90). The public server uses ESM2-t30 for 7–50-aa inputs (default probability 0.5) and an extra-trees model for sequences ≥51 aa. We used the peptide (ESM2-t30) mode on 7–50-aa members of the 3,518-set. A positive call is a classifier label, not a neuronal assay.</w:t>
      </w:r>
    </w:p>
    <w:p>
      <w:pPr>
        <w:pStyle w:val="4"/>
        <w:keepNext/>
      </w:pPr>
      <w:r>
        <w:t>mebipred</w:t>
      </w:r>
    </w:p>
    <w:p>
      <w:pPr>
        <w:pStyle w:val="7"/>
      </w:pPr>
      <w:r>
        <w:t xml:space="preserve">mebipred predicts metal-binding from sequence alone, without alignments, so it can be applied to short translated fragments </w:t>
      </w:r>
      <w:r>
        <w:fldChar w:fldCharType="begin"/>
      </w:r>
      <w:r>
        <w:instrText xml:space="preserve"> ADDIN ZOTERO_ITEM CSL_CITATION {"citationID":"f05d3da0","properties":{"formattedCitation":"[32]","plainCitation":"[32]","dontUpdate":false,"noteIndex":0},"citationItems":[{"id":32,"uris":["http://zotero.org/users/local/items/aptekmann2022mebipred"],"itemData":{"id":32,"type":"article-journal","title":"mebipred: identifying metal-binding potential in protein sequence","author":[{"family":"Aptekmann","given":"Ariel A."},{"family":"Buongiorno","given":"Joy"},{"family":"Giovannelli","given":"Donato"},{"family":"Glamoclija","given":"M. Jasmina"},{"family":"Ferreiro","given":"Diego U."},{"family":"Bromberg","given":"Yana"}],"citation-key":"aptekmann2022mebipred","issued":{"date-parts":[[2022]]},"container-title":"Bioinformatics","volume":"38","issue":"14","page":"3532-3540","DOI":"10.1093/bioinformatics/btac358"}}],"schema":"https://github.com/citation-style-language/schema/raw/master/csl-citation.json"}</w:instrText>
      </w:r>
      <w:r>
        <w:fldChar w:fldCharType="separate"/>
      </w:r>
      <w:r>
        <w:t>[32]</w:t>
      </w:r>
      <w:r>
        <w:fldChar w:fldCharType="end"/>
      </w:r>
      <w:r>
        <w:t>. Inputs are 219 sequence features: amino-acid composition, physicochemical descriptors, and counts of metal-binding 5-mers. A first feed-forward net (two hidden layers of 219 ReLU units, dropout 0.2, RMSprop) separates metal-binding from non-binding proteins; a second tier names 11 ions. The authors report &gt;80% accuracy for ligand presence and an area under the precision–recall curve of 0.91. Default ion probability is 0.5; raising it to 0.9 increases precision at some cost in recall. We kept Cu-, Fe- and Zn-related scores at 0.50. The output is not a measured Kd and does not assign a coordination geometry.</w:t>
      </w:r>
    </w:p>
    <w:p>
      <w:pPr>
        <w:pStyle w:val="4"/>
        <w:keepNext/>
      </w:pPr>
      <w:r>
        <w:t>AnOxPePred</w:t>
      </w:r>
    </w:p>
    <w:p>
      <w:pPr>
        <w:pStyle w:val="7"/>
      </w:pPr>
      <w:r>
        <w:t xml:space="preserve">AnOxPePred is a one-dimensional CNN with two heads, trained to score free-radical scavenging (FRS) and metal chelation (CHEL) from one-hot peptide sequences </w:t>
      </w:r>
      <w:r>
        <w:fldChar w:fldCharType="begin"/>
      </w:r>
      <w:r>
        <w:instrText xml:space="preserve"> ADDIN ZOTERO_ITEM CSL_CITATION {"citationID":"cc0a2b7f","properties":{"formattedCitation":"[33]","plainCitation":"[33]","dontUpdate":false,"noteIndex":0},"citationItems":[{"id":33,"uris":["http://zotero.org/users/local/items/olsen2020anoxpepred"],"itemData":{"id":33,"type":"article-journal","title":"AnOxPePred: using deep learning for the prediction of antioxidative properties of peptides","author":[{"family":"Olsen","given":"Tobias Hegelund"},{"family":"Yesiltas","given":"Betül"},{"family":"Marin","given":"Frederikke Isa"},{"family":"Pertseva","given":"Margarita"},{"family":"García-Moreno","given":"Pedro J."},{"family":"Gregersen","given":"Simon"},{"family":"Hansen","given":"Egon Bech"},{"family":"Jacobsen","given":"Charlotte"},{"family":"Lund","given":"Ole"},{"family":"Overgaard","given":"Michael Toft"},{"family":"Marcatili","given":"Paolo"}],"citation-key":"olsen2020anoxpepred","issued":{"date-parts":[[2020]]},"container-title":"Scientific Reports","volume":"10","page":"21471","DOI":"10.1038/s41598-020-78319-w"}}],"schema":"https://github.com/citation-style-language/schema/raw/master/csl-citation.json"}</w:instrText>
      </w:r>
      <w:r>
        <w:fldChar w:fldCharType="separate"/>
      </w:r>
      <w:r>
        <w:t>[33]</w:t>
      </w:r>
      <w:r>
        <w:fldChar w:fldCharType="end"/>
      </w:r>
      <w:r>
        <w:t>. Positives were taken from BIOPEP-UWM and from antioxidant-peptide papers; each sequence is labelled FRS, chelator, or both. Reported FRS performance exceeds a k-NN baseline; the chelator head is weaker because that training subset is small. Both heads emit a score in [0, 1]. Serial cuts here were CHEL≥0.25, then CHEL≥0.25 with FRS&lt;0.50, then CHEL≥0.25 with FRS&lt;0.45. Concordance among UniDL4BioPep, NTxPred2, mebipred and AnOxPePred is a filter stack, not independent experimental replication.</w:t>
      </w:r>
    </w:p>
    <w:p>
      <w:pPr>
        <w:pStyle w:val="4"/>
        <w:keepNext/>
      </w:pPr>
      <w:r>
        <w:t>Physicochemical descriptors</w:t>
      </w:r>
    </w:p>
    <w:p>
      <w:pPr>
        <w:pStyle w:val="7"/>
      </w:pPr>
      <w:r>
        <w:t>For the twelve unique 7–9-aa strings we recalculated length, histidine, cysteine and Arg+Lys counts, average molecular weight, isoelectric point, net charge at pH 7.4, Kyte–Doolittle GRAVY, Ikai aliphatic index, hydrophobic residue fraction (A, I, L, M, F, V, W, Y), and Boman index. Scales were applied to the amino-acid strings only; no experimental HPLC or CD was performed.</w:t>
      </w:r>
    </w:p>
    <w:p>
      <w:pPr>
        <w:pStyle w:val="4"/>
        <w:keepNext/>
      </w:pPr>
      <w:r>
        <w:t>Molecular docking</w:t>
      </w:r>
    </w:p>
    <w:p>
      <w:pPr>
        <w:pStyle w:val="7"/>
      </w:pPr>
      <w:r>
        <w:t xml:space="preserve">The twelve peptide ligands were modelled with AlphaFold3; those predicted structures were the starting coordinates for docking. Each model is a computed conformer for a short, flexible chain, not a crystal structure, and it was used only as the input geometry for docking. Human recombinant AChE (PDB 4EY6, 2.40 Å) was stripped of galantamine and crystal waters, chain breaks were repaired, and protonation was set at pH 7.4 </w:t>
      </w:r>
      <w:r>
        <w:fldChar w:fldCharType="begin"/>
      </w:r>
      <w:r>
        <w:instrText xml:space="preserve"> ADDIN ZOTERO_ITEM CSL_CITATION {"citationID":"d9f321a8","properties":{"formattedCitation":"[22]","plainCitation":"[22]","dontUpdate":false,"noteIndex":0},"citationItems":[{"id":22,"uris":["http://zotero.org/users/local/items/cheung2012ache"],"itemData":{"id":22,"type":"article-journal","title":"Structures of human acetylcholinesterase in complex with pharmacologically important ligands","author":[{"family":"Cheung","given":"Jean"},{"family":"Rudolph","given":"Michael J."},{"family":"Burshteyn","given":"Fabian"},{"family":"Cassidy","given":"Matthew S."},{"family":"Gary","given":"Edwin N."},{"family":"Love","given":"James"},{"family":"Franklin","given":"Michael C."},{"family":"Height","given":"Jonathan J."}],"citation-key":"cheung2012ache","issued":{"date-parts":[[2012]]},"container-title":"Journal of Medicinal Chemistry","volume":"55","issue":"23","page":"10282-10286","DOI":"10.1021/jm300871x"}}],"schema":"https://github.com/citation-style-language/schema/raw/master/csl-citation.json"}</w:instrText>
      </w:r>
      <w:r>
        <w:fldChar w:fldCharType="separate"/>
      </w:r>
      <w:r>
        <w:t>[22]</w:t>
      </w:r>
      <w:r>
        <w:fldChar w:fldCharType="end"/>
      </w:r>
      <w:r>
        <w:t xml:space="preserve">. The twelve ligands ALLLHRC, FCLHLQLR, FLLHTTR, HLLTLKKHV, HLPLLHRCC, HVLLLRQCA, LLHLPKRTT, LLHPLRC, LLHPLRL, WLLVHLKK, YHHLLCRR and YLSLLQR were docked with AutoDock Vina, exhaustiveness 32 </w:t>
      </w:r>
      <w:r>
        <w:fldChar w:fldCharType="begin"/>
      </w:r>
      <w:r>
        <w:instrText xml:space="preserve"> ADDIN ZOTERO_ITEM CSL_CITATION {"citationID":"de42dba6","properties":{"formattedCitation":"[34–35]","plainCitation":"[34–35]","dontUpdate":false,"noteIndex":0},"citationItems":[{"id":34,"uris":["http://zotero.org/users/local/items/trott2010vina"],"itemData":{"id":34,"type":"article-journal","title":"AutoDock Vina: improving the speed and accuracy of docking with a new scoring function, efficient optimization, and multithreading","author":[{"family":"Trott","given":"Oleg"},{"family":"Olson","given":"Arthur J."}],"citation-key":"trott2010vina","issued":{"date-parts":[[2010]]},"container-title":"Journal of Computational Chemistry","volume":"31","issue":"2","page":"455-461","DOI":"10.1002/jcc.21334"}},{"id":35,"uris":["http://zotero.org/users/local/items/eberhardt2021vina"],"itemData":{"id":35,"type":"article-journal","title":"AutoDock Vina 1.2.0: new docking methods, expanded force field, and Python bindings","author":[{"family":"Eberhardt","given":"Jocelyn"},{"family":"Santos-Martins","given":"Diogo"},{"family":"Tillack","given":"Andreas F."},{"family":"Forli","given":"Stefano"}],"citation-key":"eberhardt2021vina","issued":{"date-parts":[[2021]]},"container-title":"Journal of Chemical Information and Modeling","volume":"61","issue":"8","page":"3891-3898","DOI":"10.1021/acs.jcim.1c00203"}}],"schema":"https://github.com/citation-style-language/schema/raw/master/csl-citation.json"}</w:instrText>
      </w:r>
      <w:r>
        <w:fldChar w:fldCharType="separate"/>
      </w:r>
      <w:r>
        <w:t>[34–35]</w:t>
      </w:r>
      <w:r>
        <w:fldChar w:fldCharType="end"/>
      </w:r>
      <w:r>
        <w:t>. The grid was centred on the PAS (Tyr72, Asp74, Thr75, Leu76, Trp286, His287, Tyr341) and covered the gorge neck (Phe295), the choline subsite (Trp86, Glu202, Tyr337) and the catalytic triad (Ser203, His447, Glu334). Each ligand was run three times. We report best-run affinity, three-run mean ± SD, hydrogen-bond count and PAS contact from the single best pose. Vina scores rank poses; they are not experimental free energies.</w:t>
      </w:r>
    </w:p>
    <w:p>
      <w:pPr>
        <w:pStyle w:val="4"/>
        <w:keepNext/>
      </w:pPr>
      <w:r>
        <w:t>Molecular dynamics</w:t>
      </w:r>
    </w:p>
    <w:p>
      <w:pPr>
        <w:pStyle w:val="7"/>
      </w:pPr>
      <w:r>
        <w:t xml:space="preserve">Ligand starting coordinates were the AlphaFold3-predicted peptide structures carried forward from docking. Four explicit-solvent systems were built in GROMACS 2025.1 with Amber99SB-ILDN and TIP3P water at 0.15 M NaCl </w:t>
      </w:r>
      <w:r>
        <w:fldChar w:fldCharType="begin"/>
      </w:r>
      <w:r>
        <w:instrText xml:space="preserve"> ADDIN ZOTERO_ITEM CSL_CITATION {"citationID":"ced09645","properties":{"formattedCitation":"[36–37]","plainCitation":"[36–37]","dontUpdate":false,"noteIndex":0},"citationItems":[{"id":36,"uris":["http://zotero.org/users/local/items/abraham2015gromacs"],"itemData":{"id":36,"type":"article-journal","title":"GROMACS: high performance molecular simulations through multi-level parallelism from laptops to supercomputers","author":[{"family":"Abraham","given":"Mark James"},{"family":"Murtola","given":"Teemu"},{"family":"Schulz","given":"Roland"},{"family":"Páll","given":"Szilárd"},{"family":"Smith","given":"Jeremy C."},{"family":"Hess","given":"Berk"},{"family":"Lindahl","given":"Erik"}],"citation-key":"abraham2015gromacs","issued":{"date-parts":[[2015]]},"container-title":"SoftwareX","volume":"1--2","page":"19-25","DOI":"10.1016/j.softx.2015.06.001"}},{"id":37,"uris":["http://zotero.org/users/local/items/lindorfflarsen2010amber"],"itemData":{"id":37,"type":"article-journal","title":"Improved side-chain torsion potentials for the Amber ff99SB protein force field","author":[{"family":"Lindorff-Larsen","given":"Kresten"},{"family":"Piana","given":"Stefano"},{"family":"Palmo","given":"Kim"},{"family":"Maragakis","given":"Paul"},{"family":"Klepeis","given":"John L."},{"family":"Dror","given":"Ron O."},{"family":"Shaw","given":"David E."}],"citation-key":"lindorfflarsen2010amber","issued":{"date-parts":[[2010]]},"container-title":"Proteins","volume":"78","issue":"8","page":"1950-1958","DOI":"10.1002/prot.22711"}}],"schema":"https://github.com/citation-style-language/schema/raw/master/csl-citation.json"}</w:instrText>
      </w:r>
      <w:r>
        <w:fldChar w:fldCharType="separate"/>
      </w:r>
      <w:r>
        <w:t>[36–37]</w:t>
      </w:r>
      <w:r>
        <w:fldChar w:fldCharType="end"/>
      </w:r>
      <w:r>
        <w:t>: apo AChE (chain A) and the ALLLHRC, FLLHTTR and YLSLLQR complexes. These three ligands were taken from the twelve docked peptides as the best-run Vina poses: FLLHTTR and YLSLLQR as PAS contacts, ALLLHRC as a high-scoring catalytic-site occupant without outer PAS aromatics, so that PAS geometry could be compared with a strong non-PAS score. Each box was triclinic with a 1.0 nm solute-to-wall buffer. Equilibration was 2,000 steps of steepest descent, 1.0 ns restrained NVT to 300 K, 1.0 ns restrained NPT, and 1.0 ns free NPT. Production was 100 ns (dt = 2.0 fs) at 300 K and 1.0 bar with LINCS, 1.2 nm cut-offs and particle-mesh Ewald. Frames were stored every 20 ps.</w:t>
      </w:r>
    </w:p>
    <w:p>
      <w:pPr>
        <w:pStyle w:val="7"/>
      </w:pPr>
      <w:r>
        <w:t>Metrics matched Figures 5–7: Cα RMSD, per-residue RMSF, SASA, Rg, DSSP occupancy, and intermolecular hydrogen bonds (</w:t>
      </w:r>
      <w:r>
        <w:rPr>
          <w:rFonts w:ascii="Consolas" w:hAnsi="Consolas" w:eastAsia="等线"/>
          <w:shd w:val="clear" w:color="auto" w:fill="F2F4F7"/>
        </w:rPr>
        <w:t>gmx hbond</w:t>
      </w:r>
      <w:r>
        <w:t xml:space="preserve">; donor–acceptor ≤ 3.0 Å). Peptide self-fit RMSD and persistent contacts (7.0 Å) were stored as extras. Means ± SD use the last 20 ns (80–100 ns). The design follows the AChE–Aβ MD logic of Atanasova et al., at 100 ns rather than 1 μs </w:t>
      </w:r>
      <w:r>
        <w:fldChar w:fldCharType="begin"/>
      </w:r>
      <w:r>
        <w:instrText xml:space="preserve"> ADDIN ZOTERO_ITEM CSL_CITATION {"citationID":"ab5a269d","properties":{"formattedCitation":"[21]","plainCitation":"[21]","dontUpdate":false,"noteIndex":0},"citationItems":[{"id":21,"uris":["http://zotero.org/users/local/items/atanasova2020md"],"itemData":{"id":21,"type":"article-journal","title":"Molecular dynamics simulations of acetylcholinesterase -- beta-amyloid peptide complex","author":[{"family":"Atanasova","given":"Mariana"},{"family":"Dimitrov","given":"Ivan"},{"family":"Ivanov","given":"Stefan"}],"citation-key":"atanasova2020md","issued":{"date-parts":[[2020]]},"container-title":"Cybernetics and Information Technologies","volume":"20","issue":"6","page":"140-154","DOI":"10.2478/cait-2020-0068"}}],"schema":"https://github.com/citation-style-language/schema/raw/master/csl-citation.json"}</w:instrText>
      </w:r>
      <w:r>
        <w:fldChar w:fldCharType="separate"/>
      </w:r>
      <w:r>
        <w:t>[21]</w:t>
      </w:r>
      <w:r>
        <w:fldChar w:fldCharType="end"/>
      </w:r>
      <w:r>
        <w:t>.</w:t>
      </w:r>
    </w:p>
    <w:p>
      <w:pPr>
        <w:pStyle w:val="3"/>
        <w:keepNext/>
      </w:pPr>
      <w:r>
        <w:t>Results</w:t>
      </w:r>
    </w:p>
    <w:p>
      <w:pPr>
        <w:pStyle w:val="4"/>
        <w:keepNext/>
      </w:pPr>
      <w:r>
        <w:t>Twenty-two UniDL4BioPep tasks on both libraries</w:t>
      </w:r>
    </w:p>
    <w:p>
      <w:pPr>
        <w:pStyle w:val="7"/>
      </w:pPr>
      <w:r>
        <w:t>Figure 1 summarises the cascade. Both libraries were scored at ≥0.80 on all 22 heads (Tables 1 and 2). Hit rates sit close to each other. Antimicrobial called 10,302,093/11,721,988 periodontitis sequences (87.89%) and 9,882,657/11,269,961 healthy sequences (87.69%). BBB (BBP) called 1,125,832 (9.60%) versus 1,095,861 (9.72%). Anti-parasitic (APP) and quorum sensing were the next largest heads; DPP-IV inhibitory was the smallest in both libraries. Labels overlap, so one peptide can sit in several rows. Because the two BBB rates differ by only 0.12 percentage points, BBB-high is not a periodontitis-specific stamp. The two libraries are close on most of the 22 heads (Table 3). Periodontitis exceeds healthy by ≥1 percentage point only for quorum sensing (+1.39). Healthy exceeds periodontitis by ≥1 point for antifungal (−2.50), anti-parasitic (−2.36), antioxidant FRS (−1.95), antiviral (−1.89), antibacterial (−1.42), CPP (−1.24), anticancer-main (−1.22) and umami (−1.00). Antimicrobial is essentially tied (87.89% vs 87.69%). These are library-wide score rates, not sequence-level differential peptides: we do not have a row-wise overlap map, so we cannot say that the twelve docking sequences are absent from the healthy library. Downstream docking used the periodontitis, catalogue-matched branch only.</w:t>
      </w:r>
    </w:p>
    <w:p>
      <w:pPr>
        <w:pStyle w:val="6"/>
      </w:pPr>
      <w:r>
        <w:rPr>
          <w:b/>
        </w:rPr>
        <w:t>Table 1. UniDL4BioPep counts for the periodontitis-labelled library (11,721,988 smORFs; ≥0.80).</w:t>
      </w:r>
    </w:p>
    <w:tbl>
      <w:tblPr>
        <w:tblStyle w:val="16"/>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70" w:type="dxa"/>
          <w:left w:w="80" w:type="dxa"/>
          <w:bottom w:w="70" w:type="dxa"/>
          <w:right w:w="80" w:type="dxa"/>
        </w:tblCellMar>
      </w:tblPr>
      <w:tblGrid>
        <w:gridCol w:w="2297"/>
        <w:gridCol w:w="2297"/>
        <w:gridCol w:w="2297"/>
        <w:gridCol w:w="2297"/>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rPr>
          <w:tblHeader/>
        </w:trPr>
        <w:tc>
          <w:tcPr>
            <w:tcW w:w="2340" w:type="dxa"/>
            <w:tcBorders>
              <w:bottom w:val="single" w:color="000000" w:sz="8" w:space="0"/>
            </w:tcBorders>
            <w:vAlign w:val="center"/>
          </w:tcPr>
          <w:p>
            <w:pPr>
              <w:pStyle w:val="15"/>
              <w:spacing w:before="0" w:after="0" w:line="240" w:lineRule="auto"/>
            </w:pPr>
            <w:r>
              <w:rPr>
                <w:sz w:val="20"/>
                <w:szCs w:val="20"/>
              </w:rPr>
              <w:t>No.</w:t>
            </w:r>
          </w:p>
        </w:tc>
        <w:tc>
          <w:tcPr>
            <w:tcW w:w="2340" w:type="dxa"/>
            <w:tcBorders>
              <w:bottom w:val="single" w:color="000000" w:sz="8" w:space="0"/>
            </w:tcBorders>
            <w:vAlign w:val="center"/>
          </w:tcPr>
          <w:p>
            <w:pPr>
              <w:pStyle w:val="15"/>
              <w:spacing w:before="0" w:after="0" w:line="240" w:lineRule="auto"/>
            </w:pPr>
            <w:r>
              <w:rPr>
                <w:sz w:val="20"/>
                <w:szCs w:val="20"/>
              </w:rPr>
              <w:t>Task</w:t>
            </w:r>
          </w:p>
        </w:tc>
        <w:tc>
          <w:tcPr>
            <w:tcW w:w="2340" w:type="dxa"/>
            <w:tcBorders>
              <w:bottom w:val="single" w:color="000000" w:sz="8" w:space="0"/>
            </w:tcBorders>
            <w:vAlign w:val="center"/>
          </w:tcPr>
          <w:p>
            <w:pPr>
              <w:pStyle w:val="15"/>
              <w:spacing w:before="0" w:after="0" w:line="240" w:lineRule="auto"/>
            </w:pPr>
            <w:r>
              <w:rPr>
                <w:sz w:val="20"/>
                <w:szCs w:val="20"/>
              </w:rPr>
              <w:t>n</w:t>
            </w:r>
          </w:p>
        </w:tc>
        <w:tc>
          <w:tcPr>
            <w:tcW w:w="2340" w:type="dxa"/>
            <w:tcBorders>
              <w:bottom w:val="single" w:color="000000" w:sz="8" w:space="0"/>
            </w:tcBorders>
            <w:vAlign w:val="center"/>
          </w:tcPr>
          <w:p>
            <w:pPr>
              <w:pStyle w:val="15"/>
              <w:spacing w:before="0" w:after="0" w:line="240" w:lineRule="auto"/>
            </w:pPr>
            <w:r>
              <w:rPr>
                <w:sz w:val="20"/>
                <w:szCs w:val="20"/>
              </w:rPr>
              <w:t>%</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1</w:t>
            </w:r>
          </w:p>
        </w:tc>
        <w:tc>
          <w:tcPr>
            <w:tcW w:w="2340" w:type="dxa"/>
            <w:vAlign w:val="center"/>
          </w:tcPr>
          <w:p>
            <w:pPr>
              <w:pStyle w:val="15"/>
              <w:spacing w:before="0" w:after="0" w:line="240" w:lineRule="auto"/>
            </w:pPr>
            <w:r>
              <w:rPr>
                <w:sz w:val="20"/>
                <w:szCs w:val="20"/>
              </w:rPr>
              <w:t>ACE inhibitory</w:t>
            </w:r>
          </w:p>
        </w:tc>
        <w:tc>
          <w:tcPr>
            <w:tcW w:w="2340" w:type="dxa"/>
            <w:vAlign w:val="center"/>
          </w:tcPr>
          <w:p>
            <w:pPr>
              <w:pStyle w:val="15"/>
              <w:spacing w:before="0" w:after="0" w:line="240" w:lineRule="auto"/>
            </w:pPr>
            <w:r>
              <w:rPr>
                <w:sz w:val="20"/>
                <w:szCs w:val="20"/>
              </w:rPr>
              <w:t>1,236,442</w:t>
            </w:r>
          </w:p>
        </w:tc>
        <w:tc>
          <w:tcPr>
            <w:tcW w:w="2340" w:type="dxa"/>
            <w:vAlign w:val="center"/>
          </w:tcPr>
          <w:p>
            <w:pPr>
              <w:pStyle w:val="15"/>
              <w:spacing w:before="0" w:after="0" w:line="240" w:lineRule="auto"/>
            </w:pPr>
            <w:r>
              <w:rPr>
                <w:sz w:val="20"/>
                <w:szCs w:val="20"/>
              </w:rPr>
              <w:t>10.55</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2</w:t>
            </w:r>
          </w:p>
        </w:tc>
        <w:tc>
          <w:tcPr>
            <w:tcW w:w="2340" w:type="dxa"/>
            <w:vAlign w:val="center"/>
          </w:tcPr>
          <w:p>
            <w:pPr>
              <w:pStyle w:val="15"/>
              <w:spacing w:before="0" w:after="0" w:line="240" w:lineRule="auto"/>
            </w:pPr>
            <w:r>
              <w:rPr>
                <w:sz w:val="20"/>
                <w:szCs w:val="20"/>
              </w:rPr>
              <w:t>DPP-IV inhibitory</w:t>
            </w:r>
          </w:p>
        </w:tc>
        <w:tc>
          <w:tcPr>
            <w:tcW w:w="2340" w:type="dxa"/>
            <w:vAlign w:val="center"/>
          </w:tcPr>
          <w:p>
            <w:pPr>
              <w:pStyle w:val="15"/>
              <w:spacing w:before="0" w:after="0" w:line="240" w:lineRule="auto"/>
            </w:pPr>
            <w:r>
              <w:rPr>
                <w:sz w:val="20"/>
                <w:szCs w:val="20"/>
              </w:rPr>
              <w:t>139,056</w:t>
            </w:r>
          </w:p>
        </w:tc>
        <w:tc>
          <w:tcPr>
            <w:tcW w:w="2340" w:type="dxa"/>
            <w:vAlign w:val="center"/>
          </w:tcPr>
          <w:p>
            <w:pPr>
              <w:pStyle w:val="15"/>
              <w:spacing w:before="0" w:after="0" w:line="240" w:lineRule="auto"/>
            </w:pPr>
            <w:r>
              <w:rPr>
                <w:sz w:val="20"/>
                <w:szCs w:val="20"/>
              </w:rPr>
              <w:t>1.19</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3</w:t>
            </w:r>
          </w:p>
        </w:tc>
        <w:tc>
          <w:tcPr>
            <w:tcW w:w="2340" w:type="dxa"/>
            <w:vAlign w:val="center"/>
          </w:tcPr>
          <w:p>
            <w:pPr>
              <w:pStyle w:val="15"/>
              <w:spacing w:before="0" w:after="0" w:line="240" w:lineRule="auto"/>
            </w:pPr>
            <w:r>
              <w:rPr>
                <w:sz w:val="20"/>
                <w:szCs w:val="20"/>
              </w:rPr>
              <w:t>Bitter</w:t>
            </w:r>
          </w:p>
        </w:tc>
        <w:tc>
          <w:tcPr>
            <w:tcW w:w="2340" w:type="dxa"/>
            <w:vAlign w:val="center"/>
          </w:tcPr>
          <w:p>
            <w:pPr>
              <w:pStyle w:val="15"/>
              <w:spacing w:before="0" w:after="0" w:line="240" w:lineRule="auto"/>
            </w:pPr>
            <w:r>
              <w:rPr>
                <w:sz w:val="20"/>
                <w:szCs w:val="20"/>
              </w:rPr>
              <w:t>1,831,185</w:t>
            </w:r>
          </w:p>
        </w:tc>
        <w:tc>
          <w:tcPr>
            <w:tcW w:w="2340" w:type="dxa"/>
            <w:vAlign w:val="center"/>
          </w:tcPr>
          <w:p>
            <w:pPr>
              <w:pStyle w:val="15"/>
              <w:spacing w:before="0" w:after="0" w:line="240" w:lineRule="auto"/>
            </w:pPr>
            <w:r>
              <w:rPr>
                <w:sz w:val="20"/>
                <w:szCs w:val="20"/>
              </w:rPr>
              <w:t>15.62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4</w:t>
            </w:r>
          </w:p>
        </w:tc>
        <w:tc>
          <w:tcPr>
            <w:tcW w:w="2340" w:type="dxa"/>
            <w:vAlign w:val="center"/>
          </w:tcPr>
          <w:p>
            <w:pPr>
              <w:pStyle w:val="15"/>
              <w:spacing w:before="0" w:after="0" w:line="240" w:lineRule="auto"/>
            </w:pPr>
            <w:r>
              <w:rPr>
                <w:sz w:val="20"/>
                <w:szCs w:val="20"/>
              </w:rPr>
              <w:t>Umami</w:t>
            </w:r>
          </w:p>
        </w:tc>
        <w:tc>
          <w:tcPr>
            <w:tcW w:w="2340" w:type="dxa"/>
            <w:vAlign w:val="center"/>
          </w:tcPr>
          <w:p>
            <w:pPr>
              <w:pStyle w:val="15"/>
              <w:spacing w:before="0" w:after="0" w:line="240" w:lineRule="auto"/>
            </w:pPr>
            <w:r>
              <w:rPr>
                <w:sz w:val="20"/>
                <w:szCs w:val="20"/>
              </w:rPr>
              <w:t>3,100,811</w:t>
            </w:r>
          </w:p>
        </w:tc>
        <w:tc>
          <w:tcPr>
            <w:tcW w:w="2340" w:type="dxa"/>
            <w:vAlign w:val="center"/>
          </w:tcPr>
          <w:p>
            <w:pPr>
              <w:pStyle w:val="15"/>
              <w:spacing w:before="0" w:after="0" w:line="240" w:lineRule="auto"/>
            </w:pPr>
            <w:r>
              <w:rPr>
                <w:sz w:val="20"/>
                <w:szCs w:val="20"/>
              </w:rPr>
              <w:t>26.45</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5</w:t>
            </w:r>
          </w:p>
        </w:tc>
        <w:tc>
          <w:tcPr>
            <w:tcW w:w="2340" w:type="dxa"/>
            <w:vAlign w:val="center"/>
          </w:tcPr>
          <w:p>
            <w:pPr>
              <w:pStyle w:val="15"/>
              <w:spacing w:before="0" w:after="0" w:line="240" w:lineRule="auto"/>
            </w:pPr>
            <w:r>
              <w:rPr>
                <w:sz w:val="20"/>
                <w:szCs w:val="20"/>
              </w:rPr>
              <w:t>Antimicrobial</w:t>
            </w:r>
          </w:p>
        </w:tc>
        <w:tc>
          <w:tcPr>
            <w:tcW w:w="2340" w:type="dxa"/>
            <w:vAlign w:val="center"/>
          </w:tcPr>
          <w:p>
            <w:pPr>
              <w:pStyle w:val="15"/>
              <w:spacing w:before="0" w:after="0" w:line="240" w:lineRule="auto"/>
            </w:pPr>
            <w:r>
              <w:rPr>
                <w:sz w:val="20"/>
                <w:szCs w:val="20"/>
              </w:rPr>
              <w:t>10,302,093</w:t>
            </w:r>
          </w:p>
        </w:tc>
        <w:tc>
          <w:tcPr>
            <w:tcW w:w="2340" w:type="dxa"/>
            <w:vAlign w:val="center"/>
          </w:tcPr>
          <w:p>
            <w:pPr>
              <w:pStyle w:val="15"/>
              <w:spacing w:before="0" w:after="0" w:line="240" w:lineRule="auto"/>
            </w:pPr>
            <w:r>
              <w:rPr>
                <w:sz w:val="20"/>
                <w:szCs w:val="20"/>
              </w:rPr>
              <w:t>87.89</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6</w:t>
            </w:r>
          </w:p>
        </w:tc>
        <w:tc>
          <w:tcPr>
            <w:tcW w:w="2340" w:type="dxa"/>
            <w:vAlign w:val="center"/>
          </w:tcPr>
          <w:p>
            <w:pPr>
              <w:pStyle w:val="15"/>
              <w:spacing w:before="0" w:after="0" w:line="240" w:lineRule="auto"/>
            </w:pPr>
            <w:r>
              <w:rPr>
                <w:sz w:val="20"/>
                <w:szCs w:val="20"/>
              </w:rPr>
              <w:t>Antimalarial (alternative)</w:t>
            </w:r>
          </w:p>
        </w:tc>
        <w:tc>
          <w:tcPr>
            <w:tcW w:w="2340" w:type="dxa"/>
            <w:vAlign w:val="center"/>
          </w:tcPr>
          <w:p>
            <w:pPr>
              <w:pStyle w:val="15"/>
              <w:spacing w:before="0" w:after="0" w:line="240" w:lineRule="auto"/>
            </w:pPr>
            <w:r>
              <w:rPr>
                <w:sz w:val="20"/>
                <w:szCs w:val="20"/>
              </w:rPr>
              <w:t>695,608</w:t>
            </w:r>
          </w:p>
        </w:tc>
        <w:tc>
          <w:tcPr>
            <w:tcW w:w="2340" w:type="dxa"/>
            <w:vAlign w:val="center"/>
          </w:tcPr>
          <w:p>
            <w:pPr>
              <w:pStyle w:val="15"/>
              <w:spacing w:before="0" w:after="0" w:line="240" w:lineRule="auto"/>
            </w:pPr>
            <w:r>
              <w:rPr>
                <w:sz w:val="20"/>
                <w:szCs w:val="20"/>
              </w:rPr>
              <w:t>5.93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7</w:t>
            </w:r>
          </w:p>
        </w:tc>
        <w:tc>
          <w:tcPr>
            <w:tcW w:w="2340" w:type="dxa"/>
            <w:vAlign w:val="center"/>
          </w:tcPr>
          <w:p>
            <w:pPr>
              <w:pStyle w:val="15"/>
              <w:spacing w:before="0" w:after="0" w:line="240" w:lineRule="auto"/>
            </w:pPr>
            <w:r>
              <w:rPr>
                <w:sz w:val="20"/>
                <w:szCs w:val="20"/>
              </w:rPr>
              <w:t>Antimalarial (main)</w:t>
            </w:r>
          </w:p>
        </w:tc>
        <w:tc>
          <w:tcPr>
            <w:tcW w:w="2340" w:type="dxa"/>
            <w:vAlign w:val="center"/>
          </w:tcPr>
          <w:p>
            <w:pPr>
              <w:pStyle w:val="15"/>
              <w:spacing w:before="0" w:after="0" w:line="240" w:lineRule="auto"/>
            </w:pPr>
            <w:r>
              <w:rPr>
                <w:sz w:val="20"/>
                <w:szCs w:val="20"/>
              </w:rPr>
              <w:t>2,010,724</w:t>
            </w:r>
          </w:p>
        </w:tc>
        <w:tc>
          <w:tcPr>
            <w:tcW w:w="2340" w:type="dxa"/>
            <w:vAlign w:val="center"/>
          </w:tcPr>
          <w:p>
            <w:pPr>
              <w:pStyle w:val="15"/>
              <w:spacing w:before="0" w:after="0" w:line="240" w:lineRule="auto"/>
            </w:pPr>
            <w:r>
              <w:rPr>
                <w:sz w:val="20"/>
                <w:szCs w:val="20"/>
              </w:rPr>
              <w:t>17.15</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8</w:t>
            </w:r>
          </w:p>
        </w:tc>
        <w:tc>
          <w:tcPr>
            <w:tcW w:w="2340" w:type="dxa"/>
            <w:vAlign w:val="center"/>
          </w:tcPr>
          <w:p>
            <w:pPr>
              <w:pStyle w:val="15"/>
              <w:spacing w:before="0" w:after="0" w:line="240" w:lineRule="auto"/>
            </w:pPr>
            <w:r>
              <w:rPr>
                <w:sz w:val="20"/>
                <w:szCs w:val="20"/>
              </w:rPr>
              <w:t>Quorum sensing</w:t>
            </w:r>
          </w:p>
        </w:tc>
        <w:tc>
          <w:tcPr>
            <w:tcW w:w="2340" w:type="dxa"/>
            <w:vAlign w:val="center"/>
          </w:tcPr>
          <w:p>
            <w:pPr>
              <w:pStyle w:val="15"/>
              <w:spacing w:before="0" w:after="0" w:line="240" w:lineRule="auto"/>
            </w:pPr>
            <w:r>
              <w:rPr>
                <w:sz w:val="20"/>
                <w:szCs w:val="20"/>
              </w:rPr>
              <w:t>4,491,507</w:t>
            </w:r>
          </w:p>
        </w:tc>
        <w:tc>
          <w:tcPr>
            <w:tcW w:w="2340" w:type="dxa"/>
            <w:vAlign w:val="center"/>
          </w:tcPr>
          <w:p>
            <w:pPr>
              <w:pStyle w:val="15"/>
              <w:spacing w:before="0" w:after="0" w:line="240" w:lineRule="auto"/>
            </w:pPr>
            <w:r>
              <w:rPr>
                <w:sz w:val="20"/>
                <w:szCs w:val="20"/>
              </w:rPr>
              <w:t>38.32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9</w:t>
            </w:r>
          </w:p>
        </w:tc>
        <w:tc>
          <w:tcPr>
            <w:tcW w:w="2340" w:type="dxa"/>
            <w:vAlign w:val="center"/>
          </w:tcPr>
          <w:p>
            <w:pPr>
              <w:pStyle w:val="15"/>
              <w:spacing w:before="0" w:after="0" w:line="240" w:lineRule="auto"/>
            </w:pPr>
            <w:r>
              <w:rPr>
                <w:sz w:val="20"/>
                <w:szCs w:val="20"/>
              </w:rPr>
              <w:t>Anticancer (main)</w:t>
            </w:r>
          </w:p>
        </w:tc>
        <w:tc>
          <w:tcPr>
            <w:tcW w:w="2340" w:type="dxa"/>
            <w:vAlign w:val="center"/>
          </w:tcPr>
          <w:p>
            <w:pPr>
              <w:pStyle w:val="15"/>
              <w:spacing w:before="0" w:after="0" w:line="240" w:lineRule="auto"/>
            </w:pPr>
            <w:r>
              <w:rPr>
                <w:sz w:val="20"/>
                <w:szCs w:val="20"/>
              </w:rPr>
              <w:t>2,357,718</w:t>
            </w:r>
          </w:p>
        </w:tc>
        <w:tc>
          <w:tcPr>
            <w:tcW w:w="2340" w:type="dxa"/>
            <w:vAlign w:val="center"/>
          </w:tcPr>
          <w:p>
            <w:pPr>
              <w:pStyle w:val="15"/>
              <w:spacing w:before="0" w:after="0" w:line="240" w:lineRule="auto"/>
            </w:pPr>
            <w:r>
              <w:rPr>
                <w:sz w:val="20"/>
                <w:szCs w:val="20"/>
              </w:rPr>
              <w:t>20.11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10</w:t>
            </w:r>
          </w:p>
        </w:tc>
        <w:tc>
          <w:tcPr>
            <w:tcW w:w="2340" w:type="dxa"/>
            <w:vAlign w:val="center"/>
          </w:tcPr>
          <w:p>
            <w:pPr>
              <w:pStyle w:val="15"/>
              <w:spacing w:before="0" w:after="0" w:line="240" w:lineRule="auto"/>
            </w:pPr>
            <w:r>
              <w:rPr>
                <w:sz w:val="20"/>
                <w:szCs w:val="20"/>
              </w:rPr>
              <w:t>Anticancer (alternative)</w:t>
            </w:r>
          </w:p>
        </w:tc>
        <w:tc>
          <w:tcPr>
            <w:tcW w:w="2340" w:type="dxa"/>
            <w:vAlign w:val="center"/>
          </w:tcPr>
          <w:p>
            <w:pPr>
              <w:pStyle w:val="15"/>
              <w:spacing w:before="0" w:after="0" w:line="240" w:lineRule="auto"/>
            </w:pPr>
            <w:r>
              <w:rPr>
                <w:sz w:val="20"/>
                <w:szCs w:val="20"/>
              </w:rPr>
              <w:t>2,015,652</w:t>
            </w:r>
          </w:p>
        </w:tc>
        <w:tc>
          <w:tcPr>
            <w:tcW w:w="2340" w:type="dxa"/>
            <w:vAlign w:val="center"/>
          </w:tcPr>
          <w:p>
            <w:pPr>
              <w:pStyle w:val="15"/>
              <w:spacing w:before="0" w:after="0" w:line="240" w:lineRule="auto"/>
            </w:pPr>
            <w:r>
              <w:rPr>
                <w:sz w:val="20"/>
                <w:szCs w:val="20"/>
              </w:rPr>
              <w:t>17.20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11</w:t>
            </w:r>
          </w:p>
        </w:tc>
        <w:tc>
          <w:tcPr>
            <w:tcW w:w="2340" w:type="dxa"/>
            <w:vAlign w:val="center"/>
          </w:tcPr>
          <w:p>
            <w:pPr>
              <w:pStyle w:val="15"/>
              <w:spacing w:before="0" w:after="0" w:line="240" w:lineRule="auto"/>
            </w:pPr>
            <w:r>
              <w:rPr>
                <w:sz w:val="20"/>
                <w:szCs w:val="20"/>
              </w:rPr>
              <w:t>Anti-MRSA</w:t>
            </w:r>
          </w:p>
        </w:tc>
        <w:tc>
          <w:tcPr>
            <w:tcW w:w="2340" w:type="dxa"/>
            <w:vAlign w:val="center"/>
          </w:tcPr>
          <w:p>
            <w:pPr>
              <w:pStyle w:val="15"/>
              <w:spacing w:before="0" w:after="0" w:line="240" w:lineRule="auto"/>
            </w:pPr>
            <w:r>
              <w:rPr>
                <w:sz w:val="20"/>
                <w:szCs w:val="20"/>
              </w:rPr>
              <w:t>843,977</w:t>
            </w:r>
          </w:p>
        </w:tc>
        <w:tc>
          <w:tcPr>
            <w:tcW w:w="2340" w:type="dxa"/>
            <w:vAlign w:val="center"/>
          </w:tcPr>
          <w:p>
            <w:pPr>
              <w:pStyle w:val="15"/>
              <w:spacing w:before="0" w:after="0" w:line="240" w:lineRule="auto"/>
            </w:pPr>
            <w:r>
              <w:rPr>
                <w:sz w:val="20"/>
                <w:szCs w:val="20"/>
              </w:rPr>
              <w:t>7.20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12</w:t>
            </w:r>
          </w:p>
        </w:tc>
        <w:tc>
          <w:tcPr>
            <w:tcW w:w="2340" w:type="dxa"/>
            <w:vAlign w:val="center"/>
          </w:tcPr>
          <w:p>
            <w:pPr>
              <w:pStyle w:val="15"/>
              <w:spacing w:before="0" w:after="0" w:line="240" w:lineRule="auto"/>
            </w:pPr>
            <w:r>
              <w:rPr>
                <w:sz w:val="20"/>
                <w:szCs w:val="20"/>
              </w:rPr>
              <w:t>TTCA</w:t>
            </w:r>
          </w:p>
        </w:tc>
        <w:tc>
          <w:tcPr>
            <w:tcW w:w="2340" w:type="dxa"/>
            <w:vAlign w:val="center"/>
          </w:tcPr>
          <w:p>
            <w:pPr>
              <w:pStyle w:val="15"/>
              <w:spacing w:before="0" w:after="0" w:line="240" w:lineRule="auto"/>
            </w:pPr>
            <w:r>
              <w:rPr>
                <w:sz w:val="20"/>
                <w:szCs w:val="20"/>
              </w:rPr>
              <w:t>2,666,759</w:t>
            </w:r>
          </w:p>
        </w:tc>
        <w:tc>
          <w:tcPr>
            <w:tcW w:w="2340" w:type="dxa"/>
            <w:vAlign w:val="center"/>
          </w:tcPr>
          <w:p>
            <w:pPr>
              <w:pStyle w:val="15"/>
              <w:spacing w:before="0" w:after="0" w:line="240" w:lineRule="auto"/>
            </w:pPr>
            <w:r>
              <w:rPr>
                <w:sz w:val="20"/>
                <w:szCs w:val="20"/>
              </w:rPr>
              <w:t>22.75</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13</w:t>
            </w:r>
          </w:p>
        </w:tc>
        <w:tc>
          <w:tcPr>
            <w:tcW w:w="2340" w:type="dxa"/>
            <w:vAlign w:val="center"/>
          </w:tcPr>
          <w:p>
            <w:pPr>
              <w:pStyle w:val="15"/>
              <w:spacing w:before="0" w:after="0" w:line="240" w:lineRule="auto"/>
            </w:pPr>
            <w:r>
              <w:rPr>
                <w:sz w:val="20"/>
                <w:szCs w:val="20"/>
              </w:rPr>
              <w:t>BBB (BBP)</w:t>
            </w:r>
          </w:p>
        </w:tc>
        <w:tc>
          <w:tcPr>
            <w:tcW w:w="2340" w:type="dxa"/>
            <w:vAlign w:val="center"/>
          </w:tcPr>
          <w:p>
            <w:pPr>
              <w:pStyle w:val="15"/>
              <w:spacing w:before="0" w:after="0" w:line="240" w:lineRule="auto"/>
            </w:pPr>
            <w:r>
              <w:rPr>
                <w:sz w:val="20"/>
                <w:szCs w:val="20"/>
              </w:rPr>
              <w:t>1,125,832</w:t>
            </w:r>
          </w:p>
        </w:tc>
        <w:tc>
          <w:tcPr>
            <w:tcW w:w="2340" w:type="dxa"/>
            <w:vAlign w:val="center"/>
          </w:tcPr>
          <w:p>
            <w:pPr>
              <w:pStyle w:val="15"/>
              <w:spacing w:before="0" w:after="0" w:line="240" w:lineRule="auto"/>
            </w:pPr>
            <w:r>
              <w:rPr>
                <w:sz w:val="20"/>
                <w:szCs w:val="20"/>
              </w:rPr>
              <w:t>9.60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14</w:t>
            </w:r>
          </w:p>
        </w:tc>
        <w:tc>
          <w:tcPr>
            <w:tcW w:w="2340" w:type="dxa"/>
            <w:vAlign w:val="center"/>
          </w:tcPr>
          <w:p>
            <w:pPr>
              <w:pStyle w:val="15"/>
              <w:spacing w:before="0" w:after="0" w:line="240" w:lineRule="auto"/>
            </w:pPr>
            <w:r>
              <w:rPr>
                <w:sz w:val="20"/>
                <w:szCs w:val="20"/>
              </w:rPr>
              <w:t>Anti-parasitic (APP)</w:t>
            </w:r>
          </w:p>
        </w:tc>
        <w:tc>
          <w:tcPr>
            <w:tcW w:w="2340" w:type="dxa"/>
            <w:vAlign w:val="center"/>
          </w:tcPr>
          <w:p>
            <w:pPr>
              <w:pStyle w:val="15"/>
              <w:spacing w:before="0" w:after="0" w:line="240" w:lineRule="auto"/>
            </w:pPr>
            <w:r>
              <w:rPr>
                <w:sz w:val="20"/>
                <w:szCs w:val="20"/>
              </w:rPr>
              <w:t>5,462,493</w:t>
            </w:r>
          </w:p>
        </w:tc>
        <w:tc>
          <w:tcPr>
            <w:tcW w:w="2340" w:type="dxa"/>
            <w:vAlign w:val="center"/>
          </w:tcPr>
          <w:p>
            <w:pPr>
              <w:pStyle w:val="15"/>
              <w:spacing w:before="0" w:after="0" w:line="240" w:lineRule="auto"/>
            </w:pPr>
            <w:r>
              <w:rPr>
                <w:sz w:val="20"/>
                <w:szCs w:val="20"/>
              </w:rPr>
              <w:t>46.60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15</w:t>
            </w:r>
          </w:p>
        </w:tc>
        <w:tc>
          <w:tcPr>
            <w:tcW w:w="2340" w:type="dxa"/>
            <w:vAlign w:val="center"/>
          </w:tcPr>
          <w:p>
            <w:pPr>
              <w:pStyle w:val="15"/>
              <w:spacing w:before="0" w:after="0" w:line="240" w:lineRule="auto"/>
            </w:pPr>
            <w:r>
              <w:rPr>
                <w:sz w:val="20"/>
                <w:szCs w:val="20"/>
              </w:rPr>
              <w:t>NeuroPred</w:t>
            </w:r>
          </w:p>
        </w:tc>
        <w:tc>
          <w:tcPr>
            <w:tcW w:w="2340" w:type="dxa"/>
            <w:vAlign w:val="center"/>
          </w:tcPr>
          <w:p>
            <w:pPr>
              <w:pStyle w:val="15"/>
              <w:spacing w:before="0" w:after="0" w:line="240" w:lineRule="auto"/>
            </w:pPr>
            <w:r>
              <w:rPr>
                <w:sz w:val="20"/>
                <w:szCs w:val="20"/>
              </w:rPr>
              <w:t>1,714,373</w:t>
            </w:r>
          </w:p>
        </w:tc>
        <w:tc>
          <w:tcPr>
            <w:tcW w:w="2340" w:type="dxa"/>
            <w:vAlign w:val="center"/>
          </w:tcPr>
          <w:p>
            <w:pPr>
              <w:pStyle w:val="15"/>
              <w:spacing w:before="0" w:after="0" w:line="240" w:lineRule="auto"/>
            </w:pPr>
            <w:r>
              <w:rPr>
                <w:sz w:val="20"/>
                <w:szCs w:val="20"/>
              </w:rPr>
              <w:t>14.63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16</w:t>
            </w:r>
          </w:p>
        </w:tc>
        <w:tc>
          <w:tcPr>
            <w:tcW w:w="2340" w:type="dxa"/>
            <w:vAlign w:val="center"/>
          </w:tcPr>
          <w:p>
            <w:pPr>
              <w:pStyle w:val="15"/>
              <w:spacing w:before="0" w:after="0" w:line="240" w:lineRule="auto"/>
            </w:pPr>
            <w:r>
              <w:rPr>
                <w:sz w:val="20"/>
                <w:szCs w:val="20"/>
              </w:rPr>
              <w:t>Antibacterial</w:t>
            </w:r>
          </w:p>
        </w:tc>
        <w:tc>
          <w:tcPr>
            <w:tcW w:w="2340" w:type="dxa"/>
            <w:vAlign w:val="center"/>
          </w:tcPr>
          <w:p>
            <w:pPr>
              <w:pStyle w:val="15"/>
              <w:spacing w:before="0" w:after="0" w:line="240" w:lineRule="auto"/>
            </w:pPr>
            <w:r>
              <w:rPr>
                <w:sz w:val="20"/>
                <w:szCs w:val="20"/>
              </w:rPr>
              <w:t>2,597,877</w:t>
            </w:r>
          </w:p>
        </w:tc>
        <w:tc>
          <w:tcPr>
            <w:tcW w:w="2340" w:type="dxa"/>
            <w:vAlign w:val="center"/>
          </w:tcPr>
          <w:p>
            <w:pPr>
              <w:pStyle w:val="15"/>
              <w:spacing w:before="0" w:after="0" w:line="240" w:lineRule="auto"/>
            </w:pPr>
            <w:r>
              <w:rPr>
                <w:sz w:val="20"/>
                <w:szCs w:val="20"/>
              </w:rPr>
              <w:t>22.16</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17</w:t>
            </w:r>
          </w:p>
        </w:tc>
        <w:tc>
          <w:tcPr>
            <w:tcW w:w="2340" w:type="dxa"/>
            <w:vAlign w:val="center"/>
          </w:tcPr>
          <w:p>
            <w:pPr>
              <w:pStyle w:val="15"/>
              <w:spacing w:before="0" w:after="0" w:line="240" w:lineRule="auto"/>
            </w:pPr>
            <w:r>
              <w:rPr>
                <w:sz w:val="20"/>
                <w:szCs w:val="20"/>
              </w:rPr>
              <w:t>Antifungal</w:t>
            </w:r>
          </w:p>
        </w:tc>
        <w:tc>
          <w:tcPr>
            <w:tcW w:w="2340" w:type="dxa"/>
            <w:vAlign w:val="center"/>
          </w:tcPr>
          <w:p>
            <w:pPr>
              <w:pStyle w:val="15"/>
              <w:spacing w:before="0" w:after="0" w:line="240" w:lineRule="auto"/>
            </w:pPr>
            <w:r>
              <w:rPr>
                <w:sz w:val="20"/>
                <w:szCs w:val="20"/>
              </w:rPr>
              <w:t>2,960,118</w:t>
            </w:r>
          </w:p>
        </w:tc>
        <w:tc>
          <w:tcPr>
            <w:tcW w:w="2340" w:type="dxa"/>
            <w:vAlign w:val="center"/>
          </w:tcPr>
          <w:p>
            <w:pPr>
              <w:pStyle w:val="15"/>
              <w:spacing w:before="0" w:after="0" w:line="240" w:lineRule="auto"/>
            </w:pPr>
            <w:r>
              <w:rPr>
                <w:sz w:val="20"/>
                <w:szCs w:val="20"/>
              </w:rPr>
              <w:t>25.25</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18</w:t>
            </w:r>
          </w:p>
        </w:tc>
        <w:tc>
          <w:tcPr>
            <w:tcW w:w="2340" w:type="dxa"/>
            <w:vAlign w:val="center"/>
          </w:tcPr>
          <w:p>
            <w:pPr>
              <w:pStyle w:val="15"/>
              <w:spacing w:before="0" w:after="0" w:line="240" w:lineRule="auto"/>
            </w:pPr>
            <w:r>
              <w:rPr>
                <w:sz w:val="20"/>
                <w:szCs w:val="20"/>
              </w:rPr>
              <w:t>Antiviral</w:t>
            </w:r>
          </w:p>
        </w:tc>
        <w:tc>
          <w:tcPr>
            <w:tcW w:w="2340" w:type="dxa"/>
            <w:vAlign w:val="center"/>
          </w:tcPr>
          <w:p>
            <w:pPr>
              <w:pStyle w:val="15"/>
              <w:spacing w:before="0" w:after="0" w:line="240" w:lineRule="auto"/>
            </w:pPr>
            <w:r>
              <w:rPr>
                <w:sz w:val="20"/>
                <w:szCs w:val="20"/>
              </w:rPr>
              <w:t>3,275,203</w:t>
            </w:r>
          </w:p>
        </w:tc>
        <w:tc>
          <w:tcPr>
            <w:tcW w:w="2340" w:type="dxa"/>
            <w:vAlign w:val="center"/>
          </w:tcPr>
          <w:p>
            <w:pPr>
              <w:pStyle w:val="15"/>
              <w:spacing w:before="0" w:after="0" w:line="240" w:lineRule="auto"/>
            </w:pPr>
            <w:r>
              <w:rPr>
                <w:sz w:val="20"/>
                <w:szCs w:val="20"/>
              </w:rPr>
              <w:t>27.94</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19</w:t>
            </w:r>
          </w:p>
        </w:tc>
        <w:tc>
          <w:tcPr>
            <w:tcW w:w="2340" w:type="dxa"/>
            <w:vAlign w:val="center"/>
          </w:tcPr>
          <w:p>
            <w:pPr>
              <w:pStyle w:val="15"/>
              <w:spacing w:before="0" w:after="0" w:line="240" w:lineRule="auto"/>
            </w:pPr>
            <w:r>
              <w:rPr>
                <w:sz w:val="20"/>
                <w:szCs w:val="20"/>
              </w:rPr>
              <w:t>Toxicity</w:t>
            </w:r>
          </w:p>
        </w:tc>
        <w:tc>
          <w:tcPr>
            <w:tcW w:w="2340" w:type="dxa"/>
            <w:vAlign w:val="center"/>
          </w:tcPr>
          <w:p>
            <w:pPr>
              <w:pStyle w:val="15"/>
              <w:spacing w:before="0" w:after="0" w:line="240" w:lineRule="auto"/>
            </w:pPr>
            <w:r>
              <w:rPr>
                <w:sz w:val="20"/>
                <w:szCs w:val="20"/>
              </w:rPr>
              <w:t>1,714,299</w:t>
            </w:r>
          </w:p>
        </w:tc>
        <w:tc>
          <w:tcPr>
            <w:tcW w:w="2340" w:type="dxa"/>
            <w:vAlign w:val="center"/>
          </w:tcPr>
          <w:p>
            <w:pPr>
              <w:pStyle w:val="15"/>
              <w:spacing w:before="0" w:after="0" w:line="240" w:lineRule="auto"/>
            </w:pPr>
            <w:r>
              <w:rPr>
                <w:sz w:val="20"/>
                <w:szCs w:val="20"/>
              </w:rPr>
              <w:t>14.62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20</w:t>
            </w:r>
          </w:p>
        </w:tc>
        <w:tc>
          <w:tcPr>
            <w:tcW w:w="2340" w:type="dxa"/>
            <w:vAlign w:val="center"/>
          </w:tcPr>
          <w:p>
            <w:pPr>
              <w:pStyle w:val="15"/>
              <w:spacing w:before="0" w:after="0" w:line="240" w:lineRule="auto"/>
            </w:pPr>
            <w:r>
              <w:rPr>
                <w:sz w:val="20"/>
                <w:szCs w:val="20"/>
              </w:rPr>
              <w:t>Antioxidant FRS</w:t>
            </w:r>
          </w:p>
        </w:tc>
        <w:tc>
          <w:tcPr>
            <w:tcW w:w="2340" w:type="dxa"/>
            <w:vAlign w:val="center"/>
          </w:tcPr>
          <w:p>
            <w:pPr>
              <w:pStyle w:val="15"/>
              <w:spacing w:before="0" w:after="0" w:line="240" w:lineRule="auto"/>
            </w:pPr>
            <w:r>
              <w:rPr>
                <w:sz w:val="20"/>
                <w:szCs w:val="20"/>
              </w:rPr>
              <w:t>2,521,106</w:t>
            </w:r>
          </w:p>
        </w:tc>
        <w:tc>
          <w:tcPr>
            <w:tcW w:w="2340" w:type="dxa"/>
            <w:vAlign w:val="center"/>
          </w:tcPr>
          <w:p>
            <w:pPr>
              <w:pStyle w:val="15"/>
              <w:spacing w:before="0" w:after="0" w:line="240" w:lineRule="auto"/>
            </w:pPr>
            <w:r>
              <w:rPr>
                <w:sz w:val="20"/>
                <w:szCs w:val="20"/>
              </w:rPr>
              <w:t>21.51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21</w:t>
            </w:r>
          </w:p>
        </w:tc>
        <w:tc>
          <w:tcPr>
            <w:tcW w:w="2340" w:type="dxa"/>
            <w:vAlign w:val="center"/>
          </w:tcPr>
          <w:p>
            <w:pPr>
              <w:pStyle w:val="15"/>
              <w:spacing w:before="0" w:after="0" w:line="240" w:lineRule="auto"/>
            </w:pPr>
            <w:r>
              <w:rPr>
                <w:sz w:val="20"/>
                <w:szCs w:val="20"/>
              </w:rPr>
              <w:t>Allergenicity</w:t>
            </w:r>
          </w:p>
        </w:tc>
        <w:tc>
          <w:tcPr>
            <w:tcW w:w="2340" w:type="dxa"/>
            <w:vAlign w:val="center"/>
          </w:tcPr>
          <w:p>
            <w:pPr>
              <w:pStyle w:val="15"/>
              <w:spacing w:before="0" w:after="0" w:line="240" w:lineRule="auto"/>
            </w:pPr>
            <w:r>
              <w:rPr>
                <w:sz w:val="20"/>
                <w:szCs w:val="20"/>
              </w:rPr>
              <w:t>1,713,798</w:t>
            </w:r>
          </w:p>
        </w:tc>
        <w:tc>
          <w:tcPr>
            <w:tcW w:w="2340" w:type="dxa"/>
            <w:vAlign w:val="center"/>
          </w:tcPr>
          <w:p>
            <w:pPr>
              <w:pStyle w:val="15"/>
              <w:spacing w:before="0" w:after="0" w:line="240" w:lineRule="auto"/>
            </w:pPr>
            <w:r>
              <w:rPr>
                <w:sz w:val="20"/>
                <w:szCs w:val="20"/>
              </w:rPr>
              <w:t>14.62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22</w:t>
            </w:r>
          </w:p>
        </w:tc>
        <w:tc>
          <w:tcPr>
            <w:tcW w:w="2340" w:type="dxa"/>
            <w:vAlign w:val="center"/>
          </w:tcPr>
          <w:p>
            <w:pPr>
              <w:pStyle w:val="15"/>
              <w:spacing w:before="0" w:after="0" w:line="240" w:lineRule="auto"/>
            </w:pPr>
            <w:r>
              <w:rPr>
                <w:sz w:val="20"/>
                <w:szCs w:val="20"/>
              </w:rPr>
              <w:t>Cell-penetrating peptide (CPP)</w:t>
            </w:r>
          </w:p>
        </w:tc>
        <w:tc>
          <w:tcPr>
            <w:tcW w:w="2340" w:type="dxa"/>
            <w:vAlign w:val="center"/>
          </w:tcPr>
          <w:p>
            <w:pPr>
              <w:pStyle w:val="15"/>
              <w:spacing w:before="0" w:after="0" w:line="240" w:lineRule="auto"/>
            </w:pPr>
            <w:r>
              <w:rPr>
                <w:sz w:val="20"/>
                <w:szCs w:val="20"/>
              </w:rPr>
              <w:t>925,627</w:t>
            </w:r>
          </w:p>
        </w:tc>
        <w:tc>
          <w:tcPr>
            <w:tcW w:w="2340" w:type="dxa"/>
            <w:vAlign w:val="center"/>
          </w:tcPr>
          <w:p>
            <w:pPr>
              <w:pStyle w:val="15"/>
              <w:spacing w:before="0" w:after="0" w:line="240" w:lineRule="auto"/>
            </w:pPr>
            <w:r>
              <w:rPr>
                <w:sz w:val="20"/>
                <w:szCs w:val="20"/>
              </w:rPr>
              <w:t>7.90</w:t>
            </w:r>
          </w:p>
        </w:tc>
      </w:tr>
    </w:tbl>
    <w:p>
      <w:pPr>
        <w:spacing w:after="40"/>
      </w:pPr>
    </w:p>
    <w:p>
      <w:pPr>
        <w:pStyle w:val="6"/>
      </w:pPr>
      <w:r>
        <w:rPr>
          <w:b/>
        </w:rPr>
        <w:t>Table 2. UniDL4BioPep counts for the healthy-labelled library (11,269,961 smORFs; ≥0.80).</w:t>
      </w:r>
    </w:p>
    <w:tbl>
      <w:tblPr>
        <w:tblStyle w:val="16"/>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70" w:type="dxa"/>
          <w:left w:w="80" w:type="dxa"/>
          <w:bottom w:w="70" w:type="dxa"/>
          <w:right w:w="80" w:type="dxa"/>
        </w:tblCellMar>
      </w:tblPr>
      <w:tblGrid>
        <w:gridCol w:w="2297"/>
        <w:gridCol w:w="2297"/>
        <w:gridCol w:w="2297"/>
        <w:gridCol w:w="2297"/>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rPr>
          <w:tblHeader/>
        </w:trPr>
        <w:tc>
          <w:tcPr>
            <w:tcW w:w="2340" w:type="dxa"/>
            <w:tcBorders>
              <w:bottom w:val="single" w:color="000000" w:sz="8" w:space="0"/>
            </w:tcBorders>
            <w:vAlign w:val="center"/>
          </w:tcPr>
          <w:p>
            <w:pPr>
              <w:pStyle w:val="15"/>
              <w:spacing w:before="0" w:after="0" w:line="240" w:lineRule="auto"/>
            </w:pPr>
            <w:r>
              <w:rPr>
                <w:sz w:val="20"/>
                <w:szCs w:val="20"/>
              </w:rPr>
              <w:t>No.</w:t>
            </w:r>
          </w:p>
        </w:tc>
        <w:tc>
          <w:tcPr>
            <w:tcW w:w="2340" w:type="dxa"/>
            <w:tcBorders>
              <w:bottom w:val="single" w:color="000000" w:sz="8" w:space="0"/>
            </w:tcBorders>
            <w:vAlign w:val="center"/>
          </w:tcPr>
          <w:p>
            <w:pPr>
              <w:pStyle w:val="15"/>
              <w:spacing w:before="0" w:after="0" w:line="240" w:lineRule="auto"/>
            </w:pPr>
            <w:r>
              <w:rPr>
                <w:sz w:val="20"/>
                <w:szCs w:val="20"/>
              </w:rPr>
              <w:t>Task</w:t>
            </w:r>
          </w:p>
        </w:tc>
        <w:tc>
          <w:tcPr>
            <w:tcW w:w="2340" w:type="dxa"/>
            <w:tcBorders>
              <w:bottom w:val="single" w:color="000000" w:sz="8" w:space="0"/>
            </w:tcBorders>
            <w:vAlign w:val="center"/>
          </w:tcPr>
          <w:p>
            <w:pPr>
              <w:pStyle w:val="15"/>
              <w:spacing w:before="0" w:after="0" w:line="240" w:lineRule="auto"/>
            </w:pPr>
            <w:r>
              <w:rPr>
                <w:sz w:val="20"/>
                <w:szCs w:val="20"/>
              </w:rPr>
              <w:t>n</w:t>
            </w:r>
          </w:p>
        </w:tc>
        <w:tc>
          <w:tcPr>
            <w:tcW w:w="2340" w:type="dxa"/>
            <w:tcBorders>
              <w:bottom w:val="single" w:color="000000" w:sz="8" w:space="0"/>
            </w:tcBorders>
            <w:vAlign w:val="center"/>
          </w:tcPr>
          <w:p>
            <w:pPr>
              <w:pStyle w:val="15"/>
              <w:spacing w:before="0" w:after="0" w:line="240" w:lineRule="auto"/>
            </w:pPr>
            <w:r>
              <w:rPr>
                <w:sz w:val="20"/>
                <w:szCs w:val="20"/>
              </w:rPr>
              <w:t>%</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1</w:t>
            </w:r>
          </w:p>
        </w:tc>
        <w:tc>
          <w:tcPr>
            <w:tcW w:w="2340" w:type="dxa"/>
            <w:vAlign w:val="center"/>
          </w:tcPr>
          <w:p>
            <w:pPr>
              <w:pStyle w:val="15"/>
              <w:spacing w:before="0" w:after="0" w:line="240" w:lineRule="auto"/>
            </w:pPr>
            <w:r>
              <w:rPr>
                <w:sz w:val="20"/>
                <w:szCs w:val="20"/>
              </w:rPr>
              <w:t>ACE inhibitory</w:t>
            </w:r>
          </w:p>
        </w:tc>
        <w:tc>
          <w:tcPr>
            <w:tcW w:w="2340" w:type="dxa"/>
            <w:vAlign w:val="center"/>
          </w:tcPr>
          <w:p>
            <w:pPr>
              <w:pStyle w:val="15"/>
              <w:spacing w:before="0" w:after="0" w:line="240" w:lineRule="auto"/>
            </w:pPr>
            <w:r>
              <w:rPr>
                <w:sz w:val="20"/>
                <w:szCs w:val="20"/>
              </w:rPr>
              <w:t>1,237,451</w:t>
            </w:r>
          </w:p>
        </w:tc>
        <w:tc>
          <w:tcPr>
            <w:tcW w:w="2340" w:type="dxa"/>
            <w:vAlign w:val="center"/>
          </w:tcPr>
          <w:p>
            <w:pPr>
              <w:pStyle w:val="15"/>
              <w:spacing w:before="0" w:after="0" w:line="240" w:lineRule="auto"/>
            </w:pPr>
            <w:r>
              <w:rPr>
                <w:sz w:val="20"/>
                <w:szCs w:val="20"/>
              </w:rPr>
              <w:t>10.98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2</w:t>
            </w:r>
          </w:p>
        </w:tc>
        <w:tc>
          <w:tcPr>
            <w:tcW w:w="2340" w:type="dxa"/>
            <w:vAlign w:val="center"/>
          </w:tcPr>
          <w:p>
            <w:pPr>
              <w:pStyle w:val="15"/>
              <w:spacing w:before="0" w:after="0" w:line="240" w:lineRule="auto"/>
            </w:pPr>
            <w:r>
              <w:rPr>
                <w:sz w:val="20"/>
                <w:szCs w:val="20"/>
              </w:rPr>
              <w:t>DPP-IV inhibitory</w:t>
            </w:r>
          </w:p>
        </w:tc>
        <w:tc>
          <w:tcPr>
            <w:tcW w:w="2340" w:type="dxa"/>
            <w:vAlign w:val="center"/>
          </w:tcPr>
          <w:p>
            <w:pPr>
              <w:pStyle w:val="15"/>
              <w:spacing w:before="0" w:after="0" w:line="240" w:lineRule="auto"/>
            </w:pPr>
            <w:r>
              <w:rPr>
                <w:sz w:val="20"/>
                <w:szCs w:val="20"/>
              </w:rPr>
              <w:t>131,426</w:t>
            </w:r>
          </w:p>
        </w:tc>
        <w:tc>
          <w:tcPr>
            <w:tcW w:w="2340" w:type="dxa"/>
            <w:vAlign w:val="center"/>
          </w:tcPr>
          <w:p>
            <w:pPr>
              <w:pStyle w:val="15"/>
              <w:spacing w:before="0" w:after="0" w:line="240" w:lineRule="auto"/>
            </w:pPr>
            <w:r>
              <w:rPr>
                <w:sz w:val="20"/>
                <w:szCs w:val="20"/>
              </w:rPr>
              <w:t>1.17</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3</w:t>
            </w:r>
          </w:p>
        </w:tc>
        <w:tc>
          <w:tcPr>
            <w:tcW w:w="2340" w:type="dxa"/>
            <w:vAlign w:val="center"/>
          </w:tcPr>
          <w:p>
            <w:pPr>
              <w:pStyle w:val="15"/>
              <w:spacing w:before="0" w:after="0" w:line="240" w:lineRule="auto"/>
            </w:pPr>
            <w:r>
              <w:rPr>
                <w:sz w:val="20"/>
                <w:szCs w:val="20"/>
              </w:rPr>
              <w:t>Bitter</w:t>
            </w:r>
          </w:p>
        </w:tc>
        <w:tc>
          <w:tcPr>
            <w:tcW w:w="2340" w:type="dxa"/>
            <w:vAlign w:val="center"/>
          </w:tcPr>
          <w:p>
            <w:pPr>
              <w:pStyle w:val="15"/>
              <w:spacing w:before="0" w:after="0" w:line="240" w:lineRule="auto"/>
            </w:pPr>
            <w:r>
              <w:rPr>
                <w:sz w:val="20"/>
                <w:szCs w:val="20"/>
              </w:rPr>
              <w:t>1,840,368</w:t>
            </w:r>
          </w:p>
        </w:tc>
        <w:tc>
          <w:tcPr>
            <w:tcW w:w="2340" w:type="dxa"/>
            <w:vAlign w:val="center"/>
          </w:tcPr>
          <w:p>
            <w:pPr>
              <w:pStyle w:val="15"/>
              <w:spacing w:before="0" w:after="0" w:line="240" w:lineRule="auto"/>
            </w:pPr>
            <w:r>
              <w:rPr>
                <w:sz w:val="20"/>
                <w:szCs w:val="20"/>
              </w:rPr>
              <w:t>16.33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4</w:t>
            </w:r>
          </w:p>
        </w:tc>
        <w:tc>
          <w:tcPr>
            <w:tcW w:w="2340" w:type="dxa"/>
            <w:vAlign w:val="center"/>
          </w:tcPr>
          <w:p>
            <w:pPr>
              <w:pStyle w:val="15"/>
              <w:spacing w:before="0" w:after="0" w:line="240" w:lineRule="auto"/>
            </w:pPr>
            <w:r>
              <w:rPr>
                <w:sz w:val="20"/>
                <w:szCs w:val="20"/>
              </w:rPr>
              <w:t>Umami</w:t>
            </w:r>
          </w:p>
        </w:tc>
        <w:tc>
          <w:tcPr>
            <w:tcW w:w="2340" w:type="dxa"/>
            <w:vAlign w:val="center"/>
          </w:tcPr>
          <w:p>
            <w:pPr>
              <w:pStyle w:val="15"/>
              <w:spacing w:before="0" w:after="0" w:line="240" w:lineRule="auto"/>
            </w:pPr>
            <w:r>
              <w:rPr>
                <w:sz w:val="20"/>
                <w:szCs w:val="20"/>
              </w:rPr>
              <w:t>3,094,287</w:t>
            </w:r>
          </w:p>
        </w:tc>
        <w:tc>
          <w:tcPr>
            <w:tcW w:w="2340" w:type="dxa"/>
            <w:vAlign w:val="center"/>
          </w:tcPr>
          <w:p>
            <w:pPr>
              <w:pStyle w:val="15"/>
              <w:spacing w:before="0" w:after="0" w:line="240" w:lineRule="auto"/>
            </w:pPr>
            <w:r>
              <w:rPr>
                <w:sz w:val="20"/>
                <w:szCs w:val="20"/>
              </w:rPr>
              <w:t>27.46</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5</w:t>
            </w:r>
          </w:p>
        </w:tc>
        <w:tc>
          <w:tcPr>
            <w:tcW w:w="2340" w:type="dxa"/>
            <w:vAlign w:val="center"/>
          </w:tcPr>
          <w:p>
            <w:pPr>
              <w:pStyle w:val="15"/>
              <w:spacing w:before="0" w:after="0" w:line="240" w:lineRule="auto"/>
            </w:pPr>
            <w:r>
              <w:rPr>
                <w:sz w:val="20"/>
                <w:szCs w:val="20"/>
              </w:rPr>
              <w:t>Antimicrobial</w:t>
            </w:r>
          </w:p>
        </w:tc>
        <w:tc>
          <w:tcPr>
            <w:tcW w:w="2340" w:type="dxa"/>
            <w:vAlign w:val="center"/>
          </w:tcPr>
          <w:p>
            <w:pPr>
              <w:pStyle w:val="15"/>
              <w:spacing w:before="0" w:after="0" w:line="240" w:lineRule="auto"/>
            </w:pPr>
            <w:r>
              <w:rPr>
                <w:sz w:val="20"/>
                <w:szCs w:val="20"/>
              </w:rPr>
              <w:t>9,882,657</w:t>
            </w:r>
          </w:p>
        </w:tc>
        <w:tc>
          <w:tcPr>
            <w:tcW w:w="2340" w:type="dxa"/>
            <w:vAlign w:val="center"/>
          </w:tcPr>
          <w:p>
            <w:pPr>
              <w:pStyle w:val="15"/>
              <w:spacing w:before="0" w:after="0" w:line="240" w:lineRule="auto"/>
            </w:pPr>
            <w:r>
              <w:rPr>
                <w:sz w:val="20"/>
                <w:szCs w:val="20"/>
              </w:rPr>
              <w:t>87.69</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6</w:t>
            </w:r>
          </w:p>
        </w:tc>
        <w:tc>
          <w:tcPr>
            <w:tcW w:w="2340" w:type="dxa"/>
            <w:vAlign w:val="center"/>
          </w:tcPr>
          <w:p>
            <w:pPr>
              <w:pStyle w:val="15"/>
              <w:spacing w:before="0" w:after="0" w:line="240" w:lineRule="auto"/>
            </w:pPr>
            <w:r>
              <w:rPr>
                <w:sz w:val="20"/>
                <w:szCs w:val="20"/>
              </w:rPr>
              <w:t>Antimalarial (alternative)</w:t>
            </w:r>
          </w:p>
        </w:tc>
        <w:tc>
          <w:tcPr>
            <w:tcW w:w="2340" w:type="dxa"/>
            <w:vAlign w:val="center"/>
          </w:tcPr>
          <w:p>
            <w:pPr>
              <w:pStyle w:val="15"/>
              <w:spacing w:before="0" w:after="0" w:line="240" w:lineRule="auto"/>
            </w:pPr>
            <w:r>
              <w:rPr>
                <w:sz w:val="20"/>
                <w:szCs w:val="20"/>
              </w:rPr>
              <w:t>703,632</w:t>
            </w:r>
          </w:p>
        </w:tc>
        <w:tc>
          <w:tcPr>
            <w:tcW w:w="2340" w:type="dxa"/>
            <w:vAlign w:val="center"/>
          </w:tcPr>
          <w:p>
            <w:pPr>
              <w:pStyle w:val="15"/>
              <w:spacing w:before="0" w:after="0" w:line="240" w:lineRule="auto"/>
            </w:pPr>
            <w:r>
              <w:rPr>
                <w:sz w:val="20"/>
                <w:szCs w:val="20"/>
              </w:rPr>
              <w:t>6.24</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7</w:t>
            </w:r>
          </w:p>
        </w:tc>
        <w:tc>
          <w:tcPr>
            <w:tcW w:w="2340" w:type="dxa"/>
            <w:vAlign w:val="center"/>
          </w:tcPr>
          <w:p>
            <w:pPr>
              <w:pStyle w:val="15"/>
              <w:spacing w:before="0" w:after="0" w:line="240" w:lineRule="auto"/>
            </w:pPr>
            <w:r>
              <w:rPr>
                <w:sz w:val="20"/>
                <w:szCs w:val="20"/>
              </w:rPr>
              <w:t>Antimalarial (main)</w:t>
            </w:r>
          </w:p>
        </w:tc>
        <w:tc>
          <w:tcPr>
            <w:tcW w:w="2340" w:type="dxa"/>
            <w:vAlign w:val="center"/>
          </w:tcPr>
          <w:p>
            <w:pPr>
              <w:pStyle w:val="15"/>
              <w:spacing w:before="0" w:after="0" w:line="240" w:lineRule="auto"/>
            </w:pPr>
            <w:r>
              <w:rPr>
                <w:sz w:val="20"/>
                <w:szCs w:val="20"/>
              </w:rPr>
              <w:t>1,954,667</w:t>
            </w:r>
          </w:p>
        </w:tc>
        <w:tc>
          <w:tcPr>
            <w:tcW w:w="2340" w:type="dxa"/>
            <w:vAlign w:val="center"/>
          </w:tcPr>
          <w:p>
            <w:pPr>
              <w:pStyle w:val="15"/>
              <w:spacing w:before="0" w:after="0" w:line="240" w:lineRule="auto"/>
            </w:pPr>
            <w:r>
              <w:rPr>
                <w:sz w:val="20"/>
                <w:szCs w:val="20"/>
              </w:rPr>
              <w:t>17.34</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8</w:t>
            </w:r>
          </w:p>
        </w:tc>
        <w:tc>
          <w:tcPr>
            <w:tcW w:w="2340" w:type="dxa"/>
            <w:vAlign w:val="center"/>
          </w:tcPr>
          <w:p>
            <w:pPr>
              <w:pStyle w:val="15"/>
              <w:spacing w:before="0" w:after="0" w:line="240" w:lineRule="auto"/>
            </w:pPr>
            <w:r>
              <w:rPr>
                <w:sz w:val="20"/>
                <w:szCs w:val="20"/>
              </w:rPr>
              <w:t>Quorum sensing</w:t>
            </w:r>
          </w:p>
        </w:tc>
        <w:tc>
          <w:tcPr>
            <w:tcW w:w="2340" w:type="dxa"/>
            <w:vAlign w:val="center"/>
          </w:tcPr>
          <w:p>
            <w:pPr>
              <w:pStyle w:val="15"/>
              <w:spacing w:before="0" w:after="0" w:line="240" w:lineRule="auto"/>
            </w:pPr>
            <w:r>
              <w:rPr>
                <w:sz w:val="20"/>
                <w:szCs w:val="20"/>
              </w:rPr>
              <w:t>4,161,825</w:t>
            </w:r>
          </w:p>
        </w:tc>
        <w:tc>
          <w:tcPr>
            <w:tcW w:w="2340" w:type="dxa"/>
            <w:vAlign w:val="center"/>
          </w:tcPr>
          <w:p>
            <w:pPr>
              <w:pStyle w:val="15"/>
              <w:spacing w:before="0" w:after="0" w:line="240" w:lineRule="auto"/>
            </w:pPr>
            <w:r>
              <w:rPr>
                <w:sz w:val="20"/>
                <w:szCs w:val="20"/>
              </w:rPr>
              <w:t>36.93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9</w:t>
            </w:r>
          </w:p>
        </w:tc>
        <w:tc>
          <w:tcPr>
            <w:tcW w:w="2340" w:type="dxa"/>
            <w:vAlign w:val="center"/>
          </w:tcPr>
          <w:p>
            <w:pPr>
              <w:pStyle w:val="15"/>
              <w:spacing w:before="0" w:after="0" w:line="240" w:lineRule="auto"/>
            </w:pPr>
            <w:r>
              <w:rPr>
                <w:sz w:val="20"/>
                <w:szCs w:val="20"/>
              </w:rPr>
              <w:t>Anticancer (main)</w:t>
            </w:r>
          </w:p>
        </w:tc>
        <w:tc>
          <w:tcPr>
            <w:tcW w:w="2340" w:type="dxa"/>
            <w:vAlign w:val="center"/>
          </w:tcPr>
          <w:p>
            <w:pPr>
              <w:pStyle w:val="15"/>
              <w:spacing w:before="0" w:after="0" w:line="240" w:lineRule="auto"/>
            </w:pPr>
            <w:r>
              <w:rPr>
                <w:sz w:val="20"/>
                <w:szCs w:val="20"/>
              </w:rPr>
              <w:t>2,404,084</w:t>
            </w:r>
          </w:p>
        </w:tc>
        <w:tc>
          <w:tcPr>
            <w:tcW w:w="2340" w:type="dxa"/>
            <w:vAlign w:val="center"/>
          </w:tcPr>
          <w:p>
            <w:pPr>
              <w:pStyle w:val="15"/>
              <w:spacing w:before="0" w:after="0" w:line="240" w:lineRule="auto"/>
            </w:pPr>
            <w:r>
              <w:rPr>
                <w:sz w:val="20"/>
                <w:szCs w:val="20"/>
              </w:rPr>
              <w:t>21.33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10</w:t>
            </w:r>
          </w:p>
        </w:tc>
        <w:tc>
          <w:tcPr>
            <w:tcW w:w="2340" w:type="dxa"/>
            <w:vAlign w:val="center"/>
          </w:tcPr>
          <w:p>
            <w:pPr>
              <w:pStyle w:val="15"/>
              <w:spacing w:before="0" w:after="0" w:line="240" w:lineRule="auto"/>
            </w:pPr>
            <w:r>
              <w:rPr>
                <w:sz w:val="20"/>
                <w:szCs w:val="20"/>
              </w:rPr>
              <w:t>Anticancer (alternative)</w:t>
            </w:r>
          </w:p>
        </w:tc>
        <w:tc>
          <w:tcPr>
            <w:tcW w:w="2340" w:type="dxa"/>
            <w:vAlign w:val="center"/>
          </w:tcPr>
          <w:p>
            <w:pPr>
              <w:pStyle w:val="15"/>
              <w:spacing w:before="0" w:after="0" w:line="240" w:lineRule="auto"/>
            </w:pPr>
            <w:r>
              <w:rPr>
                <w:sz w:val="20"/>
                <w:szCs w:val="20"/>
              </w:rPr>
              <w:t>1,979,643</w:t>
            </w:r>
          </w:p>
        </w:tc>
        <w:tc>
          <w:tcPr>
            <w:tcW w:w="2340" w:type="dxa"/>
            <w:vAlign w:val="center"/>
          </w:tcPr>
          <w:p>
            <w:pPr>
              <w:pStyle w:val="15"/>
              <w:spacing w:before="0" w:after="0" w:line="240" w:lineRule="auto"/>
            </w:pPr>
            <w:r>
              <w:rPr>
                <w:sz w:val="20"/>
                <w:szCs w:val="20"/>
              </w:rPr>
              <w:t>17.57</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11</w:t>
            </w:r>
          </w:p>
        </w:tc>
        <w:tc>
          <w:tcPr>
            <w:tcW w:w="2340" w:type="dxa"/>
            <w:vAlign w:val="center"/>
          </w:tcPr>
          <w:p>
            <w:pPr>
              <w:pStyle w:val="15"/>
              <w:spacing w:before="0" w:after="0" w:line="240" w:lineRule="auto"/>
            </w:pPr>
            <w:r>
              <w:rPr>
                <w:sz w:val="20"/>
                <w:szCs w:val="20"/>
              </w:rPr>
              <w:t>Anti-MRSA</w:t>
            </w:r>
          </w:p>
        </w:tc>
        <w:tc>
          <w:tcPr>
            <w:tcW w:w="2340" w:type="dxa"/>
            <w:vAlign w:val="center"/>
          </w:tcPr>
          <w:p>
            <w:pPr>
              <w:pStyle w:val="15"/>
              <w:spacing w:before="0" w:after="0" w:line="240" w:lineRule="auto"/>
            </w:pPr>
            <w:r>
              <w:rPr>
                <w:sz w:val="20"/>
                <w:szCs w:val="20"/>
              </w:rPr>
              <w:t>769,955</w:t>
            </w:r>
          </w:p>
        </w:tc>
        <w:tc>
          <w:tcPr>
            <w:tcW w:w="2340" w:type="dxa"/>
            <w:vAlign w:val="center"/>
          </w:tcPr>
          <w:p>
            <w:pPr>
              <w:pStyle w:val="15"/>
              <w:spacing w:before="0" w:after="0" w:line="240" w:lineRule="auto"/>
            </w:pPr>
            <w:r>
              <w:rPr>
                <w:sz w:val="20"/>
                <w:szCs w:val="20"/>
              </w:rPr>
              <w:t>6.83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12</w:t>
            </w:r>
          </w:p>
        </w:tc>
        <w:tc>
          <w:tcPr>
            <w:tcW w:w="2340" w:type="dxa"/>
            <w:vAlign w:val="center"/>
          </w:tcPr>
          <w:p>
            <w:pPr>
              <w:pStyle w:val="15"/>
              <w:spacing w:before="0" w:after="0" w:line="240" w:lineRule="auto"/>
            </w:pPr>
            <w:r>
              <w:rPr>
                <w:sz w:val="20"/>
                <w:szCs w:val="20"/>
              </w:rPr>
              <w:t>TTCA</w:t>
            </w:r>
          </w:p>
        </w:tc>
        <w:tc>
          <w:tcPr>
            <w:tcW w:w="2340" w:type="dxa"/>
            <w:vAlign w:val="center"/>
          </w:tcPr>
          <w:p>
            <w:pPr>
              <w:pStyle w:val="15"/>
              <w:spacing w:before="0" w:after="0" w:line="240" w:lineRule="auto"/>
            </w:pPr>
            <w:r>
              <w:rPr>
                <w:sz w:val="20"/>
                <w:szCs w:val="20"/>
              </w:rPr>
              <w:t>2,618,849</w:t>
            </w:r>
          </w:p>
        </w:tc>
        <w:tc>
          <w:tcPr>
            <w:tcW w:w="2340" w:type="dxa"/>
            <w:vAlign w:val="center"/>
          </w:tcPr>
          <w:p>
            <w:pPr>
              <w:pStyle w:val="15"/>
              <w:spacing w:before="0" w:after="0" w:line="240" w:lineRule="auto"/>
            </w:pPr>
            <w:r>
              <w:rPr>
                <w:sz w:val="20"/>
                <w:szCs w:val="20"/>
              </w:rPr>
              <w:t>23.24</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13</w:t>
            </w:r>
          </w:p>
        </w:tc>
        <w:tc>
          <w:tcPr>
            <w:tcW w:w="2340" w:type="dxa"/>
            <w:vAlign w:val="center"/>
          </w:tcPr>
          <w:p>
            <w:pPr>
              <w:pStyle w:val="15"/>
              <w:spacing w:before="0" w:after="0" w:line="240" w:lineRule="auto"/>
            </w:pPr>
            <w:r>
              <w:rPr>
                <w:sz w:val="20"/>
                <w:szCs w:val="20"/>
              </w:rPr>
              <w:t>BBB (BBP)</w:t>
            </w:r>
          </w:p>
        </w:tc>
        <w:tc>
          <w:tcPr>
            <w:tcW w:w="2340" w:type="dxa"/>
            <w:vAlign w:val="center"/>
          </w:tcPr>
          <w:p>
            <w:pPr>
              <w:pStyle w:val="15"/>
              <w:spacing w:before="0" w:after="0" w:line="240" w:lineRule="auto"/>
            </w:pPr>
            <w:r>
              <w:rPr>
                <w:sz w:val="20"/>
                <w:szCs w:val="20"/>
              </w:rPr>
              <w:t>1,095,861</w:t>
            </w:r>
          </w:p>
        </w:tc>
        <w:tc>
          <w:tcPr>
            <w:tcW w:w="2340" w:type="dxa"/>
            <w:vAlign w:val="center"/>
          </w:tcPr>
          <w:p>
            <w:pPr>
              <w:pStyle w:val="15"/>
              <w:spacing w:before="0" w:after="0" w:line="240" w:lineRule="auto"/>
            </w:pPr>
            <w:r>
              <w:rPr>
                <w:sz w:val="20"/>
                <w:szCs w:val="20"/>
              </w:rPr>
              <w:t>9.72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14</w:t>
            </w:r>
          </w:p>
        </w:tc>
        <w:tc>
          <w:tcPr>
            <w:tcW w:w="2340" w:type="dxa"/>
            <w:vAlign w:val="center"/>
          </w:tcPr>
          <w:p>
            <w:pPr>
              <w:pStyle w:val="15"/>
              <w:spacing w:before="0" w:after="0" w:line="240" w:lineRule="auto"/>
            </w:pPr>
            <w:r>
              <w:rPr>
                <w:sz w:val="20"/>
                <w:szCs w:val="20"/>
              </w:rPr>
              <w:t>Anti-parasitic (APP)</w:t>
            </w:r>
          </w:p>
        </w:tc>
        <w:tc>
          <w:tcPr>
            <w:tcW w:w="2340" w:type="dxa"/>
            <w:vAlign w:val="center"/>
          </w:tcPr>
          <w:p>
            <w:pPr>
              <w:pStyle w:val="15"/>
              <w:spacing w:before="0" w:after="0" w:line="240" w:lineRule="auto"/>
            </w:pPr>
            <w:r>
              <w:rPr>
                <w:sz w:val="20"/>
                <w:szCs w:val="20"/>
              </w:rPr>
              <w:t>5,517,278</w:t>
            </w:r>
          </w:p>
        </w:tc>
        <w:tc>
          <w:tcPr>
            <w:tcW w:w="2340" w:type="dxa"/>
            <w:vAlign w:val="center"/>
          </w:tcPr>
          <w:p>
            <w:pPr>
              <w:pStyle w:val="15"/>
              <w:spacing w:before="0" w:after="0" w:line="240" w:lineRule="auto"/>
            </w:pPr>
            <w:r>
              <w:rPr>
                <w:sz w:val="20"/>
                <w:szCs w:val="20"/>
              </w:rPr>
              <w:t>48.96</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15</w:t>
            </w:r>
          </w:p>
        </w:tc>
        <w:tc>
          <w:tcPr>
            <w:tcW w:w="2340" w:type="dxa"/>
            <w:vAlign w:val="center"/>
          </w:tcPr>
          <w:p>
            <w:pPr>
              <w:pStyle w:val="15"/>
              <w:spacing w:before="0" w:after="0" w:line="240" w:lineRule="auto"/>
            </w:pPr>
            <w:r>
              <w:rPr>
                <w:sz w:val="20"/>
                <w:szCs w:val="20"/>
              </w:rPr>
              <w:t>NeuroPred</w:t>
            </w:r>
          </w:p>
        </w:tc>
        <w:tc>
          <w:tcPr>
            <w:tcW w:w="2340" w:type="dxa"/>
            <w:vAlign w:val="center"/>
          </w:tcPr>
          <w:p>
            <w:pPr>
              <w:pStyle w:val="15"/>
              <w:spacing w:before="0" w:after="0" w:line="240" w:lineRule="auto"/>
            </w:pPr>
            <w:r>
              <w:rPr>
                <w:sz w:val="20"/>
                <w:szCs w:val="20"/>
              </w:rPr>
              <w:t>1,690,436</w:t>
            </w:r>
          </w:p>
        </w:tc>
        <w:tc>
          <w:tcPr>
            <w:tcW w:w="2340" w:type="dxa"/>
            <w:vAlign w:val="center"/>
          </w:tcPr>
          <w:p>
            <w:pPr>
              <w:pStyle w:val="15"/>
              <w:spacing w:before="0" w:after="0" w:line="240" w:lineRule="auto"/>
            </w:pPr>
            <w:r>
              <w:rPr>
                <w:sz w:val="20"/>
                <w:szCs w:val="20"/>
              </w:rPr>
              <w:t>15.00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16</w:t>
            </w:r>
          </w:p>
        </w:tc>
        <w:tc>
          <w:tcPr>
            <w:tcW w:w="2340" w:type="dxa"/>
            <w:vAlign w:val="center"/>
          </w:tcPr>
          <w:p>
            <w:pPr>
              <w:pStyle w:val="15"/>
              <w:spacing w:before="0" w:after="0" w:line="240" w:lineRule="auto"/>
            </w:pPr>
            <w:r>
              <w:rPr>
                <w:sz w:val="20"/>
                <w:szCs w:val="20"/>
              </w:rPr>
              <w:t>Antibacterial</w:t>
            </w:r>
          </w:p>
        </w:tc>
        <w:tc>
          <w:tcPr>
            <w:tcW w:w="2340" w:type="dxa"/>
            <w:vAlign w:val="center"/>
          </w:tcPr>
          <w:p>
            <w:pPr>
              <w:pStyle w:val="15"/>
              <w:spacing w:before="0" w:after="0" w:line="240" w:lineRule="auto"/>
            </w:pPr>
            <w:r>
              <w:rPr>
                <w:sz w:val="20"/>
                <w:szCs w:val="20"/>
              </w:rPr>
              <w:t>2,658,234</w:t>
            </w:r>
          </w:p>
        </w:tc>
        <w:tc>
          <w:tcPr>
            <w:tcW w:w="2340" w:type="dxa"/>
            <w:vAlign w:val="center"/>
          </w:tcPr>
          <w:p>
            <w:pPr>
              <w:pStyle w:val="15"/>
              <w:spacing w:before="0" w:after="0" w:line="240" w:lineRule="auto"/>
            </w:pPr>
            <w:r>
              <w:rPr>
                <w:sz w:val="20"/>
                <w:szCs w:val="20"/>
              </w:rPr>
              <w:t>23.59</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17</w:t>
            </w:r>
          </w:p>
        </w:tc>
        <w:tc>
          <w:tcPr>
            <w:tcW w:w="2340" w:type="dxa"/>
            <w:vAlign w:val="center"/>
          </w:tcPr>
          <w:p>
            <w:pPr>
              <w:pStyle w:val="15"/>
              <w:spacing w:before="0" w:after="0" w:line="240" w:lineRule="auto"/>
            </w:pPr>
            <w:r>
              <w:rPr>
                <w:sz w:val="20"/>
                <w:szCs w:val="20"/>
              </w:rPr>
              <w:t>Antifungal</w:t>
            </w:r>
          </w:p>
        </w:tc>
        <w:tc>
          <w:tcPr>
            <w:tcW w:w="2340" w:type="dxa"/>
            <w:vAlign w:val="center"/>
          </w:tcPr>
          <w:p>
            <w:pPr>
              <w:pStyle w:val="15"/>
              <w:spacing w:before="0" w:after="0" w:line="240" w:lineRule="auto"/>
            </w:pPr>
            <w:r>
              <w:rPr>
                <w:sz w:val="20"/>
                <w:szCs w:val="20"/>
              </w:rPr>
              <w:t>3,128,057</w:t>
            </w:r>
          </w:p>
        </w:tc>
        <w:tc>
          <w:tcPr>
            <w:tcW w:w="2340" w:type="dxa"/>
            <w:vAlign w:val="center"/>
          </w:tcPr>
          <w:p>
            <w:pPr>
              <w:pStyle w:val="15"/>
              <w:spacing w:before="0" w:after="0" w:line="240" w:lineRule="auto"/>
            </w:pPr>
            <w:r>
              <w:rPr>
                <w:sz w:val="20"/>
                <w:szCs w:val="20"/>
              </w:rPr>
              <w:t>27.76</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18</w:t>
            </w:r>
          </w:p>
        </w:tc>
        <w:tc>
          <w:tcPr>
            <w:tcW w:w="2340" w:type="dxa"/>
            <w:vAlign w:val="center"/>
          </w:tcPr>
          <w:p>
            <w:pPr>
              <w:pStyle w:val="15"/>
              <w:spacing w:before="0" w:after="0" w:line="240" w:lineRule="auto"/>
            </w:pPr>
            <w:r>
              <w:rPr>
                <w:sz w:val="20"/>
                <w:szCs w:val="20"/>
              </w:rPr>
              <w:t>Antiviral</w:t>
            </w:r>
          </w:p>
        </w:tc>
        <w:tc>
          <w:tcPr>
            <w:tcW w:w="2340" w:type="dxa"/>
            <w:vAlign w:val="center"/>
          </w:tcPr>
          <w:p>
            <w:pPr>
              <w:pStyle w:val="15"/>
              <w:spacing w:before="0" w:after="0" w:line="240" w:lineRule="auto"/>
            </w:pPr>
            <w:r>
              <w:rPr>
                <w:sz w:val="20"/>
                <w:szCs w:val="20"/>
              </w:rPr>
              <w:t>3,362,295</w:t>
            </w:r>
          </w:p>
        </w:tc>
        <w:tc>
          <w:tcPr>
            <w:tcW w:w="2340" w:type="dxa"/>
            <w:vAlign w:val="center"/>
          </w:tcPr>
          <w:p>
            <w:pPr>
              <w:pStyle w:val="15"/>
              <w:spacing w:before="0" w:after="0" w:line="240" w:lineRule="auto"/>
            </w:pPr>
            <w:r>
              <w:rPr>
                <w:sz w:val="20"/>
                <w:szCs w:val="20"/>
              </w:rPr>
              <w:t>29.83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19</w:t>
            </w:r>
          </w:p>
        </w:tc>
        <w:tc>
          <w:tcPr>
            <w:tcW w:w="2340" w:type="dxa"/>
            <w:vAlign w:val="center"/>
          </w:tcPr>
          <w:p>
            <w:pPr>
              <w:pStyle w:val="15"/>
              <w:spacing w:before="0" w:after="0" w:line="240" w:lineRule="auto"/>
            </w:pPr>
            <w:r>
              <w:rPr>
                <w:sz w:val="20"/>
                <w:szCs w:val="20"/>
              </w:rPr>
              <w:t>Toxicity</w:t>
            </w:r>
          </w:p>
        </w:tc>
        <w:tc>
          <w:tcPr>
            <w:tcW w:w="2340" w:type="dxa"/>
            <w:vAlign w:val="center"/>
          </w:tcPr>
          <w:p>
            <w:pPr>
              <w:pStyle w:val="15"/>
              <w:spacing w:before="0" w:after="0" w:line="240" w:lineRule="auto"/>
            </w:pPr>
            <w:r>
              <w:rPr>
                <w:sz w:val="20"/>
                <w:szCs w:val="20"/>
              </w:rPr>
              <w:t>1,725,268</w:t>
            </w:r>
          </w:p>
        </w:tc>
        <w:tc>
          <w:tcPr>
            <w:tcW w:w="2340" w:type="dxa"/>
            <w:vAlign w:val="center"/>
          </w:tcPr>
          <w:p>
            <w:pPr>
              <w:pStyle w:val="15"/>
              <w:spacing w:before="0" w:after="0" w:line="240" w:lineRule="auto"/>
            </w:pPr>
            <w:r>
              <w:rPr>
                <w:sz w:val="20"/>
                <w:szCs w:val="20"/>
              </w:rPr>
              <w:t>15.31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20</w:t>
            </w:r>
          </w:p>
        </w:tc>
        <w:tc>
          <w:tcPr>
            <w:tcW w:w="2340" w:type="dxa"/>
            <w:vAlign w:val="center"/>
          </w:tcPr>
          <w:p>
            <w:pPr>
              <w:pStyle w:val="15"/>
              <w:spacing w:before="0" w:after="0" w:line="240" w:lineRule="auto"/>
            </w:pPr>
            <w:r>
              <w:rPr>
                <w:sz w:val="20"/>
                <w:szCs w:val="20"/>
              </w:rPr>
              <w:t>Antioxidant FRS</w:t>
            </w:r>
          </w:p>
        </w:tc>
        <w:tc>
          <w:tcPr>
            <w:tcW w:w="2340" w:type="dxa"/>
            <w:vAlign w:val="center"/>
          </w:tcPr>
          <w:p>
            <w:pPr>
              <w:pStyle w:val="15"/>
              <w:spacing w:before="0" w:after="0" w:line="240" w:lineRule="auto"/>
            </w:pPr>
            <w:r>
              <w:rPr>
                <w:sz w:val="20"/>
                <w:szCs w:val="20"/>
              </w:rPr>
              <w:t>2,643,538</w:t>
            </w:r>
          </w:p>
        </w:tc>
        <w:tc>
          <w:tcPr>
            <w:tcW w:w="2340" w:type="dxa"/>
            <w:vAlign w:val="center"/>
          </w:tcPr>
          <w:p>
            <w:pPr>
              <w:pStyle w:val="15"/>
              <w:spacing w:before="0" w:after="0" w:line="240" w:lineRule="auto"/>
            </w:pPr>
            <w:r>
              <w:rPr>
                <w:sz w:val="20"/>
                <w:szCs w:val="20"/>
              </w:rPr>
              <w:t>23.46</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21</w:t>
            </w:r>
          </w:p>
        </w:tc>
        <w:tc>
          <w:tcPr>
            <w:tcW w:w="2340" w:type="dxa"/>
            <w:vAlign w:val="center"/>
          </w:tcPr>
          <w:p>
            <w:pPr>
              <w:pStyle w:val="15"/>
              <w:spacing w:before="0" w:after="0" w:line="240" w:lineRule="auto"/>
            </w:pPr>
            <w:r>
              <w:rPr>
                <w:sz w:val="20"/>
                <w:szCs w:val="20"/>
              </w:rPr>
              <w:t>Allergenicity</w:t>
            </w:r>
          </w:p>
        </w:tc>
        <w:tc>
          <w:tcPr>
            <w:tcW w:w="2340" w:type="dxa"/>
            <w:vAlign w:val="center"/>
          </w:tcPr>
          <w:p>
            <w:pPr>
              <w:pStyle w:val="15"/>
              <w:spacing w:before="0" w:after="0" w:line="240" w:lineRule="auto"/>
            </w:pPr>
            <w:r>
              <w:rPr>
                <w:sz w:val="20"/>
                <w:szCs w:val="20"/>
              </w:rPr>
              <w:t>1,635,019</w:t>
            </w:r>
          </w:p>
        </w:tc>
        <w:tc>
          <w:tcPr>
            <w:tcW w:w="2340" w:type="dxa"/>
            <w:vAlign w:val="center"/>
          </w:tcPr>
          <w:p>
            <w:pPr>
              <w:pStyle w:val="15"/>
              <w:spacing w:before="0" w:after="0" w:line="240" w:lineRule="auto"/>
            </w:pPr>
            <w:r>
              <w:rPr>
                <w:sz w:val="20"/>
                <w:szCs w:val="20"/>
              </w:rPr>
              <w:t>14.51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22</w:t>
            </w:r>
          </w:p>
        </w:tc>
        <w:tc>
          <w:tcPr>
            <w:tcW w:w="2340" w:type="dxa"/>
            <w:vAlign w:val="center"/>
          </w:tcPr>
          <w:p>
            <w:pPr>
              <w:pStyle w:val="15"/>
              <w:spacing w:before="0" w:after="0" w:line="240" w:lineRule="auto"/>
            </w:pPr>
            <w:r>
              <w:rPr>
                <w:sz w:val="20"/>
                <w:szCs w:val="20"/>
              </w:rPr>
              <w:t>Cell-penetrating peptide (CPP)</w:t>
            </w:r>
          </w:p>
        </w:tc>
        <w:tc>
          <w:tcPr>
            <w:tcW w:w="2340" w:type="dxa"/>
            <w:vAlign w:val="center"/>
          </w:tcPr>
          <w:p>
            <w:pPr>
              <w:pStyle w:val="15"/>
              <w:spacing w:before="0" w:after="0" w:line="240" w:lineRule="auto"/>
            </w:pPr>
            <w:r>
              <w:rPr>
                <w:sz w:val="20"/>
                <w:szCs w:val="20"/>
              </w:rPr>
              <w:t>1,029,770</w:t>
            </w:r>
          </w:p>
        </w:tc>
        <w:tc>
          <w:tcPr>
            <w:tcW w:w="2340" w:type="dxa"/>
            <w:vAlign w:val="center"/>
          </w:tcPr>
          <w:p>
            <w:pPr>
              <w:pStyle w:val="15"/>
              <w:spacing w:before="0" w:after="0" w:line="240" w:lineRule="auto"/>
            </w:pPr>
            <w:r>
              <w:rPr>
                <w:sz w:val="20"/>
                <w:szCs w:val="20"/>
              </w:rPr>
              <w:t>9.14</w:t>
            </w:r>
          </w:p>
        </w:tc>
      </w:tr>
    </w:tbl>
    <w:p>
      <w:pPr>
        <w:spacing w:after="40"/>
      </w:pPr>
    </w:p>
    <w:p>
      <w:pPr>
        <w:pStyle w:val="6"/>
      </w:pPr>
      <w:r>
        <w:rPr>
          <w:b/>
        </w:rPr>
        <w:t>Table 3. Score-rate difference between libraries (periodontitis % minus healthy %). BBB is shown for reference.</w:t>
      </w:r>
    </w:p>
    <w:tbl>
      <w:tblPr>
        <w:tblStyle w:val="16"/>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70" w:type="dxa"/>
          <w:left w:w="80" w:type="dxa"/>
          <w:bottom w:w="70" w:type="dxa"/>
          <w:right w:w="80" w:type="dxa"/>
        </w:tblCellMar>
      </w:tblPr>
      <w:tblGrid>
        <w:gridCol w:w="2297"/>
        <w:gridCol w:w="2297"/>
        <w:gridCol w:w="2297"/>
        <w:gridCol w:w="2297"/>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rPr>
          <w:tblHeader/>
        </w:trPr>
        <w:tc>
          <w:tcPr>
            <w:tcW w:w="2340" w:type="dxa"/>
            <w:tcBorders>
              <w:bottom w:val="single" w:color="000000" w:sz="8" w:space="0"/>
            </w:tcBorders>
            <w:vAlign w:val="center"/>
          </w:tcPr>
          <w:p>
            <w:pPr>
              <w:pStyle w:val="15"/>
              <w:spacing w:before="0" w:after="0" w:line="240" w:lineRule="auto"/>
            </w:pPr>
            <w:r>
              <w:rPr>
                <w:sz w:val="20"/>
                <w:szCs w:val="20"/>
              </w:rPr>
              <w:t>Task</w:t>
            </w:r>
          </w:p>
        </w:tc>
        <w:tc>
          <w:tcPr>
            <w:tcW w:w="2340" w:type="dxa"/>
            <w:tcBorders>
              <w:bottom w:val="single" w:color="000000" w:sz="8" w:space="0"/>
            </w:tcBorders>
            <w:vAlign w:val="center"/>
          </w:tcPr>
          <w:p>
            <w:pPr>
              <w:pStyle w:val="15"/>
              <w:spacing w:before="0" w:after="0" w:line="240" w:lineRule="auto"/>
            </w:pPr>
            <w:r>
              <w:rPr>
                <w:sz w:val="20"/>
                <w:szCs w:val="20"/>
              </w:rPr>
              <w:t>Healthy %</w:t>
            </w:r>
          </w:p>
        </w:tc>
        <w:tc>
          <w:tcPr>
            <w:tcW w:w="2340" w:type="dxa"/>
            <w:tcBorders>
              <w:bottom w:val="single" w:color="000000" w:sz="8" w:space="0"/>
            </w:tcBorders>
            <w:vAlign w:val="center"/>
          </w:tcPr>
          <w:p>
            <w:pPr>
              <w:pStyle w:val="15"/>
              <w:spacing w:before="0" w:after="0" w:line="240" w:lineRule="auto"/>
            </w:pPr>
            <w:r>
              <w:rPr>
                <w:sz w:val="20"/>
                <w:szCs w:val="20"/>
              </w:rPr>
              <w:t>Periodontitis %</w:t>
            </w:r>
          </w:p>
        </w:tc>
        <w:tc>
          <w:tcPr>
            <w:tcW w:w="2340" w:type="dxa"/>
            <w:tcBorders>
              <w:bottom w:val="single" w:color="000000" w:sz="8" w:space="0"/>
            </w:tcBorders>
            <w:vAlign w:val="center"/>
          </w:tcPr>
          <w:p>
            <w:pPr>
              <w:pStyle w:val="15"/>
              <w:spacing w:before="0" w:after="0" w:line="240" w:lineRule="auto"/>
            </w:pPr>
            <w:r>
              <w:rPr>
                <w:sz w:val="20"/>
                <w:szCs w:val="20"/>
              </w:rPr>
              <w:t>Δ pp</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Quorum sensing</w:t>
            </w:r>
          </w:p>
        </w:tc>
        <w:tc>
          <w:tcPr>
            <w:tcW w:w="2340" w:type="dxa"/>
            <w:vAlign w:val="center"/>
          </w:tcPr>
          <w:p>
            <w:pPr>
              <w:pStyle w:val="15"/>
              <w:spacing w:before="0" w:after="0" w:line="240" w:lineRule="auto"/>
            </w:pPr>
            <w:r>
              <w:rPr>
                <w:sz w:val="20"/>
                <w:szCs w:val="20"/>
              </w:rPr>
              <w:t>36.93</w:t>
            </w:r>
          </w:p>
        </w:tc>
        <w:tc>
          <w:tcPr>
            <w:tcW w:w="2340" w:type="dxa"/>
            <w:vAlign w:val="center"/>
          </w:tcPr>
          <w:p>
            <w:pPr>
              <w:pStyle w:val="15"/>
              <w:spacing w:before="0" w:after="0" w:line="240" w:lineRule="auto"/>
            </w:pPr>
            <w:r>
              <w:rPr>
                <w:sz w:val="20"/>
                <w:szCs w:val="20"/>
              </w:rPr>
              <w:t>38.32</w:t>
            </w:r>
          </w:p>
        </w:tc>
        <w:tc>
          <w:tcPr>
            <w:tcW w:w="2340" w:type="dxa"/>
            <w:vAlign w:val="center"/>
          </w:tcPr>
          <w:p>
            <w:pPr>
              <w:pStyle w:val="15"/>
              <w:spacing w:before="0" w:after="0" w:line="240" w:lineRule="auto"/>
            </w:pPr>
            <w:r>
              <w:rPr>
                <w:sz w:val="20"/>
                <w:szCs w:val="20"/>
              </w:rPr>
              <w:t>+1.39</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Umami</w:t>
            </w:r>
          </w:p>
        </w:tc>
        <w:tc>
          <w:tcPr>
            <w:tcW w:w="2340" w:type="dxa"/>
            <w:vAlign w:val="center"/>
          </w:tcPr>
          <w:p>
            <w:pPr>
              <w:pStyle w:val="15"/>
              <w:spacing w:before="0" w:after="0" w:line="240" w:lineRule="auto"/>
            </w:pPr>
            <w:r>
              <w:rPr>
                <w:sz w:val="20"/>
                <w:szCs w:val="20"/>
              </w:rPr>
              <w:t>27.46</w:t>
            </w:r>
          </w:p>
        </w:tc>
        <w:tc>
          <w:tcPr>
            <w:tcW w:w="2340" w:type="dxa"/>
            <w:vAlign w:val="center"/>
          </w:tcPr>
          <w:p>
            <w:pPr>
              <w:pStyle w:val="15"/>
              <w:spacing w:before="0" w:after="0" w:line="240" w:lineRule="auto"/>
            </w:pPr>
            <w:r>
              <w:rPr>
                <w:sz w:val="20"/>
                <w:szCs w:val="20"/>
              </w:rPr>
              <w:t>26.45</w:t>
            </w:r>
          </w:p>
        </w:tc>
        <w:tc>
          <w:tcPr>
            <w:tcW w:w="2340" w:type="dxa"/>
            <w:vAlign w:val="center"/>
          </w:tcPr>
          <w:p>
            <w:pPr>
              <w:pStyle w:val="15"/>
              <w:spacing w:before="0" w:after="0" w:line="240" w:lineRule="auto"/>
            </w:pPr>
            <w:r>
              <w:rPr>
                <w:sz w:val="20"/>
                <w:szCs w:val="20"/>
              </w:rPr>
              <w:t>−1.00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Anticancer (main)</w:t>
            </w:r>
          </w:p>
        </w:tc>
        <w:tc>
          <w:tcPr>
            <w:tcW w:w="2340" w:type="dxa"/>
            <w:vAlign w:val="center"/>
          </w:tcPr>
          <w:p>
            <w:pPr>
              <w:pStyle w:val="15"/>
              <w:spacing w:before="0" w:after="0" w:line="240" w:lineRule="auto"/>
            </w:pPr>
            <w:r>
              <w:rPr>
                <w:sz w:val="20"/>
                <w:szCs w:val="20"/>
              </w:rPr>
              <w:t>21.33</w:t>
            </w:r>
          </w:p>
        </w:tc>
        <w:tc>
          <w:tcPr>
            <w:tcW w:w="2340" w:type="dxa"/>
            <w:vAlign w:val="center"/>
          </w:tcPr>
          <w:p>
            <w:pPr>
              <w:pStyle w:val="15"/>
              <w:spacing w:before="0" w:after="0" w:line="240" w:lineRule="auto"/>
            </w:pPr>
            <w:r>
              <w:rPr>
                <w:sz w:val="20"/>
                <w:szCs w:val="20"/>
              </w:rPr>
              <w:t>20.11</w:t>
            </w:r>
          </w:p>
        </w:tc>
        <w:tc>
          <w:tcPr>
            <w:tcW w:w="2340" w:type="dxa"/>
            <w:vAlign w:val="center"/>
          </w:tcPr>
          <w:p>
            <w:pPr>
              <w:pStyle w:val="15"/>
              <w:spacing w:before="0" w:after="0" w:line="240" w:lineRule="auto"/>
            </w:pPr>
            <w:r>
              <w:rPr>
                <w:sz w:val="20"/>
                <w:szCs w:val="20"/>
              </w:rPr>
              <w:t>−1.22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Cell-penetrating peptide (CPP)</w:t>
            </w:r>
          </w:p>
        </w:tc>
        <w:tc>
          <w:tcPr>
            <w:tcW w:w="2340" w:type="dxa"/>
            <w:vAlign w:val="center"/>
          </w:tcPr>
          <w:p>
            <w:pPr>
              <w:pStyle w:val="15"/>
              <w:spacing w:before="0" w:after="0" w:line="240" w:lineRule="auto"/>
            </w:pPr>
            <w:r>
              <w:rPr>
                <w:sz w:val="20"/>
                <w:szCs w:val="20"/>
              </w:rPr>
              <w:t>9.14</w:t>
            </w:r>
          </w:p>
        </w:tc>
        <w:tc>
          <w:tcPr>
            <w:tcW w:w="2340" w:type="dxa"/>
            <w:vAlign w:val="center"/>
          </w:tcPr>
          <w:p>
            <w:pPr>
              <w:pStyle w:val="15"/>
              <w:spacing w:before="0" w:after="0" w:line="240" w:lineRule="auto"/>
            </w:pPr>
            <w:r>
              <w:rPr>
                <w:sz w:val="20"/>
                <w:szCs w:val="20"/>
              </w:rPr>
              <w:t>7.90</w:t>
            </w:r>
          </w:p>
        </w:tc>
        <w:tc>
          <w:tcPr>
            <w:tcW w:w="2340" w:type="dxa"/>
            <w:vAlign w:val="center"/>
          </w:tcPr>
          <w:p>
            <w:pPr>
              <w:pStyle w:val="15"/>
              <w:spacing w:before="0" w:after="0" w:line="240" w:lineRule="auto"/>
            </w:pPr>
            <w:r>
              <w:rPr>
                <w:sz w:val="20"/>
                <w:szCs w:val="20"/>
              </w:rPr>
              <w:t>−1.24</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Antibacterial</w:t>
            </w:r>
          </w:p>
        </w:tc>
        <w:tc>
          <w:tcPr>
            <w:tcW w:w="2340" w:type="dxa"/>
            <w:vAlign w:val="center"/>
          </w:tcPr>
          <w:p>
            <w:pPr>
              <w:pStyle w:val="15"/>
              <w:spacing w:before="0" w:after="0" w:line="240" w:lineRule="auto"/>
            </w:pPr>
            <w:r>
              <w:rPr>
                <w:sz w:val="20"/>
                <w:szCs w:val="20"/>
              </w:rPr>
              <w:t>23.59</w:t>
            </w:r>
          </w:p>
        </w:tc>
        <w:tc>
          <w:tcPr>
            <w:tcW w:w="2340" w:type="dxa"/>
            <w:vAlign w:val="center"/>
          </w:tcPr>
          <w:p>
            <w:pPr>
              <w:pStyle w:val="15"/>
              <w:spacing w:before="0" w:after="0" w:line="240" w:lineRule="auto"/>
            </w:pPr>
            <w:r>
              <w:rPr>
                <w:sz w:val="20"/>
                <w:szCs w:val="20"/>
              </w:rPr>
              <w:t>22.16</w:t>
            </w:r>
          </w:p>
        </w:tc>
        <w:tc>
          <w:tcPr>
            <w:tcW w:w="2340" w:type="dxa"/>
            <w:vAlign w:val="center"/>
          </w:tcPr>
          <w:p>
            <w:pPr>
              <w:pStyle w:val="15"/>
              <w:spacing w:before="0" w:after="0" w:line="240" w:lineRule="auto"/>
            </w:pPr>
            <w:r>
              <w:rPr>
                <w:sz w:val="20"/>
                <w:szCs w:val="20"/>
              </w:rPr>
              <w:t>−1.42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Antiviral</w:t>
            </w:r>
          </w:p>
        </w:tc>
        <w:tc>
          <w:tcPr>
            <w:tcW w:w="2340" w:type="dxa"/>
            <w:vAlign w:val="center"/>
          </w:tcPr>
          <w:p>
            <w:pPr>
              <w:pStyle w:val="15"/>
              <w:spacing w:before="0" w:after="0" w:line="240" w:lineRule="auto"/>
            </w:pPr>
            <w:r>
              <w:rPr>
                <w:sz w:val="20"/>
                <w:szCs w:val="20"/>
              </w:rPr>
              <w:t>29.83</w:t>
            </w:r>
          </w:p>
        </w:tc>
        <w:tc>
          <w:tcPr>
            <w:tcW w:w="2340" w:type="dxa"/>
            <w:vAlign w:val="center"/>
          </w:tcPr>
          <w:p>
            <w:pPr>
              <w:pStyle w:val="15"/>
              <w:spacing w:before="0" w:after="0" w:line="240" w:lineRule="auto"/>
            </w:pPr>
            <w:r>
              <w:rPr>
                <w:sz w:val="20"/>
                <w:szCs w:val="20"/>
              </w:rPr>
              <w:t>27.94</w:t>
            </w:r>
          </w:p>
        </w:tc>
        <w:tc>
          <w:tcPr>
            <w:tcW w:w="2340" w:type="dxa"/>
            <w:vAlign w:val="center"/>
          </w:tcPr>
          <w:p>
            <w:pPr>
              <w:pStyle w:val="15"/>
              <w:spacing w:before="0" w:after="0" w:line="240" w:lineRule="auto"/>
            </w:pPr>
            <w:r>
              <w:rPr>
                <w:sz w:val="20"/>
                <w:szCs w:val="20"/>
              </w:rPr>
              <w:t>−1.89</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Antioxidant FRS</w:t>
            </w:r>
          </w:p>
        </w:tc>
        <w:tc>
          <w:tcPr>
            <w:tcW w:w="2340" w:type="dxa"/>
            <w:vAlign w:val="center"/>
          </w:tcPr>
          <w:p>
            <w:pPr>
              <w:pStyle w:val="15"/>
              <w:spacing w:before="0" w:after="0" w:line="240" w:lineRule="auto"/>
            </w:pPr>
            <w:r>
              <w:rPr>
                <w:sz w:val="20"/>
                <w:szCs w:val="20"/>
              </w:rPr>
              <w:t>23.46</w:t>
            </w:r>
          </w:p>
        </w:tc>
        <w:tc>
          <w:tcPr>
            <w:tcW w:w="2340" w:type="dxa"/>
            <w:vAlign w:val="center"/>
          </w:tcPr>
          <w:p>
            <w:pPr>
              <w:pStyle w:val="15"/>
              <w:spacing w:before="0" w:after="0" w:line="240" w:lineRule="auto"/>
            </w:pPr>
            <w:r>
              <w:rPr>
                <w:sz w:val="20"/>
                <w:szCs w:val="20"/>
              </w:rPr>
              <w:t>21.51</w:t>
            </w:r>
          </w:p>
        </w:tc>
        <w:tc>
          <w:tcPr>
            <w:tcW w:w="2340" w:type="dxa"/>
            <w:vAlign w:val="center"/>
          </w:tcPr>
          <w:p>
            <w:pPr>
              <w:pStyle w:val="15"/>
              <w:spacing w:before="0" w:after="0" w:line="240" w:lineRule="auto"/>
            </w:pPr>
            <w:r>
              <w:rPr>
                <w:sz w:val="20"/>
                <w:szCs w:val="20"/>
              </w:rPr>
              <w:t>−1.95</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Anti-parasitic (APP)</w:t>
            </w:r>
          </w:p>
        </w:tc>
        <w:tc>
          <w:tcPr>
            <w:tcW w:w="2340" w:type="dxa"/>
            <w:vAlign w:val="center"/>
          </w:tcPr>
          <w:p>
            <w:pPr>
              <w:pStyle w:val="15"/>
              <w:spacing w:before="0" w:after="0" w:line="240" w:lineRule="auto"/>
            </w:pPr>
            <w:r>
              <w:rPr>
                <w:sz w:val="20"/>
                <w:szCs w:val="20"/>
              </w:rPr>
              <w:t>48.96</w:t>
            </w:r>
          </w:p>
        </w:tc>
        <w:tc>
          <w:tcPr>
            <w:tcW w:w="2340" w:type="dxa"/>
            <w:vAlign w:val="center"/>
          </w:tcPr>
          <w:p>
            <w:pPr>
              <w:pStyle w:val="15"/>
              <w:spacing w:before="0" w:after="0" w:line="240" w:lineRule="auto"/>
            </w:pPr>
            <w:r>
              <w:rPr>
                <w:sz w:val="20"/>
                <w:szCs w:val="20"/>
              </w:rPr>
              <w:t>46.60</w:t>
            </w:r>
          </w:p>
        </w:tc>
        <w:tc>
          <w:tcPr>
            <w:tcW w:w="2340" w:type="dxa"/>
            <w:vAlign w:val="center"/>
          </w:tcPr>
          <w:p>
            <w:pPr>
              <w:pStyle w:val="15"/>
              <w:spacing w:before="0" w:after="0" w:line="240" w:lineRule="auto"/>
            </w:pPr>
            <w:r>
              <w:rPr>
                <w:sz w:val="20"/>
                <w:szCs w:val="20"/>
              </w:rPr>
              <w:t>−2.36</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Antifungal</w:t>
            </w:r>
          </w:p>
        </w:tc>
        <w:tc>
          <w:tcPr>
            <w:tcW w:w="2340" w:type="dxa"/>
            <w:vAlign w:val="center"/>
          </w:tcPr>
          <w:p>
            <w:pPr>
              <w:pStyle w:val="15"/>
              <w:spacing w:before="0" w:after="0" w:line="240" w:lineRule="auto"/>
            </w:pPr>
            <w:r>
              <w:rPr>
                <w:sz w:val="20"/>
                <w:szCs w:val="20"/>
              </w:rPr>
              <w:t>27.76</w:t>
            </w:r>
          </w:p>
        </w:tc>
        <w:tc>
          <w:tcPr>
            <w:tcW w:w="2340" w:type="dxa"/>
            <w:vAlign w:val="center"/>
          </w:tcPr>
          <w:p>
            <w:pPr>
              <w:pStyle w:val="15"/>
              <w:spacing w:before="0" w:after="0" w:line="240" w:lineRule="auto"/>
            </w:pPr>
            <w:r>
              <w:rPr>
                <w:sz w:val="20"/>
                <w:szCs w:val="20"/>
              </w:rPr>
              <w:t>25.25</w:t>
            </w:r>
          </w:p>
        </w:tc>
        <w:tc>
          <w:tcPr>
            <w:tcW w:w="2340" w:type="dxa"/>
            <w:vAlign w:val="center"/>
          </w:tcPr>
          <w:p>
            <w:pPr>
              <w:pStyle w:val="15"/>
              <w:spacing w:before="0" w:after="0" w:line="240" w:lineRule="auto"/>
            </w:pPr>
            <w:r>
              <w:rPr>
                <w:sz w:val="20"/>
                <w:szCs w:val="20"/>
              </w:rPr>
              <w:t>−2.50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BBB (BBP)</w:t>
            </w:r>
          </w:p>
        </w:tc>
        <w:tc>
          <w:tcPr>
            <w:tcW w:w="2340" w:type="dxa"/>
            <w:vAlign w:val="center"/>
          </w:tcPr>
          <w:p>
            <w:pPr>
              <w:pStyle w:val="15"/>
              <w:spacing w:before="0" w:after="0" w:line="240" w:lineRule="auto"/>
            </w:pPr>
            <w:r>
              <w:rPr>
                <w:sz w:val="20"/>
                <w:szCs w:val="20"/>
              </w:rPr>
              <w:t>9.72</w:t>
            </w:r>
          </w:p>
        </w:tc>
        <w:tc>
          <w:tcPr>
            <w:tcW w:w="2340" w:type="dxa"/>
            <w:vAlign w:val="center"/>
          </w:tcPr>
          <w:p>
            <w:pPr>
              <w:pStyle w:val="15"/>
              <w:spacing w:before="0" w:after="0" w:line="240" w:lineRule="auto"/>
            </w:pPr>
            <w:r>
              <w:rPr>
                <w:sz w:val="20"/>
                <w:szCs w:val="20"/>
              </w:rPr>
              <w:t>9.60</w:t>
            </w:r>
          </w:p>
        </w:tc>
        <w:tc>
          <w:tcPr>
            <w:tcW w:w="2340" w:type="dxa"/>
            <w:vAlign w:val="center"/>
          </w:tcPr>
          <w:p>
            <w:pPr>
              <w:pStyle w:val="15"/>
              <w:spacing w:before="0" w:after="0" w:line="240" w:lineRule="auto"/>
            </w:pPr>
            <w:r>
              <w:rPr>
                <w:sz w:val="20"/>
                <w:szCs w:val="20"/>
              </w:rPr>
              <w:t>−0.12</w:t>
            </w:r>
          </w:p>
        </w:tc>
      </w:tr>
    </w:tbl>
    <w:p>
      <w:pPr>
        <w:spacing w:after="40"/>
      </w:pPr>
    </w:p>
    <w:p>
      <w:pPr>
        <w:pStyle w:val="12"/>
        <w:keepNext/>
        <w:jc w:val="center"/>
      </w:pPr>
      <w:r>
        <w:drawing>
          <wp:inline distT="0" distB="0" distL="0" distR="0">
            <wp:extent cx="6149975" cy="7445375"/>
            <wp:effectExtent l="0" t="0" r="0" b="0"/>
            <wp:docPr id="1" name="Figure 1" descr="Figure 1. Screening cascade from oral smORF libraries to twelve peptides and three MD comple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Figure 1. Screening cascade from oral smORF libraries to twelve peptides and three MD complexes."/>
                    <pic:cNvPicPr>
                      <a:picLocks noChangeAspect="1"/>
                    </pic:cNvPicPr>
                  </pic:nvPicPr>
                  <pic:blipFill>
                    <a:blip r:embed="rId6"/>
                    <a:stretch>
                      <a:fillRect/>
                    </a:stretch>
                  </pic:blipFill>
                  <pic:spPr>
                    <a:xfrm>
                      <a:off x="0" y="0"/>
                      <a:ext cx="6150000" cy="7445800"/>
                    </a:xfrm>
                    <a:prstGeom prst="rect">
                      <a:avLst/>
                    </a:prstGeom>
                  </pic:spPr>
                </pic:pic>
              </a:graphicData>
            </a:graphic>
          </wp:inline>
        </w:drawing>
      </w:r>
    </w:p>
    <w:p>
      <w:pPr>
        <w:pStyle w:val="6"/>
      </w:pPr>
      <w:r>
        <w:rPr>
          <w:b/>
        </w:rPr>
        <w:t>Figure 1. Screening cascade.</w:t>
      </w:r>
      <w:r>
        <w:t xml:space="preserve"> UniDL4BioPep (22 tasks) was applied to both libraries. Catalogue matching and later filters were applied only to the periodontitis branch, ending in twelve 7–9-aa peptides for docking and three complexes for 100-ns MD.</w:t>
      </w:r>
    </w:p>
    <w:p>
      <w:pPr>
        <w:pStyle w:val="4"/>
        <w:keepNext/>
      </w:pPr>
      <w:r>
        <w:t>Periodontitis funnel to twelve sequences</w:t>
      </w:r>
    </w:p>
    <w:p>
      <w:pPr>
        <w:pStyle w:val="7"/>
      </w:pPr>
      <w:r>
        <w:t>Catalogue matching of the periodontitis library kept 33,786 unique peptides. Intersection with BBB-high gave 3,518 sequences. NTxPred2 scored 3,299/3,518 (93.77%) and called 923/3,299 (27.98%) positive. Later cuts left 111 mebipred-positive peptides, 15 with CHEL≥0.25, 12 with CHEL≥0.25 and FRS&lt;0.50, and 8 with the stricter FRS&lt;0.45 (Table 4). All 923 NTxPred2-positive peptides were ≤30 aa, so the metal/CHEL/FRS steps kept short peptides only.</w:t>
      </w:r>
    </w:p>
    <w:p>
      <w:pPr>
        <w:pStyle w:val="6"/>
      </w:pPr>
      <w:r>
        <w:rPr>
          <w:b/>
        </w:rPr>
        <w:t>Table 4. Periodontitis branch after UniDL4BioPep scoring.</w:t>
      </w:r>
    </w:p>
    <w:tbl>
      <w:tblPr>
        <w:tblStyle w:val="16"/>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70" w:type="dxa"/>
          <w:left w:w="80" w:type="dxa"/>
          <w:bottom w:w="70" w:type="dxa"/>
          <w:right w:w="80" w:type="dxa"/>
        </w:tblCellMar>
      </w:tblPr>
      <w:tblGrid>
        <w:gridCol w:w="2297"/>
        <w:gridCol w:w="2297"/>
        <w:gridCol w:w="2297"/>
        <w:gridCol w:w="2297"/>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rPr>
          <w:tblHeader/>
        </w:trPr>
        <w:tc>
          <w:tcPr>
            <w:tcW w:w="2340" w:type="dxa"/>
            <w:tcBorders>
              <w:bottom w:val="single" w:color="000000" w:sz="8" w:space="0"/>
            </w:tcBorders>
            <w:vAlign w:val="center"/>
          </w:tcPr>
          <w:p>
            <w:pPr>
              <w:pStyle w:val="15"/>
              <w:spacing w:before="0" w:after="0" w:line="240" w:lineRule="auto"/>
            </w:pPr>
            <w:r>
              <w:rPr>
                <w:sz w:val="20"/>
                <w:szCs w:val="20"/>
              </w:rPr>
              <w:t>Stage</w:t>
            </w:r>
          </w:p>
        </w:tc>
        <w:tc>
          <w:tcPr>
            <w:tcW w:w="2340" w:type="dxa"/>
            <w:tcBorders>
              <w:bottom w:val="single" w:color="000000" w:sz="8" w:space="0"/>
            </w:tcBorders>
            <w:vAlign w:val="center"/>
          </w:tcPr>
          <w:p>
            <w:pPr>
              <w:pStyle w:val="15"/>
              <w:spacing w:before="0" w:after="0" w:line="240" w:lineRule="auto"/>
            </w:pPr>
            <w:r>
              <w:rPr>
                <w:sz w:val="20"/>
                <w:szCs w:val="20"/>
              </w:rPr>
              <w:t>Rule</w:t>
            </w:r>
          </w:p>
        </w:tc>
        <w:tc>
          <w:tcPr>
            <w:tcW w:w="2340" w:type="dxa"/>
            <w:tcBorders>
              <w:bottom w:val="single" w:color="000000" w:sz="8" w:space="0"/>
            </w:tcBorders>
            <w:vAlign w:val="center"/>
          </w:tcPr>
          <w:p>
            <w:pPr>
              <w:pStyle w:val="15"/>
              <w:spacing w:before="0" w:after="0" w:line="240" w:lineRule="auto"/>
            </w:pPr>
            <w:r>
              <w:rPr>
                <w:sz w:val="20"/>
                <w:szCs w:val="20"/>
              </w:rPr>
              <w:t>n</w:t>
            </w:r>
          </w:p>
        </w:tc>
        <w:tc>
          <w:tcPr>
            <w:tcW w:w="2340" w:type="dxa"/>
            <w:tcBorders>
              <w:bottom w:val="single" w:color="000000" w:sz="8" w:space="0"/>
            </w:tcBorders>
            <w:vAlign w:val="center"/>
          </w:tcPr>
          <w:p>
            <w:pPr>
              <w:pStyle w:val="15"/>
              <w:spacing w:before="0" w:after="0" w:line="240" w:lineRule="auto"/>
            </w:pPr>
            <w:r>
              <w:rPr>
                <w:sz w:val="20"/>
                <w:szCs w:val="20"/>
              </w:rPr>
              <w:t>Denominator</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Periodontitis smORFs</w:t>
            </w:r>
          </w:p>
        </w:tc>
        <w:tc>
          <w:tcPr>
            <w:tcW w:w="2340" w:type="dxa"/>
            <w:vAlign w:val="center"/>
          </w:tcPr>
          <w:p>
            <w:pPr>
              <w:pStyle w:val="15"/>
              <w:spacing w:before="0" w:after="0" w:line="240" w:lineRule="auto"/>
            </w:pPr>
            <w:r>
              <w:rPr>
                <w:sz w:val="20"/>
                <w:szCs w:val="20"/>
              </w:rPr>
              <w:t>4–50 aa</w:t>
            </w:r>
          </w:p>
        </w:tc>
        <w:tc>
          <w:tcPr>
            <w:tcW w:w="2340" w:type="dxa"/>
            <w:vAlign w:val="center"/>
          </w:tcPr>
          <w:p>
            <w:pPr>
              <w:pStyle w:val="15"/>
              <w:spacing w:before="0" w:after="0" w:line="240" w:lineRule="auto"/>
            </w:pPr>
            <w:r>
              <w:rPr>
                <w:sz w:val="20"/>
                <w:szCs w:val="20"/>
              </w:rPr>
              <w:t>11,721,988</w:t>
            </w:r>
          </w:p>
        </w:tc>
        <w:tc>
          <w:tcPr>
            <w:tcW w:w="2340" w:type="dxa"/>
            <w:vAlign w:val="center"/>
          </w:tcPr>
          <w:p>
            <w:pPr>
              <w:pStyle w:val="15"/>
              <w:spacing w:before="0" w:after="0" w:line="240" w:lineRule="auto"/>
            </w:pPr>
            <w:r>
              <w:rPr>
                <w:sz w:val="20"/>
                <w:szCs w:val="20"/>
              </w:rPr>
              <w:t>Library</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BBB (BBP)</w:t>
            </w:r>
          </w:p>
        </w:tc>
        <w:tc>
          <w:tcPr>
            <w:tcW w:w="2340" w:type="dxa"/>
            <w:vAlign w:val="center"/>
          </w:tcPr>
          <w:p>
            <w:pPr>
              <w:pStyle w:val="15"/>
              <w:spacing w:before="0" w:after="0" w:line="240" w:lineRule="auto"/>
            </w:pPr>
            <w:r>
              <w:rPr>
                <w:sz w:val="20"/>
                <w:szCs w:val="20"/>
              </w:rPr>
              <w:t>score ≥0.80</w:t>
            </w:r>
          </w:p>
        </w:tc>
        <w:tc>
          <w:tcPr>
            <w:tcW w:w="2340" w:type="dxa"/>
            <w:vAlign w:val="center"/>
          </w:tcPr>
          <w:p>
            <w:pPr>
              <w:pStyle w:val="15"/>
              <w:spacing w:before="0" w:after="0" w:line="240" w:lineRule="auto"/>
            </w:pPr>
            <w:r>
              <w:rPr>
                <w:sz w:val="20"/>
                <w:szCs w:val="20"/>
              </w:rPr>
              <w:t>1,125,832</w:t>
            </w:r>
          </w:p>
        </w:tc>
        <w:tc>
          <w:tcPr>
            <w:tcW w:w="2340" w:type="dxa"/>
            <w:vAlign w:val="center"/>
          </w:tcPr>
          <w:p>
            <w:pPr>
              <w:pStyle w:val="15"/>
              <w:spacing w:before="0" w:after="0" w:line="240" w:lineRule="auto"/>
            </w:pPr>
            <w:r>
              <w:rPr>
                <w:sz w:val="20"/>
                <w:szCs w:val="20"/>
              </w:rPr>
              <w:t>11,721,988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Catalogue-supported unique peptides</w:t>
            </w:r>
          </w:p>
        </w:tc>
        <w:tc>
          <w:tcPr>
            <w:tcW w:w="2340" w:type="dxa"/>
            <w:vAlign w:val="center"/>
          </w:tcPr>
          <w:p>
            <w:pPr>
              <w:pStyle w:val="15"/>
              <w:spacing w:before="0" w:after="0" w:line="240" w:lineRule="auto"/>
            </w:pPr>
            <w:r>
              <w:rPr>
                <w:sz w:val="20"/>
                <w:szCs w:val="20"/>
              </w:rPr>
              <w:t>Exact match</w:t>
            </w:r>
          </w:p>
        </w:tc>
        <w:tc>
          <w:tcPr>
            <w:tcW w:w="2340" w:type="dxa"/>
            <w:vAlign w:val="center"/>
          </w:tcPr>
          <w:p>
            <w:pPr>
              <w:pStyle w:val="15"/>
              <w:spacing w:before="0" w:after="0" w:line="240" w:lineRule="auto"/>
            </w:pPr>
            <w:r>
              <w:rPr>
                <w:sz w:val="20"/>
                <w:szCs w:val="20"/>
              </w:rPr>
              <w:t>33,786</w:t>
            </w:r>
          </w:p>
        </w:tc>
        <w:tc>
          <w:tcPr>
            <w:tcW w:w="2340" w:type="dxa"/>
            <w:vAlign w:val="center"/>
          </w:tcPr>
          <w:p>
            <w:pPr>
              <w:pStyle w:val="15"/>
              <w:spacing w:before="0" w:after="0" w:line="240" w:lineRule="auto"/>
            </w:pPr>
            <w:r>
              <w:rPr>
                <w:sz w:val="20"/>
                <w:szCs w:val="20"/>
              </w:rPr>
              <w:t>11,721,988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BBB-high ∩ catalogue-supported</w:t>
            </w:r>
          </w:p>
        </w:tc>
        <w:tc>
          <w:tcPr>
            <w:tcW w:w="2340" w:type="dxa"/>
            <w:vAlign w:val="center"/>
          </w:tcPr>
          <w:p>
            <w:pPr>
              <w:pStyle w:val="15"/>
              <w:spacing w:before="0" w:after="0" w:line="240" w:lineRule="auto"/>
            </w:pPr>
            <w:r>
              <w:rPr>
                <w:sz w:val="20"/>
                <w:szCs w:val="20"/>
              </w:rPr>
              <w:t>Intersection</w:t>
            </w:r>
          </w:p>
        </w:tc>
        <w:tc>
          <w:tcPr>
            <w:tcW w:w="2340" w:type="dxa"/>
            <w:vAlign w:val="center"/>
          </w:tcPr>
          <w:p>
            <w:pPr>
              <w:pStyle w:val="15"/>
              <w:spacing w:before="0" w:after="0" w:line="240" w:lineRule="auto"/>
            </w:pPr>
            <w:r>
              <w:rPr>
                <w:sz w:val="20"/>
                <w:szCs w:val="20"/>
              </w:rPr>
              <w:t>3,518</w:t>
            </w:r>
          </w:p>
        </w:tc>
        <w:tc>
          <w:tcPr>
            <w:tcW w:w="2340" w:type="dxa"/>
            <w:vAlign w:val="center"/>
          </w:tcPr>
          <w:p>
            <w:pPr>
              <w:pStyle w:val="15"/>
              <w:spacing w:before="0" w:after="0" w:line="240" w:lineRule="auto"/>
            </w:pPr>
            <w:r>
              <w:rPr>
                <w:sz w:val="20"/>
                <w:szCs w:val="20"/>
              </w:rPr>
              <w:t>1,125,832 ∩ 33,786</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Short (5–30 aa)</w:t>
            </w:r>
          </w:p>
        </w:tc>
        <w:tc>
          <w:tcPr>
            <w:tcW w:w="2340" w:type="dxa"/>
            <w:vAlign w:val="center"/>
          </w:tcPr>
          <w:p>
            <w:pPr>
              <w:pStyle w:val="15"/>
              <w:spacing w:before="0" w:after="0" w:line="240" w:lineRule="auto"/>
            </w:pPr>
            <w:r>
              <w:rPr>
                <w:sz w:val="20"/>
                <w:szCs w:val="20"/>
              </w:rPr>
              <w:t>Length</w:t>
            </w:r>
          </w:p>
        </w:tc>
        <w:tc>
          <w:tcPr>
            <w:tcW w:w="2340" w:type="dxa"/>
            <w:vAlign w:val="center"/>
          </w:tcPr>
          <w:p>
            <w:pPr>
              <w:pStyle w:val="15"/>
              <w:spacing w:before="0" w:after="0" w:line="240" w:lineRule="auto"/>
            </w:pPr>
            <w:r>
              <w:rPr>
                <w:sz w:val="20"/>
                <w:szCs w:val="20"/>
              </w:rPr>
              <w:t>3,446</w:t>
            </w:r>
          </w:p>
        </w:tc>
        <w:tc>
          <w:tcPr>
            <w:tcW w:w="2340" w:type="dxa"/>
            <w:vAlign w:val="center"/>
          </w:tcPr>
          <w:p>
            <w:pPr>
              <w:pStyle w:val="15"/>
              <w:spacing w:before="0" w:after="0" w:line="240" w:lineRule="auto"/>
            </w:pPr>
            <w:r>
              <w:rPr>
                <w:sz w:val="20"/>
                <w:szCs w:val="20"/>
              </w:rPr>
              <w:t>3,518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Long (31–50 aa)</w:t>
            </w:r>
          </w:p>
        </w:tc>
        <w:tc>
          <w:tcPr>
            <w:tcW w:w="2340" w:type="dxa"/>
            <w:vAlign w:val="center"/>
          </w:tcPr>
          <w:p>
            <w:pPr>
              <w:pStyle w:val="15"/>
              <w:spacing w:before="0" w:after="0" w:line="240" w:lineRule="auto"/>
            </w:pPr>
            <w:r>
              <w:rPr>
                <w:sz w:val="20"/>
                <w:szCs w:val="20"/>
              </w:rPr>
              <w:t>Length</w:t>
            </w:r>
          </w:p>
        </w:tc>
        <w:tc>
          <w:tcPr>
            <w:tcW w:w="2340" w:type="dxa"/>
            <w:vAlign w:val="center"/>
          </w:tcPr>
          <w:p>
            <w:pPr>
              <w:pStyle w:val="15"/>
              <w:spacing w:before="0" w:after="0" w:line="240" w:lineRule="auto"/>
            </w:pPr>
            <w:r>
              <w:rPr>
                <w:sz w:val="20"/>
                <w:szCs w:val="20"/>
              </w:rPr>
              <w:t>72</w:t>
            </w:r>
          </w:p>
        </w:tc>
        <w:tc>
          <w:tcPr>
            <w:tcW w:w="2340" w:type="dxa"/>
            <w:vAlign w:val="center"/>
          </w:tcPr>
          <w:p>
            <w:pPr>
              <w:pStyle w:val="15"/>
              <w:spacing w:before="0" w:after="0" w:line="240" w:lineRule="auto"/>
            </w:pPr>
            <w:r>
              <w:rPr>
                <w:sz w:val="20"/>
                <w:szCs w:val="20"/>
              </w:rPr>
              <w:t>3,518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NTxPred2 scored</w:t>
            </w:r>
          </w:p>
        </w:tc>
        <w:tc>
          <w:tcPr>
            <w:tcW w:w="2340" w:type="dxa"/>
            <w:vAlign w:val="center"/>
          </w:tcPr>
          <w:p>
            <w:pPr>
              <w:pStyle w:val="15"/>
              <w:spacing w:before="0" w:after="0" w:line="240" w:lineRule="auto"/>
            </w:pPr>
            <w:r>
              <w:rPr>
                <w:sz w:val="20"/>
                <w:szCs w:val="20"/>
              </w:rPr>
              <w:t>7–50 aa</w:t>
            </w:r>
          </w:p>
        </w:tc>
        <w:tc>
          <w:tcPr>
            <w:tcW w:w="2340" w:type="dxa"/>
            <w:vAlign w:val="center"/>
          </w:tcPr>
          <w:p>
            <w:pPr>
              <w:pStyle w:val="15"/>
              <w:spacing w:before="0" w:after="0" w:line="240" w:lineRule="auto"/>
            </w:pPr>
            <w:r>
              <w:rPr>
                <w:sz w:val="20"/>
                <w:szCs w:val="20"/>
              </w:rPr>
              <w:t>3,299</w:t>
            </w:r>
          </w:p>
        </w:tc>
        <w:tc>
          <w:tcPr>
            <w:tcW w:w="2340" w:type="dxa"/>
            <w:vAlign w:val="center"/>
          </w:tcPr>
          <w:p>
            <w:pPr>
              <w:pStyle w:val="15"/>
              <w:spacing w:before="0" w:after="0" w:line="240" w:lineRule="auto"/>
            </w:pPr>
            <w:r>
              <w:rPr>
                <w:sz w:val="20"/>
                <w:szCs w:val="20"/>
              </w:rPr>
              <w:t>3,518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NTxPred2-positive</w:t>
            </w:r>
          </w:p>
        </w:tc>
        <w:tc>
          <w:tcPr>
            <w:tcW w:w="2340" w:type="dxa"/>
            <w:vAlign w:val="center"/>
          </w:tcPr>
          <w:p>
            <w:pPr>
              <w:pStyle w:val="15"/>
              <w:spacing w:before="0" w:after="0" w:line="240" w:lineRule="auto"/>
            </w:pPr>
            <w:r>
              <w:rPr>
                <w:sz w:val="20"/>
                <w:szCs w:val="20"/>
              </w:rPr>
              <w:t>Model label</w:t>
            </w:r>
          </w:p>
        </w:tc>
        <w:tc>
          <w:tcPr>
            <w:tcW w:w="2340" w:type="dxa"/>
            <w:vAlign w:val="center"/>
          </w:tcPr>
          <w:p>
            <w:pPr>
              <w:pStyle w:val="15"/>
              <w:spacing w:before="0" w:after="0" w:line="240" w:lineRule="auto"/>
            </w:pPr>
            <w:r>
              <w:rPr>
                <w:sz w:val="20"/>
                <w:szCs w:val="20"/>
              </w:rPr>
              <w:t>923</w:t>
            </w:r>
          </w:p>
        </w:tc>
        <w:tc>
          <w:tcPr>
            <w:tcW w:w="2340" w:type="dxa"/>
            <w:vAlign w:val="center"/>
          </w:tcPr>
          <w:p>
            <w:pPr>
              <w:pStyle w:val="15"/>
              <w:spacing w:before="0" w:after="0" w:line="240" w:lineRule="auto"/>
            </w:pPr>
            <w:r>
              <w:rPr>
                <w:sz w:val="20"/>
                <w:szCs w:val="20"/>
              </w:rPr>
              <w:t>3,299</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mebipred-positive</w:t>
            </w:r>
          </w:p>
        </w:tc>
        <w:tc>
          <w:tcPr>
            <w:tcW w:w="2340" w:type="dxa"/>
            <w:vAlign w:val="center"/>
          </w:tcPr>
          <w:p>
            <w:pPr>
              <w:pStyle w:val="15"/>
              <w:spacing w:before="0" w:after="0" w:line="240" w:lineRule="auto"/>
            </w:pPr>
            <w:r>
              <w:rPr>
                <w:sz w:val="20"/>
                <w:szCs w:val="20"/>
              </w:rPr>
              <w:t>≥0.50</w:t>
            </w:r>
          </w:p>
        </w:tc>
        <w:tc>
          <w:tcPr>
            <w:tcW w:w="2340" w:type="dxa"/>
            <w:vAlign w:val="center"/>
          </w:tcPr>
          <w:p>
            <w:pPr>
              <w:pStyle w:val="15"/>
              <w:spacing w:before="0" w:after="0" w:line="240" w:lineRule="auto"/>
            </w:pPr>
            <w:r>
              <w:rPr>
                <w:sz w:val="20"/>
                <w:szCs w:val="20"/>
              </w:rPr>
              <w:t>111</w:t>
            </w:r>
          </w:p>
        </w:tc>
        <w:tc>
          <w:tcPr>
            <w:tcW w:w="2340" w:type="dxa"/>
            <w:vAlign w:val="center"/>
          </w:tcPr>
          <w:p>
            <w:pPr>
              <w:pStyle w:val="15"/>
              <w:spacing w:before="0" w:after="0" w:line="240" w:lineRule="auto"/>
            </w:pPr>
            <w:r>
              <w:rPr>
                <w:sz w:val="20"/>
                <w:szCs w:val="20"/>
              </w:rPr>
              <w:t>—</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CHEL-priority</w:t>
            </w:r>
          </w:p>
        </w:tc>
        <w:tc>
          <w:tcPr>
            <w:tcW w:w="2340" w:type="dxa"/>
            <w:vAlign w:val="center"/>
          </w:tcPr>
          <w:p>
            <w:pPr>
              <w:pStyle w:val="15"/>
              <w:spacing w:before="0" w:after="0" w:line="240" w:lineRule="auto"/>
            </w:pPr>
            <w:r>
              <w:rPr>
                <w:sz w:val="20"/>
                <w:szCs w:val="20"/>
              </w:rPr>
              <w:t>CHEL≥0.25</w:t>
            </w:r>
          </w:p>
        </w:tc>
        <w:tc>
          <w:tcPr>
            <w:tcW w:w="2340" w:type="dxa"/>
            <w:vAlign w:val="center"/>
          </w:tcPr>
          <w:p>
            <w:pPr>
              <w:pStyle w:val="15"/>
              <w:spacing w:before="0" w:after="0" w:line="240" w:lineRule="auto"/>
            </w:pPr>
            <w:r>
              <w:rPr>
                <w:sz w:val="20"/>
                <w:szCs w:val="20"/>
              </w:rPr>
              <w:t>15</w:t>
            </w:r>
          </w:p>
        </w:tc>
        <w:tc>
          <w:tcPr>
            <w:tcW w:w="2340" w:type="dxa"/>
            <w:vAlign w:val="center"/>
          </w:tcPr>
          <w:p>
            <w:pPr>
              <w:pStyle w:val="15"/>
              <w:spacing w:before="0" w:after="0" w:line="240" w:lineRule="auto"/>
            </w:pPr>
            <w:r>
              <w:rPr>
                <w:sz w:val="20"/>
                <w:szCs w:val="20"/>
              </w:rPr>
              <w:t>111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Main set</w:t>
            </w:r>
          </w:p>
        </w:tc>
        <w:tc>
          <w:tcPr>
            <w:tcW w:w="2340" w:type="dxa"/>
            <w:vAlign w:val="center"/>
          </w:tcPr>
          <w:p>
            <w:pPr>
              <w:pStyle w:val="15"/>
              <w:spacing w:before="0" w:after="0" w:line="240" w:lineRule="auto"/>
            </w:pPr>
            <w:r>
              <w:rPr>
                <w:sz w:val="20"/>
                <w:szCs w:val="20"/>
              </w:rPr>
              <w:t>CHEL≥0.25 and FRS&lt;0.50</w:t>
            </w:r>
          </w:p>
        </w:tc>
        <w:tc>
          <w:tcPr>
            <w:tcW w:w="2340" w:type="dxa"/>
            <w:vAlign w:val="center"/>
          </w:tcPr>
          <w:p>
            <w:pPr>
              <w:pStyle w:val="15"/>
              <w:spacing w:before="0" w:after="0" w:line="240" w:lineRule="auto"/>
            </w:pPr>
            <w:r>
              <w:rPr>
                <w:sz w:val="20"/>
                <w:szCs w:val="20"/>
              </w:rPr>
              <w:t>12</w:t>
            </w:r>
          </w:p>
        </w:tc>
        <w:tc>
          <w:tcPr>
            <w:tcW w:w="2340" w:type="dxa"/>
            <w:vAlign w:val="center"/>
          </w:tcPr>
          <w:p>
            <w:pPr>
              <w:pStyle w:val="15"/>
              <w:spacing w:before="0" w:after="0" w:line="240" w:lineRule="auto"/>
            </w:pPr>
            <w:r>
              <w:rPr>
                <w:sz w:val="20"/>
                <w:szCs w:val="20"/>
              </w:rPr>
              <w:t>111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2340" w:type="dxa"/>
            <w:vAlign w:val="center"/>
          </w:tcPr>
          <w:p>
            <w:pPr>
              <w:pStyle w:val="15"/>
              <w:spacing w:before="0" w:after="0" w:line="240" w:lineRule="auto"/>
            </w:pPr>
            <w:r>
              <w:rPr>
                <w:sz w:val="20"/>
                <w:szCs w:val="20"/>
              </w:rPr>
              <w:t>Stricter subset</w:t>
            </w:r>
          </w:p>
        </w:tc>
        <w:tc>
          <w:tcPr>
            <w:tcW w:w="2340" w:type="dxa"/>
            <w:vAlign w:val="center"/>
          </w:tcPr>
          <w:p>
            <w:pPr>
              <w:pStyle w:val="15"/>
              <w:spacing w:before="0" w:after="0" w:line="240" w:lineRule="auto"/>
            </w:pPr>
            <w:r>
              <w:rPr>
                <w:sz w:val="20"/>
                <w:szCs w:val="20"/>
              </w:rPr>
              <w:t>CHEL≥0.25 and FRS&lt;0.45</w:t>
            </w:r>
          </w:p>
        </w:tc>
        <w:tc>
          <w:tcPr>
            <w:tcW w:w="2340" w:type="dxa"/>
            <w:vAlign w:val="center"/>
          </w:tcPr>
          <w:p>
            <w:pPr>
              <w:pStyle w:val="15"/>
              <w:spacing w:before="0" w:after="0" w:line="240" w:lineRule="auto"/>
            </w:pPr>
            <w:r>
              <w:rPr>
                <w:sz w:val="20"/>
                <w:szCs w:val="20"/>
              </w:rPr>
              <w:t>8</w:t>
            </w:r>
          </w:p>
        </w:tc>
        <w:tc>
          <w:tcPr>
            <w:tcW w:w="2340" w:type="dxa"/>
            <w:vAlign w:val="center"/>
          </w:tcPr>
          <w:p>
            <w:pPr>
              <w:pStyle w:val="15"/>
              <w:spacing w:before="0" w:after="0" w:line="240" w:lineRule="auto"/>
            </w:pPr>
            <w:r>
              <w:rPr>
                <w:sz w:val="20"/>
                <w:szCs w:val="20"/>
              </w:rPr>
              <w:t>—</w:t>
            </w:r>
          </w:p>
        </w:tc>
      </w:tr>
    </w:tbl>
    <w:p>
      <w:pPr>
        <w:spacing w:after="40"/>
      </w:pPr>
    </w:p>
    <w:p>
      <w:pPr>
        <w:pStyle w:val="4"/>
        <w:keepNext/>
      </w:pPr>
      <w:r>
        <w:t>Physicochemical profile of the twelve peptides</w:t>
      </w:r>
    </w:p>
    <w:p>
      <w:pPr>
        <w:pStyle w:val="7"/>
      </w:pPr>
      <w:r>
        <w:t>These descriptors characterise the twelve docking ligands. They are not a comparison of the healthy and periodontitis libraries.</w:t>
      </w:r>
    </w:p>
    <w:p>
      <w:pPr>
        <w:pStyle w:val="7"/>
      </w:pPr>
      <w:r>
        <w:t>The twelve strings are unique 7–9-aa peptides of standard residues (Table 5). Eleven contain histidine; six contain cysteine; every sequence has at least one Arg or Lys. Molecular weights fall between 825.03 and 1,097.30 Da. Isoelectric points are alkaline (8.28–11.54). Net charge at pH 7.4 is positive for all twelve (0.85–2.08). GRAVY is positive for ten sequences, in line with leucine-rich cores; LLHLPKRTT (−0.36) and YHHLLCRR (−0.95) are the two hydrophilic exceptions. Aliphatic indices run from 97.5 (YHHLLCRR) to 222.9 (LLHPLRL). YLSLLQR is the only peptide without histidine. These numbers describe composition; they are not HPLC or CD measurements.</w:t>
      </w:r>
    </w:p>
    <w:p>
      <w:pPr>
        <w:pStyle w:val="6"/>
      </w:pPr>
      <w:r>
        <w:rPr>
          <w:b/>
        </w:rPr>
        <w:t>Table 5. Composition and calculated physicochemical descriptors of the twelve 7–9-aa peptides.</w:t>
      </w:r>
    </w:p>
    <w:tbl>
      <w:tblPr>
        <w:tblStyle w:val="16"/>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70" w:type="dxa"/>
          <w:left w:w="80" w:type="dxa"/>
          <w:bottom w:w="70" w:type="dxa"/>
          <w:right w:w="80" w:type="dxa"/>
        </w:tblCellMar>
      </w:tblPr>
      <w:tblGrid>
        <w:gridCol w:w="919"/>
        <w:gridCol w:w="919"/>
        <w:gridCol w:w="919"/>
        <w:gridCol w:w="919"/>
        <w:gridCol w:w="919"/>
        <w:gridCol w:w="919"/>
        <w:gridCol w:w="919"/>
        <w:gridCol w:w="919"/>
        <w:gridCol w:w="919"/>
        <w:gridCol w:w="919"/>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rPr>
          <w:tblHeader/>
        </w:trPr>
        <w:tc>
          <w:tcPr>
            <w:tcW w:w="936" w:type="dxa"/>
            <w:tcBorders>
              <w:bottom w:val="single" w:color="000000" w:sz="8" w:space="0"/>
            </w:tcBorders>
            <w:vAlign w:val="center"/>
          </w:tcPr>
          <w:p>
            <w:pPr>
              <w:pStyle w:val="15"/>
              <w:spacing w:before="0" w:after="0" w:line="240" w:lineRule="auto"/>
            </w:pPr>
            <w:r>
              <w:rPr>
                <w:sz w:val="20"/>
                <w:szCs w:val="20"/>
              </w:rPr>
              <w:t>Peptide</w:t>
            </w:r>
          </w:p>
        </w:tc>
        <w:tc>
          <w:tcPr>
            <w:tcW w:w="936" w:type="dxa"/>
            <w:tcBorders>
              <w:bottom w:val="single" w:color="000000" w:sz="8" w:space="0"/>
            </w:tcBorders>
            <w:vAlign w:val="center"/>
          </w:tcPr>
          <w:p>
            <w:pPr>
              <w:pStyle w:val="15"/>
              <w:spacing w:before="0" w:after="0" w:line="240" w:lineRule="auto"/>
            </w:pPr>
            <w:r>
              <w:rPr>
                <w:sz w:val="20"/>
                <w:szCs w:val="20"/>
              </w:rPr>
              <w:t>aa</w:t>
            </w:r>
          </w:p>
        </w:tc>
        <w:tc>
          <w:tcPr>
            <w:tcW w:w="936" w:type="dxa"/>
            <w:tcBorders>
              <w:bottom w:val="single" w:color="000000" w:sz="8" w:space="0"/>
            </w:tcBorders>
            <w:vAlign w:val="center"/>
          </w:tcPr>
          <w:p>
            <w:pPr>
              <w:pStyle w:val="15"/>
              <w:spacing w:before="0" w:after="0" w:line="240" w:lineRule="auto"/>
            </w:pPr>
            <w:r>
              <w:rPr>
                <w:sz w:val="20"/>
                <w:szCs w:val="20"/>
              </w:rPr>
              <w:t>MW (Da)</w:t>
            </w:r>
          </w:p>
        </w:tc>
        <w:tc>
          <w:tcPr>
            <w:tcW w:w="936" w:type="dxa"/>
            <w:tcBorders>
              <w:bottom w:val="single" w:color="000000" w:sz="8" w:space="0"/>
            </w:tcBorders>
            <w:vAlign w:val="center"/>
          </w:tcPr>
          <w:p>
            <w:pPr>
              <w:pStyle w:val="15"/>
              <w:spacing w:before="0" w:after="0" w:line="240" w:lineRule="auto"/>
            </w:pPr>
            <w:r>
              <w:rPr>
                <w:sz w:val="20"/>
                <w:szCs w:val="20"/>
              </w:rPr>
              <w:t>pI</w:t>
            </w:r>
          </w:p>
        </w:tc>
        <w:tc>
          <w:tcPr>
            <w:tcW w:w="936" w:type="dxa"/>
            <w:tcBorders>
              <w:bottom w:val="single" w:color="000000" w:sz="8" w:space="0"/>
            </w:tcBorders>
            <w:vAlign w:val="center"/>
          </w:tcPr>
          <w:p>
            <w:pPr>
              <w:pStyle w:val="15"/>
              <w:spacing w:before="0" w:after="0" w:line="240" w:lineRule="auto"/>
            </w:pPr>
            <w:r>
              <w:rPr>
                <w:sz w:val="20"/>
                <w:szCs w:val="20"/>
              </w:rPr>
              <w:t>z (pH 7.4)</w:t>
            </w:r>
          </w:p>
        </w:tc>
        <w:tc>
          <w:tcPr>
            <w:tcW w:w="936" w:type="dxa"/>
            <w:tcBorders>
              <w:bottom w:val="single" w:color="000000" w:sz="8" w:space="0"/>
            </w:tcBorders>
            <w:vAlign w:val="center"/>
          </w:tcPr>
          <w:p>
            <w:pPr>
              <w:pStyle w:val="15"/>
              <w:spacing w:before="0" w:after="0" w:line="240" w:lineRule="auto"/>
            </w:pPr>
            <w:r>
              <w:rPr>
                <w:sz w:val="20"/>
                <w:szCs w:val="20"/>
              </w:rPr>
              <w:t>GRAVY</w:t>
            </w:r>
          </w:p>
        </w:tc>
        <w:tc>
          <w:tcPr>
            <w:tcW w:w="936" w:type="dxa"/>
            <w:tcBorders>
              <w:bottom w:val="single" w:color="000000" w:sz="8" w:space="0"/>
            </w:tcBorders>
            <w:vAlign w:val="center"/>
          </w:tcPr>
          <w:p>
            <w:pPr>
              <w:pStyle w:val="15"/>
              <w:spacing w:before="0" w:after="0" w:line="240" w:lineRule="auto"/>
            </w:pPr>
            <w:r>
              <w:rPr>
                <w:sz w:val="20"/>
                <w:szCs w:val="20"/>
              </w:rPr>
              <w:t>AI</w:t>
            </w:r>
          </w:p>
        </w:tc>
        <w:tc>
          <w:tcPr>
            <w:tcW w:w="936" w:type="dxa"/>
            <w:tcBorders>
              <w:bottom w:val="single" w:color="000000" w:sz="8" w:space="0"/>
            </w:tcBorders>
            <w:vAlign w:val="center"/>
          </w:tcPr>
          <w:p>
            <w:pPr>
              <w:pStyle w:val="15"/>
              <w:spacing w:before="0" w:after="0" w:line="240" w:lineRule="auto"/>
            </w:pPr>
            <w:r>
              <w:rPr>
                <w:sz w:val="20"/>
                <w:szCs w:val="20"/>
              </w:rPr>
              <w:t>His</w:t>
            </w:r>
          </w:p>
        </w:tc>
        <w:tc>
          <w:tcPr>
            <w:tcW w:w="936" w:type="dxa"/>
            <w:tcBorders>
              <w:bottom w:val="single" w:color="000000" w:sz="8" w:space="0"/>
            </w:tcBorders>
            <w:vAlign w:val="center"/>
          </w:tcPr>
          <w:p>
            <w:pPr>
              <w:pStyle w:val="15"/>
              <w:spacing w:before="0" w:after="0" w:line="240" w:lineRule="auto"/>
            </w:pPr>
            <w:r>
              <w:rPr>
                <w:sz w:val="20"/>
                <w:szCs w:val="20"/>
              </w:rPr>
              <w:t>Cys</w:t>
            </w:r>
          </w:p>
        </w:tc>
        <w:tc>
          <w:tcPr>
            <w:tcW w:w="936" w:type="dxa"/>
            <w:tcBorders>
              <w:bottom w:val="single" w:color="000000" w:sz="8" w:space="0"/>
            </w:tcBorders>
            <w:vAlign w:val="center"/>
          </w:tcPr>
          <w:p>
            <w:pPr>
              <w:pStyle w:val="15"/>
              <w:spacing w:before="0" w:after="0" w:line="240" w:lineRule="auto"/>
            </w:pPr>
            <w:r>
              <w:rPr>
                <w:sz w:val="20"/>
                <w:szCs w:val="20"/>
              </w:rPr>
              <w:t>R+K</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936" w:type="dxa"/>
            <w:vAlign w:val="center"/>
          </w:tcPr>
          <w:p>
            <w:pPr>
              <w:pStyle w:val="15"/>
              <w:spacing w:before="0" w:after="0" w:line="240" w:lineRule="auto"/>
            </w:pPr>
            <w:r>
              <w:rPr>
                <w:sz w:val="20"/>
                <w:szCs w:val="20"/>
              </w:rPr>
              <w:t>ALLLHRC</w:t>
            </w:r>
          </w:p>
        </w:tc>
        <w:tc>
          <w:tcPr>
            <w:tcW w:w="936" w:type="dxa"/>
            <w:vAlign w:val="center"/>
          </w:tcPr>
          <w:p>
            <w:pPr>
              <w:pStyle w:val="15"/>
              <w:spacing w:before="0" w:after="0" w:line="240" w:lineRule="auto"/>
            </w:pPr>
            <w:r>
              <w:rPr>
                <w:sz w:val="20"/>
                <w:szCs w:val="20"/>
              </w:rPr>
              <w:t>7</w:t>
            </w:r>
          </w:p>
        </w:tc>
        <w:tc>
          <w:tcPr>
            <w:tcW w:w="936" w:type="dxa"/>
            <w:vAlign w:val="center"/>
          </w:tcPr>
          <w:p>
            <w:pPr>
              <w:pStyle w:val="15"/>
              <w:spacing w:before="0" w:after="0" w:line="240" w:lineRule="auto"/>
            </w:pPr>
            <w:r>
              <w:rPr>
                <w:sz w:val="20"/>
                <w:szCs w:val="20"/>
              </w:rPr>
              <w:t>825.03</w:t>
            </w:r>
          </w:p>
        </w:tc>
        <w:tc>
          <w:tcPr>
            <w:tcW w:w="936" w:type="dxa"/>
            <w:vAlign w:val="center"/>
          </w:tcPr>
          <w:p>
            <w:pPr>
              <w:pStyle w:val="15"/>
              <w:spacing w:before="0" w:after="0" w:line="240" w:lineRule="auto"/>
            </w:pPr>
            <w:r>
              <w:rPr>
                <w:sz w:val="20"/>
                <w:szCs w:val="20"/>
              </w:rPr>
              <w:t>9.00</w:t>
            </w:r>
          </w:p>
        </w:tc>
        <w:tc>
          <w:tcPr>
            <w:tcW w:w="936" w:type="dxa"/>
            <w:vAlign w:val="center"/>
          </w:tcPr>
          <w:p>
            <w:pPr>
              <w:pStyle w:val="15"/>
              <w:spacing w:before="0" w:after="0" w:line="240" w:lineRule="auto"/>
            </w:pPr>
            <w:r>
              <w:rPr>
                <w:sz w:val="20"/>
                <w:szCs w:val="20"/>
              </w:rPr>
              <w:t>0.92</w:t>
            </w:r>
          </w:p>
        </w:tc>
        <w:tc>
          <w:tcPr>
            <w:tcW w:w="936" w:type="dxa"/>
            <w:vAlign w:val="center"/>
          </w:tcPr>
          <w:p>
            <w:pPr>
              <w:pStyle w:val="15"/>
              <w:spacing w:before="0" w:after="0" w:line="240" w:lineRule="auto"/>
            </w:pPr>
            <w:r>
              <w:rPr>
                <w:sz w:val="20"/>
                <w:szCs w:val="20"/>
              </w:rPr>
              <w:t>1.14</w:t>
            </w:r>
          </w:p>
        </w:tc>
        <w:tc>
          <w:tcPr>
            <w:tcW w:w="936" w:type="dxa"/>
            <w:vAlign w:val="center"/>
          </w:tcPr>
          <w:p>
            <w:pPr>
              <w:pStyle w:val="15"/>
              <w:spacing w:before="0" w:after="0" w:line="240" w:lineRule="auto"/>
            </w:pPr>
            <w:r>
              <w:rPr>
                <w:sz w:val="20"/>
                <w:szCs w:val="20"/>
              </w:rPr>
              <w:t>181.4</w:t>
            </w:r>
          </w:p>
        </w:tc>
        <w:tc>
          <w:tcPr>
            <w:tcW w:w="936" w:type="dxa"/>
            <w:vAlign w:val="center"/>
          </w:tcPr>
          <w:p>
            <w:pPr>
              <w:pStyle w:val="15"/>
              <w:spacing w:before="0" w:after="0" w:line="240" w:lineRule="auto"/>
            </w:pPr>
            <w:r>
              <w:rPr>
                <w:sz w:val="20"/>
                <w:szCs w:val="20"/>
              </w:rPr>
              <w:t>1</w:t>
            </w:r>
          </w:p>
        </w:tc>
        <w:tc>
          <w:tcPr>
            <w:tcW w:w="936" w:type="dxa"/>
            <w:vAlign w:val="center"/>
          </w:tcPr>
          <w:p>
            <w:pPr>
              <w:pStyle w:val="15"/>
              <w:spacing w:before="0" w:after="0" w:line="240" w:lineRule="auto"/>
            </w:pPr>
            <w:r>
              <w:rPr>
                <w:sz w:val="20"/>
                <w:szCs w:val="20"/>
              </w:rPr>
              <w:t>1</w:t>
            </w:r>
          </w:p>
        </w:tc>
        <w:tc>
          <w:tcPr>
            <w:tcW w:w="936" w:type="dxa"/>
            <w:vAlign w:val="center"/>
          </w:tcPr>
          <w:p>
            <w:pPr>
              <w:pStyle w:val="15"/>
              <w:spacing w:before="0" w:after="0" w:line="240" w:lineRule="auto"/>
            </w:pPr>
            <w:r>
              <w:rPr>
                <w:sz w:val="20"/>
                <w:szCs w:val="20"/>
              </w:rPr>
              <w:t>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936" w:type="dxa"/>
            <w:vAlign w:val="center"/>
          </w:tcPr>
          <w:p>
            <w:pPr>
              <w:pStyle w:val="15"/>
              <w:spacing w:before="0" w:after="0" w:line="240" w:lineRule="auto"/>
            </w:pPr>
            <w:r>
              <w:rPr>
                <w:sz w:val="20"/>
                <w:szCs w:val="20"/>
              </w:rPr>
              <w:t>FCLHLQLR</w:t>
            </w:r>
          </w:p>
        </w:tc>
        <w:tc>
          <w:tcPr>
            <w:tcW w:w="936" w:type="dxa"/>
            <w:vAlign w:val="center"/>
          </w:tcPr>
          <w:p>
            <w:pPr>
              <w:pStyle w:val="15"/>
              <w:spacing w:before="0" w:after="0" w:line="240" w:lineRule="auto"/>
            </w:pPr>
            <w:r>
              <w:rPr>
                <w:sz w:val="20"/>
                <w:szCs w:val="20"/>
              </w:rPr>
              <w:t>8</w:t>
            </w:r>
          </w:p>
        </w:tc>
        <w:tc>
          <w:tcPr>
            <w:tcW w:w="936" w:type="dxa"/>
            <w:vAlign w:val="center"/>
          </w:tcPr>
          <w:p>
            <w:pPr>
              <w:pStyle w:val="15"/>
              <w:spacing w:before="0" w:after="0" w:line="240" w:lineRule="auto"/>
            </w:pPr>
            <w:r>
              <w:rPr>
                <w:sz w:val="20"/>
                <w:szCs w:val="20"/>
              </w:rPr>
              <w:t>1029.26</w:t>
            </w:r>
          </w:p>
        </w:tc>
        <w:tc>
          <w:tcPr>
            <w:tcW w:w="936" w:type="dxa"/>
            <w:vAlign w:val="center"/>
          </w:tcPr>
          <w:p>
            <w:pPr>
              <w:pStyle w:val="15"/>
              <w:spacing w:before="0" w:after="0" w:line="240" w:lineRule="auto"/>
            </w:pPr>
            <w:r>
              <w:rPr>
                <w:sz w:val="20"/>
                <w:szCs w:val="20"/>
              </w:rPr>
              <w:t>9.00</w:t>
            </w:r>
          </w:p>
        </w:tc>
        <w:tc>
          <w:tcPr>
            <w:tcW w:w="936" w:type="dxa"/>
            <w:vAlign w:val="center"/>
          </w:tcPr>
          <w:p>
            <w:pPr>
              <w:pStyle w:val="15"/>
              <w:spacing w:before="0" w:after="0" w:line="240" w:lineRule="auto"/>
            </w:pPr>
            <w:r>
              <w:rPr>
                <w:sz w:val="20"/>
                <w:szCs w:val="20"/>
              </w:rPr>
              <w:t>0.92</w:t>
            </w:r>
          </w:p>
        </w:tc>
        <w:tc>
          <w:tcPr>
            <w:tcW w:w="936" w:type="dxa"/>
            <w:vAlign w:val="center"/>
          </w:tcPr>
          <w:p>
            <w:pPr>
              <w:pStyle w:val="15"/>
              <w:spacing w:before="0" w:after="0" w:line="240" w:lineRule="auto"/>
            </w:pPr>
            <w:r>
              <w:rPr>
                <w:sz w:val="20"/>
                <w:szCs w:val="20"/>
              </w:rPr>
              <w:t>0.69</w:t>
            </w:r>
          </w:p>
        </w:tc>
        <w:tc>
          <w:tcPr>
            <w:tcW w:w="936" w:type="dxa"/>
            <w:vAlign w:val="center"/>
          </w:tcPr>
          <w:p>
            <w:pPr>
              <w:pStyle w:val="15"/>
              <w:spacing w:before="0" w:after="0" w:line="240" w:lineRule="auto"/>
            </w:pPr>
            <w:r>
              <w:rPr>
                <w:sz w:val="20"/>
                <w:szCs w:val="20"/>
              </w:rPr>
              <w:t>146.2</w:t>
            </w:r>
          </w:p>
        </w:tc>
        <w:tc>
          <w:tcPr>
            <w:tcW w:w="936" w:type="dxa"/>
            <w:vAlign w:val="center"/>
          </w:tcPr>
          <w:p>
            <w:pPr>
              <w:pStyle w:val="15"/>
              <w:spacing w:before="0" w:after="0" w:line="240" w:lineRule="auto"/>
            </w:pPr>
            <w:r>
              <w:rPr>
                <w:sz w:val="20"/>
                <w:szCs w:val="20"/>
              </w:rPr>
              <w:t>1</w:t>
            </w:r>
          </w:p>
        </w:tc>
        <w:tc>
          <w:tcPr>
            <w:tcW w:w="936" w:type="dxa"/>
            <w:vAlign w:val="center"/>
          </w:tcPr>
          <w:p>
            <w:pPr>
              <w:pStyle w:val="15"/>
              <w:spacing w:before="0" w:after="0" w:line="240" w:lineRule="auto"/>
            </w:pPr>
            <w:r>
              <w:rPr>
                <w:sz w:val="20"/>
                <w:szCs w:val="20"/>
              </w:rPr>
              <w:t>1</w:t>
            </w:r>
          </w:p>
        </w:tc>
        <w:tc>
          <w:tcPr>
            <w:tcW w:w="936" w:type="dxa"/>
            <w:vAlign w:val="center"/>
          </w:tcPr>
          <w:p>
            <w:pPr>
              <w:pStyle w:val="15"/>
              <w:spacing w:before="0" w:after="0" w:line="240" w:lineRule="auto"/>
            </w:pPr>
            <w:r>
              <w:rPr>
                <w:sz w:val="20"/>
                <w:szCs w:val="20"/>
              </w:rPr>
              <w:t>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936" w:type="dxa"/>
            <w:vAlign w:val="center"/>
          </w:tcPr>
          <w:p>
            <w:pPr>
              <w:pStyle w:val="15"/>
              <w:spacing w:before="0" w:after="0" w:line="240" w:lineRule="auto"/>
            </w:pPr>
            <w:r>
              <w:rPr>
                <w:sz w:val="20"/>
                <w:szCs w:val="20"/>
              </w:rPr>
              <w:t>FLLHTTR</w:t>
            </w:r>
          </w:p>
        </w:tc>
        <w:tc>
          <w:tcPr>
            <w:tcW w:w="936" w:type="dxa"/>
            <w:vAlign w:val="center"/>
          </w:tcPr>
          <w:p>
            <w:pPr>
              <w:pStyle w:val="15"/>
              <w:spacing w:before="0" w:after="0" w:line="240" w:lineRule="auto"/>
            </w:pPr>
            <w:r>
              <w:rPr>
                <w:sz w:val="20"/>
                <w:szCs w:val="20"/>
              </w:rPr>
              <w:t>7</w:t>
            </w:r>
          </w:p>
        </w:tc>
        <w:tc>
          <w:tcPr>
            <w:tcW w:w="936" w:type="dxa"/>
            <w:vAlign w:val="center"/>
          </w:tcPr>
          <w:p>
            <w:pPr>
              <w:pStyle w:val="15"/>
              <w:spacing w:before="0" w:after="0" w:line="240" w:lineRule="auto"/>
            </w:pPr>
            <w:r>
              <w:rPr>
                <w:sz w:val="20"/>
                <w:szCs w:val="20"/>
              </w:rPr>
              <w:t>887.04</w:t>
            </w:r>
          </w:p>
        </w:tc>
        <w:tc>
          <w:tcPr>
            <w:tcW w:w="936" w:type="dxa"/>
            <w:vAlign w:val="center"/>
          </w:tcPr>
          <w:p>
            <w:pPr>
              <w:pStyle w:val="15"/>
              <w:spacing w:before="0" w:after="0" w:line="240" w:lineRule="auto"/>
            </w:pPr>
            <w:r>
              <w:rPr>
                <w:sz w:val="20"/>
                <w:szCs w:val="20"/>
              </w:rPr>
              <w:t>11.09</w:t>
            </w:r>
          </w:p>
        </w:tc>
        <w:tc>
          <w:tcPr>
            <w:tcW w:w="936" w:type="dxa"/>
            <w:vAlign w:val="center"/>
          </w:tcPr>
          <w:p>
            <w:pPr>
              <w:pStyle w:val="15"/>
              <w:spacing w:before="0" w:after="0" w:line="240" w:lineRule="auto"/>
            </w:pPr>
            <w:r>
              <w:rPr>
                <w:sz w:val="20"/>
                <w:szCs w:val="20"/>
              </w:rPr>
              <w:t>1.04</w:t>
            </w:r>
          </w:p>
        </w:tc>
        <w:tc>
          <w:tcPr>
            <w:tcW w:w="936" w:type="dxa"/>
            <w:vAlign w:val="center"/>
          </w:tcPr>
          <w:p>
            <w:pPr>
              <w:pStyle w:val="15"/>
              <w:spacing w:before="0" w:after="0" w:line="240" w:lineRule="auto"/>
            </w:pPr>
            <w:r>
              <w:rPr>
                <w:sz w:val="20"/>
                <w:szCs w:val="20"/>
              </w:rPr>
              <w:t>0.19</w:t>
            </w:r>
          </w:p>
        </w:tc>
        <w:tc>
          <w:tcPr>
            <w:tcW w:w="936" w:type="dxa"/>
            <w:vAlign w:val="center"/>
          </w:tcPr>
          <w:p>
            <w:pPr>
              <w:pStyle w:val="15"/>
              <w:spacing w:before="0" w:after="0" w:line="240" w:lineRule="auto"/>
            </w:pPr>
            <w:r>
              <w:rPr>
                <w:sz w:val="20"/>
                <w:szCs w:val="20"/>
              </w:rPr>
              <w:t>111.4</w:t>
            </w:r>
          </w:p>
        </w:tc>
        <w:tc>
          <w:tcPr>
            <w:tcW w:w="936" w:type="dxa"/>
            <w:vAlign w:val="center"/>
          </w:tcPr>
          <w:p>
            <w:pPr>
              <w:pStyle w:val="15"/>
              <w:spacing w:before="0" w:after="0" w:line="240" w:lineRule="auto"/>
            </w:pPr>
            <w:r>
              <w:rPr>
                <w:sz w:val="20"/>
                <w:szCs w:val="20"/>
              </w:rPr>
              <w:t>1</w:t>
            </w:r>
          </w:p>
        </w:tc>
        <w:tc>
          <w:tcPr>
            <w:tcW w:w="936" w:type="dxa"/>
            <w:vAlign w:val="center"/>
          </w:tcPr>
          <w:p>
            <w:pPr>
              <w:pStyle w:val="15"/>
              <w:spacing w:before="0" w:after="0" w:line="240" w:lineRule="auto"/>
            </w:pPr>
            <w:r>
              <w:rPr>
                <w:sz w:val="20"/>
                <w:szCs w:val="20"/>
              </w:rPr>
              <w:t>0</w:t>
            </w:r>
          </w:p>
        </w:tc>
        <w:tc>
          <w:tcPr>
            <w:tcW w:w="936" w:type="dxa"/>
            <w:vAlign w:val="center"/>
          </w:tcPr>
          <w:p>
            <w:pPr>
              <w:pStyle w:val="15"/>
              <w:spacing w:before="0" w:after="0" w:line="240" w:lineRule="auto"/>
            </w:pPr>
            <w:r>
              <w:rPr>
                <w:sz w:val="20"/>
                <w:szCs w:val="20"/>
              </w:rPr>
              <w:t>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936" w:type="dxa"/>
            <w:vAlign w:val="center"/>
          </w:tcPr>
          <w:p>
            <w:pPr>
              <w:pStyle w:val="15"/>
              <w:spacing w:before="0" w:after="0" w:line="240" w:lineRule="auto"/>
            </w:pPr>
            <w:r>
              <w:rPr>
                <w:sz w:val="20"/>
                <w:szCs w:val="20"/>
              </w:rPr>
              <w:t>HLLTLKKHV</w:t>
            </w:r>
          </w:p>
        </w:tc>
        <w:tc>
          <w:tcPr>
            <w:tcW w:w="936" w:type="dxa"/>
            <w:vAlign w:val="center"/>
          </w:tcPr>
          <w:p>
            <w:pPr>
              <w:pStyle w:val="15"/>
              <w:spacing w:before="0" w:after="0" w:line="240" w:lineRule="auto"/>
            </w:pPr>
            <w:r>
              <w:rPr>
                <w:sz w:val="20"/>
                <w:szCs w:val="20"/>
              </w:rPr>
              <w:t>9</w:t>
            </w:r>
          </w:p>
        </w:tc>
        <w:tc>
          <w:tcPr>
            <w:tcW w:w="936" w:type="dxa"/>
            <w:vAlign w:val="center"/>
          </w:tcPr>
          <w:p>
            <w:pPr>
              <w:pStyle w:val="15"/>
              <w:spacing w:before="0" w:after="0" w:line="240" w:lineRule="auto"/>
            </w:pPr>
            <w:r>
              <w:rPr>
                <w:sz w:val="20"/>
                <w:szCs w:val="20"/>
              </w:rPr>
              <w:t>1088.35</w:t>
            </w:r>
          </w:p>
        </w:tc>
        <w:tc>
          <w:tcPr>
            <w:tcW w:w="936" w:type="dxa"/>
            <w:vAlign w:val="center"/>
          </w:tcPr>
          <w:p>
            <w:pPr>
              <w:pStyle w:val="15"/>
              <w:spacing w:before="0" w:after="0" w:line="240" w:lineRule="auto"/>
            </w:pPr>
            <w:r>
              <w:rPr>
                <w:sz w:val="20"/>
                <w:szCs w:val="20"/>
              </w:rPr>
              <w:t>10.63</w:t>
            </w:r>
          </w:p>
        </w:tc>
        <w:tc>
          <w:tcPr>
            <w:tcW w:w="936" w:type="dxa"/>
            <w:vAlign w:val="center"/>
          </w:tcPr>
          <w:p>
            <w:pPr>
              <w:pStyle w:val="15"/>
              <w:spacing w:before="0" w:after="0" w:line="240" w:lineRule="auto"/>
            </w:pPr>
            <w:r>
              <w:rPr>
                <w:sz w:val="20"/>
                <w:szCs w:val="20"/>
              </w:rPr>
              <w:t>2.08</w:t>
            </w:r>
          </w:p>
        </w:tc>
        <w:tc>
          <w:tcPr>
            <w:tcW w:w="936" w:type="dxa"/>
            <w:vAlign w:val="center"/>
          </w:tcPr>
          <w:p>
            <w:pPr>
              <w:pStyle w:val="15"/>
              <w:spacing w:before="0" w:after="0" w:line="240" w:lineRule="auto"/>
            </w:pPr>
            <w:r>
              <w:rPr>
                <w:sz w:val="20"/>
                <w:szCs w:val="20"/>
              </w:rPr>
              <w:t>0.08</w:t>
            </w:r>
          </w:p>
        </w:tc>
        <w:tc>
          <w:tcPr>
            <w:tcW w:w="936" w:type="dxa"/>
            <w:vAlign w:val="center"/>
          </w:tcPr>
          <w:p>
            <w:pPr>
              <w:pStyle w:val="15"/>
              <w:spacing w:before="0" w:after="0" w:line="240" w:lineRule="auto"/>
            </w:pPr>
            <w:r>
              <w:rPr>
                <w:sz w:val="20"/>
                <w:szCs w:val="20"/>
              </w:rPr>
              <w:t>162.2</w:t>
            </w:r>
          </w:p>
        </w:tc>
        <w:tc>
          <w:tcPr>
            <w:tcW w:w="936" w:type="dxa"/>
            <w:vAlign w:val="center"/>
          </w:tcPr>
          <w:p>
            <w:pPr>
              <w:pStyle w:val="15"/>
              <w:spacing w:before="0" w:after="0" w:line="240" w:lineRule="auto"/>
            </w:pPr>
            <w:r>
              <w:rPr>
                <w:sz w:val="20"/>
                <w:szCs w:val="20"/>
              </w:rPr>
              <w:t>2</w:t>
            </w:r>
          </w:p>
        </w:tc>
        <w:tc>
          <w:tcPr>
            <w:tcW w:w="936" w:type="dxa"/>
            <w:vAlign w:val="center"/>
          </w:tcPr>
          <w:p>
            <w:pPr>
              <w:pStyle w:val="15"/>
              <w:spacing w:before="0" w:after="0" w:line="240" w:lineRule="auto"/>
            </w:pPr>
            <w:r>
              <w:rPr>
                <w:sz w:val="20"/>
                <w:szCs w:val="20"/>
              </w:rPr>
              <w:t>0</w:t>
            </w:r>
          </w:p>
        </w:tc>
        <w:tc>
          <w:tcPr>
            <w:tcW w:w="936" w:type="dxa"/>
            <w:vAlign w:val="center"/>
          </w:tcPr>
          <w:p>
            <w:pPr>
              <w:pStyle w:val="15"/>
              <w:spacing w:before="0" w:after="0" w:line="240" w:lineRule="auto"/>
            </w:pPr>
            <w:r>
              <w:rPr>
                <w:sz w:val="20"/>
                <w:szCs w:val="20"/>
              </w:rPr>
              <w:t>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936" w:type="dxa"/>
            <w:vAlign w:val="center"/>
          </w:tcPr>
          <w:p>
            <w:pPr>
              <w:pStyle w:val="15"/>
              <w:spacing w:before="0" w:after="0" w:line="240" w:lineRule="auto"/>
            </w:pPr>
            <w:r>
              <w:rPr>
                <w:sz w:val="20"/>
                <w:szCs w:val="20"/>
              </w:rPr>
              <w:t>HLPLLHRCC</w:t>
            </w:r>
          </w:p>
        </w:tc>
        <w:tc>
          <w:tcPr>
            <w:tcW w:w="936" w:type="dxa"/>
            <w:vAlign w:val="center"/>
          </w:tcPr>
          <w:p>
            <w:pPr>
              <w:pStyle w:val="15"/>
              <w:spacing w:before="0" w:after="0" w:line="240" w:lineRule="auto"/>
            </w:pPr>
            <w:r>
              <w:rPr>
                <w:sz w:val="20"/>
                <w:szCs w:val="20"/>
              </w:rPr>
              <w:t>9</w:t>
            </w:r>
          </w:p>
        </w:tc>
        <w:tc>
          <w:tcPr>
            <w:tcW w:w="936" w:type="dxa"/>
            <w:vAlign w:val="center"/>
          </w:tcPr>
          <w:p>
            <w:pPr>
              <w:pStyle w:val="15"/>
              <w:spacing w:before="0" w:after="0" w:line="240" w:lineRule="auto"/>
            </w:pPr>
            <w:r>
              <w:rPr>
                <w:sz w:val="20"/>
                <w:szCs w:val="20"/>
              </w:rPr>
              <w:t>1091.35</w:t>
            </w:r>
          </w:p>
        </w:tc>
        <w:tc>
          <w:tcPr>
            <w:tcW w:w="936" w:type="dxa"/>
            <w:vAlign w:val="center"/>
          </w:tcPr>
          <w:p>
            <w:pPr>
              <w:pStyle w:val="15"/>
              <w:spacing w:before="0" w:after="0" w:line="240" w:lineRule="auto"/>
            </w:pPr>
            <w:r>
              <w:rPr>
                <w:sz w:val="20"/>
                <w:szCs w:val="20"/>
              </w:rPr>
              <w:t>8.28</w:t>
            </w:r>
          </w:p>
        </w:tc>
        <w:tc>
          <w:tcPr>
            <w:tcW w:w="936" w:type="dxa"/>
            <w:vAlign w:val="center"/>
          </w:tcPr>
          <w:p>
            <w:pPr>
              <w:pStyle w:val="15"/>
              <w:spacing w:before="0" w:after="0" w:line="240" w:lineRule="auto"/>
            </w:pPr>
            <w:r>
              <w:rPr>
                <w:sz w:val="20"/>
                <w:szCs w:val="20"/>
              </w:rPr>
              <w:t>0.85</w:t>
            </w:r>
          </w:p>
        </w:tc>
        <w:tc>
          <w:tcPr>
            <w:tcW w:w="936" w:type="dxa"/>
            <w:vAlign w:val="center"/>
          </w:tcPr>
          <w:p>
            <w:pPr>
              <w:pStyle w:val="15"/>
              <w:spacing w:before="0" w:after="0" w:line="240" w:lineRule="auto"/>
            </w:pPr>
            <w:r>
              <w:rPr>
                <w:sz w:val="20"/>
                <w:szCs w:val="20"/>
              </w:rPr>
              <w:t>0.43</w:t>
            </w:r>
          </w:p>
        </w:tc>
        <w:tc>
          <w:tcPr>
            <w:tcW w:w="936" w:type="dxa"/>
            <w:vAlign w:val="center"/>
          </w:tcPr>
          <w:p>
            <w:pPr>
              <w:pStyle w:val="15"/>
              <w:spacing w:before="0" w:after="0" w:line="240" w:lineRule="auto"/>
            </w:pPr>
            <w:r>
              <w:rPr>
                <w:sz w:val="20"/>
                <w:szCs w:val="20"/>
              </w:rPr>
              <w:t>130.0</w:t>
            </w:r>
          </w:p>
        </w:tc>
        <w:tc>
          <w:tcPr>
            <w:tcW w:w="936" w:type="dxa"/>
            <w:vAlign w:val="center"/>
          </w:tcPr>
          <w:p>
            <w:pPr>
              <w:pStyle w:val="15"/>
              <w:spacing w:before="0" w:after="0" w:line="240" w:lineRule="auto"/>
            </w:pPr>
            <w:r>
              <w:rPr>
                <w:sz w:val="20"/>
                <w:szCs w:val="20"/>
              </w:rPr>
              <w:t>2</w:t>
            </w:r>
          </w:p>
        </w:tc>
        <w:tc>
          <w:tcPr>
            <w:tcW w:w="936" w:type="dxa"/>
            <w:vAlign w:val="center"/>
          </w:tcPr>
          <w:p>
            <w:pPr>
              <w:pStyle w:val="15"/>
              <w:spacing w:before="0" w:after="0" w:line="240" w:lineRule="auto"/>
            </w:pPr>
            <w:r>
              <w:rPr>
                <w:sz w:val="20"/>
                <w:szCs w:val="20"/>
              </w:rPr>
              <w:t>2</w:t>
            </w:r>
          </w:p>
        </w:tc>
        <w:tc>
          <w:tcPr>
            <w:tcW w:w="936" w:type="dxa"/>
            <w:vAlign w:val="center"/>
          </w:tcPr>
          <w:p>
            <w:pPr>
              <w:pStyle w:val="15"/>
              <w:spacing w:before="0" w:after="0" w:line="240" w:lineRule="auto"/>
            </w:pPr>
            <w:r>
              <w:rPr>
                <w:sz w:val="20"/>
                <w:szCs w:val="20"/>
              </w:rPr>
              <w:t>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936" w:type="dxa"/>
            <w:vAlign w:val="center"/>
          </w:tcPr>
          <w:p>
            <w:pPr>
              <w:pStyle w:val="15"/>
              <w:spacing w:before="0" w:after="0" w:line="240" w:lineRule="auto"/>
            </w:pPr>
            <w:r>
              <w:rPr>
                <w:sz w:val="20"/>
                <w:szCs w:val="20"/>
              </w:rPr>
              <w:t>HVLLLRQCA</w:t>
            </w:r>
          </w:p>
        </w:tc>
        <w:tc>
          <w:tcPr>
            <w:tcW w:w="936" w:type="dxa"/>
            <w:vAlign w:val="center"/>
          </w:tcPr>
          <w:p>
            <w:pPr>
              <w:pStyle w:val="15"/>
              <w:spacing w:before="0" w:after="0" w:line="240" w:lineRule="auto"/>
            </w:pPr>
            <w:r>
              <w:rPr>
                <w:sz w:val="20"/>
                <w:szCs w:val="20"/>
              </w:rPr>
              <w:t>9</w:t>
            </w:r>
          </w:p>
        </w:tc>
        <w:tc>
          <w:tcPr>
            <w:tcW w:w="936" w:type="dxa"/>
            <w:vAlign w:val="center"/>
          </w:tcPr>
          <w:p>
            <w:pPr>
              <w:pStyle w:val="15"/>
              <w:spacing w:before="0" w:after="0" w:line="240" w:lineRule="auto"/>
            </w:pPr>
            <w:r>
              <w:rPr>
                <w:sz w:val="20"/>
                <w:szCs w:val="20"/>
              </w:rPr>
              <w:t>1052.30</w:t>
            </w:r>
          </w:p>
        </w:tc>
        <w:tc>
          <w:tcPr>
            <w:tcW w:w="936" w:type="dxa"/>
            <w:vAlign w:val="center"/>
          </w:tcPr>
          <w:p>
            <w:pPr>
              <w:pStyle w:val="15"/>
              <w:spacing w:before="0" w:after="0" w:line="240" w:lineRule="auto"/>
            </w:pPr>
            <w:r>
              <w:rPr>
                <w:sz w:val="20"/>
                <w:szCs w:val="20"/>
              </w:rPr>
              <w:t>9.00</w:t>
            </w:r>
          </w:p>
        </w:tc>
        <w:tc>
          <w:tcPr>
            <w:tcW w:w="936" w:type="dxa"/>
            <w:vAlign w:val="center"/>
          </w:tcPr>
          <w:p>
            <w:pPr>
              <w:pStyle w:val="15"/>
              <w:spacing w:before="0" w:after="0" w:line="240" w:lineRule="auto"/>
            </w:pPr>
            <w:r>
              <w:rPr>
                <w:sz w:val="20"/>
                <w:szCs w:val="20"/>
              </w:rPr>
              <w:t>0.92</w:t>
            </w:r>
          </w:p>
        </w:tc>
        <w:tc>
          <w:tcPr>
            <w:tcW w:w="936" w:type="dxa"/>
            <w:vAlign w:val="center"/>
          </w:tcPr>
          <w:p>
            <w:pPr>
              <w:pStyle w:val="15"/>
              <w:spacing w:before="0" w:after="0" w:line="240" w:lineRule="auto"/>
            </w:pPr>
            <w:r>
              <w:rPr>
                <w:sz w:val="20"/>
                <w:szCs w:val="20"/>
              </w:rPr>
              <w:t>0.97</w:t>
            </w:r>
          </w:p>
        </w:tc>
        <w:tc>
          <w:tcPr>
            <w:tcW w:w="936" w:type="dxa"/>
            <w:vAlign w:val="center"/>
          </w:tcPr>
          <w:p>
            <w:pPr>
              <w:pStyle w:val="15"/>
              <w:spacing w:before="0" w:after="0" w:line="240" w:lineRule="auto"/>
            </w:pPr>
            <w:r>
              <w:rPr>
                <w:sz w:val="20"/>
                <w:szCs w:val="20"/>
              </w:rPr>
              <w:t>173.3</w:t>
            </w:r>
          </w:p>
        </w:tc>
        <w:tc>
          <w:tcPr>
            <w:tcW w:w="936" w:type="dxa"/>
            <w:vAlign w:val="center"/>
          </w:tcPr>
          <w:p>
            <w:pPr>
              <w:pStyle w:val="15"/>
              <w:spacing w:before="0" w:after="0" w:line="240" w:lineRule="auto"/>
            </w:pPr>
            <w:r>
              <w:rPr>
                <w:sz w:val="20"/>
                <w:szCs w:val="20"/>
              </w:rPr>
              <w:t>1</w:t>
            </w:r>
          </w:p>
        </w:tc>
        <w:tc>
          <w:tcPr>
            <w:tcW w:w="936" w:type="dxa"/>
            <w:vAlign w:val="center"/>
          </w:tcPr>
          <w:p>
            <w:pPr>
              <w:pStyle w:val="15"/>
              <w:spacing w:before="0" w:after="0" w:line="240" w:lineRule="auto"/>
            </w:pPr>
            <w:r>
              <w:rPr>
                <w:sz w:val="20"/>
                <w:szCs w:val="20"/>
              </w:rPr>
              <w:t>1</w:t>
            </w:r>
          </w:p>
        </w:tc>
        <w:tc>
          <w:tcPr>
            <w:tcW w:w="936" w:type="dxa"/>
            <w:vAlign w:val="center"/>
          </w:tcPr>
          <w:p>
            <w:pPr>
              <w:pStyle w:val="15"/>
              <w:spacing w:before="0" w:after="0" w:line="240" w:lineRule="auto"/>
            </w:pPr>
            <w:r>
              <w:rPr>
                <w:sz w:val="20"/>
                <w:szCs w:val="20"/>
              </w:rPr>
              <w:t>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936" w:type="dxa"/>
            <w:vAlign w:val="center"/>
          </w:tcPr>
          <w:p>
            <w:pPr>
              <w:pStyle w:val="15"/>
              <w:spacing w:before="0" w:after="0" w:line="240" w:lineRule="auto"/>
            </w:pPr>
            <w:r>
              <w:rPr>
                <w:sz w:val="20"/>
                <w:szCs w:val="20"/>
              </w:rPr>
              <w:t>LLHLPKRTT</w:t>
            </w:r>
          </w:p>
        </w:tc>
        <w:tc>
          <w:tcPr>
            <w:tcW w:w="936" w:type="dxa"/>
            <w:vAlign w:val="center"/>
          </w:tcPr>
          <w:p>
            <w:pPr>
              <w:pStyle w:val="15"/>
              <w:spacing w:before="0" w:after="0" w:line="240" w:lineRule="auto"/>
            </w:pPr>
            <w:r>
              <w:rPr>
                <w:sz w:val="20"/>
                <w:szCs w:val="20"/>
              </w:rPr>
              <w:t>9</w:t>
            </w:r>
          </w:p>
        </w:tc>
        <w:tc>
          <w:tcPr>
            <w:tcW w:w="936" w:type="dxa"/>
            <w:vAlign w:val="center"/>
          </w:tcPr>
          <w:p>
            <w:pPr>
              <w:pStyle w:val="15"/>
              <w:spacing w:before="0" w:after="0" w:line="240" w:lineRule="auto"/>
            </w:pPr>
            <w:r>
              <w:rPr>
                <w:sz w:val="20"/>
                <w:szCs w:val="20"/>
              </w:rPr>
              <w:t>1078.32</w:t>
            </w:r>
          </w:p>
        </w:tc>
        <w:tc>
          <w:tcPr>
            <w:tcW w:w="936" w:type="dxa"/>
            <w:vAlign w:val="center"/>
          </w:tcPr>
          <w:p>
            <w:pPr>
              <w:pStyle w:val="15"/>
              <w:spacing w:before="0" w:after="0" w:line="240" w:lineRule="auto"/>
            </w:pPr>
            <w:r>
              <w:rPr>
                <w:sz w:val="20"/>
                <w:szCs w:val="20"/>
              </w:rPr>
              <w:t>11.54</w:t>
            </w:r>
          </w:p>
        </w:tc>
        <w:tc>
          <w:tcPr>
            <w:tcW w:w="936" w:type="dxa"/>
            <w:vAlign w:val="center"/>
          </w:tcPr>
          <w:p>
            <w:pPr>
              <w:pStyle w:val="15"/>
              <w:spacing w:before="0" w:after="0" w:line="240" w:lineRule="auto"/>
            </w:pPr>
            <w:r>
              <w:rPr>
                <w:sz w:val="20"/>
                <w:szCs w:val="20"/>
              </w:rPr>
              <w:t>2.04</w:t>
            </w:r>
          </w:p>
        </w:tc>
        <w:tc>
          <w:tcPr>
            <w:tcW w:w="936" w:type="dxa"/>
            <w:vAlign w:val="center"/>
          </w:tcPr>
          <w:p>
            <w:pPr>
              <w:pStyle w:val="15"/>
              <w:spacing w:before="0" w:after="0" w:line="240" w:lineRule="auto"/>
            </w:pPr>
            <w:r>
              <w:rPr>
                <w:sz w:val="20"/>
                <w:szCs w:val="20"/>
              </w:rPr>
              <w:t>−0.36</w:t>
            </w:r>
          </w:p>
        </w:tc>
        <w:tc>
          <w:tcPr>
            <w:tcW w:w="936" w:type="dxa"/>
            <w:vAlign w:val="center"/>
          </w:tcPr>
          <w:p>
            <w:pPr>
              <w:pStyle w:val="15"/>
              <w:spacing w:before="0" w:after="0" w:line="240" w:lineRule="auto"/>
            </w:pPr>
            <w:r>
              <w:rPr>
                <w:sz w:val="20"/>
                <w:szCs w:val="20"/>
              </w:rPr>
              <w:t>130.0</w:t>
            </w:r>
          </w:p>
        </w:tc>
        <w:tc>
          <w:tcPr>
            <w:tcW w:w="936" w:type="dxa"/>
            <w:vAlign w:val="center"/>
          </w:tcPr>
          <w:p>
            <w:pPr>
              <w:pStyle w:val="15"/>
              <w:spacing w:before="0" w:after="0" w:line="240" w:lineRule="auto"/>
            </w:pPr>
            <w:r>
              <w:rPr>
                <w:sz w:val="20"/>
                <w:szCs w:val="20"/>
              </w:rPr>
              <w:t>1</w:t>
            </w:r>
          </w:p>
        </w:tc>
        <w:tc>
          <w:tcPr>
            <w:tcW w:w="936" w:type="dxa"/>
            <w:vAlign w:val="center"/>
          </w:tcPr>
          <w:p>
            <w:pPr>
              <w:pStyle w:val="15"/>
              <w:spacing w:before="0" w:after="0" w:line="240" w:lineRule="auto"/>
            </w:pPr>
            <w:r>
              <w:rPr>
                <w:sz w:val="20"/>
                <w:szCs w:val="20"/>
              </w:rPr>
              <w:t>0</w:t>
            </w:r>
          </w:p>
        </w:tc>
        <w:tc>
          <w:tcPr>
            <w:tcW w:w="936" w:type="dxa"/>
            <w:vAlign w:val="center"/>
          </w:tcPr>
          <w:p>
            <w:pPr>
              <w:pStyle w:val="15"/>
              <w:spacing w:before="0" w:after="0" w:line="240" w:lineRule="auto"/>
            </w:pPr>
            <w:r>
              <w:rPr>
                <w:sz w:val="20"/>
                <w:szCs w:val="20"/>
              </w:rPr>
              <w:t>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936" w:type="dxa"/>
            <w:vAlign w:val="center"/>
          </w:tcPr>
          <w:p>
            <w:pPr>
              <w:pStyle w:val="15"/>
              <w:spacing w:before="0" w:after="0" w:line="240" w:lineRule="auto"/>
            </w:pPr>
            <w:r>
              <w:rPr>
                <w:sz w:val="20"/>
                <w:szCs w:val="20"/>
              </w:rPr>
              <w:t>LLHPLRC</w:t>
            </w:r>
          </w:p>
        </w:tc>
        <w:tc>
          <w:tcPr>
            <w:tcW w:w="936" w:type="dxa"/>
            <w:vAlign w:val="center"/>
          </w:tcPr>
          <w:p>
            <w:pPr>
              <w:pStyle w:val="15"/>
              <w:spacing w:before="0" w:after="0" w:line="240" w:lineRule="auto"/>
            </w:pPr>
            <w:r>
              <w:rPr>
                <w:sz w:val="20"/>
                <w:szCs w:val="20"/>
              </w:rPr>
              <w:t>7</w:t>
            </w:r>
          </w:p>
        </w:tc>
        <w:tc>
          <w:tcPr>
            <w:tcW w:w="936" w:type="dxa"/>
            <w:vAlign w:val="center"/>
          </w:tcPr>
          <w:p>
            <w:pPr>
              <w:pStyle w:val="15"/>
              <w:spacing w:before="0" w:after="0" w:line="240" w:lineRule="auto"/>
            </w:pPr>
            <w:r>
              <w:rPr>
                <w:sz w:val="20"/>
                <w:szCs w:val="20"/>
              </w:rPr>
              <w:t>851.07</w:t>
            </w:r>
          </w:p>
        </w:tc>
        <w:tc>
          <w:tcPr>
            <w:tcW w:w="936" w:type="dxa"/>
            <w:vAlign w:val="center"/>
          </w:tcPr>
          <w:p>
            <w:pPr>
              <w:pStyle w:val="15"/>
              <w:spacing w:before="0" w:after="0" w:line="240" w:lineRule="auto"/>
            </w:pPr>
            <w:r>
              <w:rPr>
                <w:sz w:val="20"/>
                <w:szCs w:val="20"/>
              </w:rPr>
              <w:t>9.00</w:t>
            </w:r>
          </w:p>
        </w:tc>
        <w:tc>
          <w:tcPr>
            <w:tcW w:w="936" w:type="dxa"/>
            <w:vAlign w:val="center"/>
          </w:tcPr>
          <w:p>
            <w:pPr>
              <w:pStyle w:val="15"/>
              <w:spacing w:before="0" w:after="0" w:line="240" w:lineRule="auto"/>
            </w:pPr>
            <w:r>
              <w:rPr>
                <w:sz w:val="20"/>
                <w:szCs w:val="20"/>
              </w:rPr>
              <w:t>0.92</w:t>
            </w:r>
          </w:p>
        </w:tc>
        <w:tc>
          <w:tcPr>
            <w:tcW w:w="936" w:type="dxa"/>
            <w:vAlign w:val="center"/>
          </w:tcPr>
          <w:p>
            <w:pPr>
              <w:pStyle w:val="15"/>
              <w:spacing w:before="0" w:after="0" w:line="240" w:lineRule="auto"/>
            </w:pPr>
            <w:r>
              <w:rPr>
                <w:sz w:val="20"/>
                <w:szCs w:val="20"/>
              </w:rPr>
              <w:t>0.66</w:t>
            </w:r>
          </w:p>
        </w:tc>
        <w:tc>
          <w:tcPr>
            <w:tcW w:w="936" w:type="dxa"/>
            <w:vAlign w:val="center"/>
          </w:tcPr>
          <w:p>
            <w:pPr>
              <w:pStyle w:val="15"/>
              <w:spacing w:before="0" w:after="0" w:line="240" w:lineRule="auto"/>
            </w:pPr>
            <w:r>
              <w:rPr>
                <w:sz w:val="20"/>
                <w:szCs w:val="20"/>
              </w:rPr>
              <w:t>167.1</w:t>
            </w:r>
          </w:p>
        </w:tc>
        <w:tc>
          <w:tcPr>
            <w:tcW w:w="936" w:type="dxa"/>
            <w:vAlign w:val="center"/>
          </w:tcPr>
          <w:p>
            <w:pPr>
              <w:pStyle w:val="15"/>
              <w:spacing w:before="0" w:after="0" w:line="240" w:lineRule="auto"/>
            </w:pPr>
            <w:r>
              <w:rPr>
                <w:sz w:val="20"/>
                <w:szCs w:val="20"/>
              </w:rPr>
              <w:t>1</w:t>
            </w:r>
          </w:p>
        </w:tc>
        <w:tc>
          <w:tcPr>
            <w:tcW w:w="936" w:type="dxa"/>
            <w:vAlign w:val="center"/>
          </w:tcPr>
          <w:p>
            <w:pPr>
              <w:pStyle w:val="15"/>
              <w:spacing w:before="0" w:after="0" w:line="240" w:lineRule="auto"/>
            </w:pPr>
            <w:r>
              <w:rPr>
                <w:sz w:val="20"/>
                <w:szCs w:val="20"/>
              </w:rPr>
              <w:t>1</w:t>
            </w:r>
          </w:p>
        </w:tc>
        <w:tc>
          <w:tcPr>
            <w:tcW w:w="936" w:type="dxa"/>
            <w:vAlign w:val="center"/>
          </w:tcPr>
          <w:p>
            <w:pPr>
              <w:pStyle w:val="15"/>
              <w:spacing w:before="0" w:after="0" w:line="240" w:lineRule="auto"/>
            </w:pPr>
            <w:r>
              <w:rPr>
                <w:sz w:val="20"/>
                <w:szCs w:val="20"/>
              </w:rPr>
              <w:t>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936" w:type="dxa"/>
            <w:vAlign w:val="center"/>
          </w:tcPr>
          <w:p>
            <w:pPr>
              <w:pStyle w:val="15"/>
              <w:spacing w:before="0" w:after="0" w:line="240" w:lineRule="auto"/>
            </w:pPr>
            <w:r>
              <w:rPr>
                <w:sz w:val="20"/>
                <w:szCs w:val="20"/>
              </w:rPr>
              <w:t>LLHPLRL</w:t>
            </w:r>
          </w:p>
        </w:tc>
        <w:tc>
          <w:tcPr>
            <w:tcW w:w="936" w:type="dxa"/>
            <w:vAlign w:val="center"/>
          </w:tcPr>
          <w:p>
            <w:pPr>
              <w:pStyle w:val="15"/>
              <w:spacing w:before="0" w:after="0" w:line="240" w:lineRule="auto"/>
            </w:pPr>
            <w:r>
              <w:rPr>
                <w:sz w:val="20"/>
                <w:szCs w:val="20"/>
              </w:rPr>
              <w:t>7</w:t>
            </w:r>
          </w:p>
        </w:tc>
        <w:tc>
          <w:tcPr>
            <w:tcW w:w="936" w:type="dxa"/>
            <w:vAlign w:val="center"/>
          </w:tcPr>
          <w:p>
            <w:pPr>
              <w:pStyle w:val="15"/>
              <w:spacing w:before="0" w:after="0" w:line="240" w:lineRule="auto"/>
            </w:pPr>
            <w:r>
              <w:rPr>
                <w:sz w:val="20"/>
                <w:szCs w:val="20"/>
              </w:rPr>
              <w:t>861.09</w:t>
            </w:r>
          </w:p>
        </w:tc>
        <w:tc>
          <w:tcPr>
            <w:tcW w:w="936" w:type="dxa"/>
            <w:vAlign w:val="center"/>
          </w:tcPr>
          <w:p>
            <w:pPr>
              <w:pStyle w:val="15"/>
              <w:spacing w:before="0" w:after="0" w:line="240" w:lineRule="auto"/>
            </w:pPr>
            <w:r>
              <w:rPr>
                <w:sz w:val="20"/>
                <w:szCs w:val="20"/>
              </w:rPr>
              <w:t>11.09</w:t>
            </w:r>
          </w:p>
        </w:tc>
        <w:tc>
          <w:tcPr>
            <w:tcW w:w="936" w:type="dxa"/>
            <w:vAlign w:val="center"/>
          </w:tcPr>
          <w:p>
            <w:pPr>
              <w:pStyle w:val="15"/>
              <w:spacing w:before="0" w:after="0" w:line="240" w:lineRule="auto"/>
            </w:pPr>
            <w:r>
              <w:rPr>
                <w:sz w:val="20"/>
                <w:szCs w:val="20"/>
              </w:rPr>
              <w:t>1.04</w:t>
            </w:r>
          </w:p>
        </w:tc>
        <w:tc>
          <w:tcPr>
            <w:tcW w:w="936" w:type="dxa"/>
            <w:vAlign w:val="center"/>
          </w:tcPr>
          <w:p>
            <w:pPr>
              <w:pStyle w:val="15"/>
              <w:spacing w:before="0" w:after="0" w:line="240" w:lineRule="auto"/>
            </w:pPr>
            <w:r>
              <w:rPr>
                <w:sz w:val="20"/>
                <w:szCs w:val="20"/>
              </w:rPr>
              <w:t>0.84</w:t>
            </w:r>
          </w:p>
        </w:tc>
        <w:tc>
          <w:tcPr>
            <w:tcW w:w="936" w:type="dxa"/>
            <w:vAlign w:val="center"/>
          </w:tcPr>
          <w:p>
            <w:pPr>
              <w:pStyle w:val="15"/>
              <w:spacing w:before="0" w:after="0" w:line="240" w:lineRule="auto"/>
            </w:pPr>
            <w:r>
              <w:rPr>
                <w:sz w:val="20"/>
                <w:szCs w:val="20"/>
              </w:rPr>
              <w:t>222.9</w:t>
            </w:r>
          </w:p>
        </w:tc>
        <w:tc>
          <w:tcPr>
            <w:tcW w:w="936" w:type="dxa"/>
            <w:vAlign w:val="center"/>
          </w:tcPr>
          <w:p>
            <w:pPr>
              <w:pStyle w:val="15"/>
              <w:spacing w:before="0" w:after="0" w:line="240" w:lineRule="auto"/>
            </w:pPr>
            <w:r>
              <w:rPr>
                <w:sz w:val="20"/>
                <w:szCs w:val="20"/>
              </w:rPr>
              <w:t>1</w:t>
            </w:r>
          </w:p>
        </w:tc>
        <w:tc>
          <w:tcPr>
            <w:tcW w:w="936" w:type="dxa"/>
            <w:vAlign w:val="center"/>
          </w:tcPr>
          <w:p>
            <w:pPr>
              <w:pStyle w:val="15"/>
              <w:spacing w:before="0" w:after="0" w:line="240" w:lineRule="auto"/>
            </w:pPr>
            <w:r>
              <w:rPr>
                <w:sz w:val="20"/>
                <w:szCs w:val="20"/>
              </w:rPr>
              <w:t>0</w:t>
            </w:r>
          </w:p>
        </w:tc>
        <w:tc>
          <w:tcPr>
            <w:tcW w:w="936" w:type="dxa"/>
            <w:vAlign w:val="center"/>
          </w:tcPr>
          <w:p>
            <w:pPr>
              <w:pStyle w:val="15"/>
              <w:spacing w:before="0" w:after="0" w:line="240" w:lineRule="auto"/>
            </w:pPr>
            <w:r>
              <w:rPr>
                <w:sz w:val="20"/>
                <w:szCs w:val="20"/>
              </w:rPr>
              <w:t>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936" w:type="dxa"/>
            <w:vAlign w:val="center"/>
          </w:tcPr>
          <w:p>
            <w:pPr>
              <w:pStyle w:val="15"/>
              <w:spacing w:before="0" w:after="0" w:line="240" w:lineRule="auto"/>
            </w:pPr>
            <w:r>
              <w:rPr>
                <w:sz w:val="20"/>
                <w:szCs w:val="20"/>
              </w:rPr>
              <w:t>WLLVHLKK</w:t>
            </w:r>
          </w:p>
        </w:tc>
        <w:tc>
          <w:tcPr>
            <w:tcW w:w="936" w:type="dxa"/>
            <w:vAlign w:val="center"/>
          </w:tcPr>
          <w:p>
            <w:pPr>
              <w:pStyle w:val="15"/>
              <w:spacing w:before="0" w:after="0" w:line="240" w:lineRule="auto"/>
            </w:pPr>
            <w:r>
              <w:rPr>
                <w:sz w:val="20"/>
                <w:szCs w:val="20"/>
              </w:rPr>
              <w:t>8</w:t>
            </w:r>
          </w:p>
        </w:tc>
        <w:tc>
          <w:tcPr>
            <w:tcW w:w="936" w:type="dxa"/>
            <w:vAlign w:val="center"/>
          </w:tcPr>
          <w:p>
            <w:pPr>
              <w:pStyle w:val="15"/>
              <w:spacing w:before="0" w:after="0" w:line="240" w:lineRule="auto"/>
            </w:pPr>
            <w:r>
              <w:rPr>
                <w:sz w:val="20"/>
                <w:szCs w:val="20"/>
              </w:rPr>
              <w:t>1036.32</w:t>
            </w:r>
          </w:p>
        </w:tc>
        <w:tc>
          <w:tcPr>
            <w:tcW w:w="936" w:type="dxa"/>
            <w:vAlign w:val="center"/>
          </w:tcPr>
          <w:p>
            <w:pPr>
              <w:pStyle w:val="15"/>
              <w:spacing w:before="0" w:after="0" w:line="240" w:lineRule="auto"/>
            </w:pPr>
            <w:r>
              <w:rPr>
                <w:sz w:val="20"/>
                <w:szCs w:val="20"/>
              </w:rPr>
              <w:t>10.63</w:t>
            </w:r>
          </w:p>
        </w:tc>
        <w:tc>
          <w:tcPr>
            <w:tcW w:w="936" w:type="dxa"/>
            <w:vAlign w:val="center"/>
          </w:tcPr>
          <w:p>
            <w:pPr>
              <w:pStyle w:val="15"/>
              <w:spacing w:before="0" w:after="0" w:line="240" w:lineRule="auto"/>
            </w:pPr>
            <w:r>
              <w:rPr>
                <w:sz w:val="20"/>
                <w:szCs w:val="20"/>
              </w:rPr>
              <w:t>2.04</w:t>
            </w:r>
          </w:p>
        </w:tc>
        <w:tc>
          <w:tcPr>
            <w:tcW w:w="936" w:type="dxa"/>
            <w:vAlign w:val="center"/>
          </w:tcPr>
          <w:p>
            <w:pPr>
              <w:pStyle w:val="15"/>
              <w:spacing w:before="0" w:after="0" w:line="240" w:lineRule="auto"/>
            </w:pPr>
            <w:r>
              <w:rPr>
                <w:sz w:val="20"/>
                <w:szCs w:val="20"/>
              </w:rPr>
              <w:t>0.46</w:t>
            </w:r>
          </w:p>
        </w:tc>
        <w:tc>
          <w:tcPr>
            <w:tcW w:w="936" w:type="dxa"/>
            <w:vAlign w:val="center"/>
          </w:tcPr>
          <w:p>
            <w:pPr>
              <w:pStyle w:val="15"/>
              <w:spacing w:before="0" w:after="0" w:line="240" w:lineRule="auto"/>
            </w:pPr>
            <w:r>
              <w:rPr>
                <w:sz w:val="20"/>
                <w:szCs w:val="20"/>
              </w:rPr>
              <w:t>182.5</w:t>
            </w:r>
          </w:p>
        </w:tc>
        <w:tc>
          <w:tcPr>
            <w:tcW w:w="936" w:type="dxa"/>
            <w:vAlign w:val="center"/>
          </w:tcPr>
          <w:p>
            <w:pPr>
              <w:pStyle w:val="15"/>
              <w:spacing w:before="0" w:after="0" w:line="240" w:lineRule="auto"/>
            </w:pPr>
            <w:r>
              <w:rPr>
                <w:sz w:val="20"/>
                <w:szCs w:val="20"/>
              </w:rPr>
              <w:t>1</w:t>
            </w:r>
          </w:p>
        </w:tc>
        <w:tc>
          <w:tcPr>
            <w:tcW w:w="936" w:type="dxa"/>
            <w:vAlign w:val="center"/>
          </w:tcPr>
          <w:p>
            <w:pPr>
              <w:pStyle w:val="15"/>
              <w:spacing w:before="0" w:after="0" w:line="240" w:lineRule="auto"/>
            </w:pPr>
            <w:r>
              <w:rPr>
                <w:sz w:val="20"/>
                <w:szCs w:val="20"/>
              </w:rPr>
              <w:t>0</w:t>
            </w:r>
          </w:p>
        </w:tc>
        <w:tc>
          <w:tcPr>
            <w:tcW w:w="936" w:type="dxa"/>
            <w:vAlign w:val="center"/>
          </w:tcPr>
          <w:p>
            <w:pPr>
              <w:pStyle w:val="15"/>
              <w:spacing w:before="0" w:after="0" w:line="240" w:lineRule="auto"/>
            </w:pPr>
            <w:r>
              <w:rPr>
                <w:sz w:val="20"/>
                <w:szCs w:val="20"/>
              </w:rPr>
              <w:t>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936" w:type="dxa"/>
            <w:vAlign w:val="center"/>
          </w:tcPr>
          <w:p>
            <w:pPr>
              <w:pStyle w:val="15"/>
              <w:spacing w:before="0" w:after="0" w:line="240" w:lineRule="auto"/>
            </w:pPr>
            <w:r>
              <w:rPr>
                <w:sz w:val="20"/>
                <w:szCs w:val="20"/>
              </w:rPr>
              <w:t>YHHLLCRR</w:t>
            </w:r>
          </w:p>
        </w:tc>
        <w:tc>
          <w:tcPr>
            <w:tcW w:w="936" w:type="dxa"/>
            <w:vAlign w:val="center"/>
          </w:tcPr>
          <w:p>
            <w:pPr>
              <w:pStyle w:val="15"/>
              <w:spacing w:before="0" w:after="0" w:line="240" w:lineRule="auto"/>
            </w:pPr>
            <w:r>
              <w:rPr>
                <w:sz w:val="20"/>
                <w:szCs w:val="20"/>
              </w:rPr>
              <w:t>8</w:t>
            </w:r>
          </w:p>
        </w:tc>
        <w:tc>
          <w:tcPr>
            <w:tcW w:w="936" w:type="dxa"/>
            <w:vAlign w:val="center"/>
          </w:tcPr>
          <w:p>
            <w:pPr>
              <w:pStyle w:val="15"/>
              <w:spacing w:before="0" w:after="0" w:line="240" w:lineRule="auto"/>
            </w:pPr>
            <w:r>
              <w:rPr>
                <w:sz w:val="20"/>
                <w:szCs w:val="20"/>
              </w:rPr>
              <w:t>1097.30</w:t>
            </w:r>
          </w:p>
        </w:tc>
        <w:tc>
          <w:tcPr>
            <w:tcW w:w="936" w:type="dxa"/>
            <w:vAlign w:val="center"/>
          </w:tcPr>
          <w:p>
            <w:pPr>
              <w:pStyle w:val="15"/>
              <w:spacing w:before="0" w:after="0" w:line="240" w:lineRule="auto"/>
            </w:pPr>
            <w:r>
              <w:rPr>
                <w:sz w:val="20"/>
                <w:szCs w:val="20"/>
              </w:rPr>
              <w:t>9.91</w:t>
            </w:r>
          </w:p>
        </w:tc>
        <w:tc>
          <w:tcPr>
            <w:tcW w:w="936" w:type="dxa"/>
            <w:vAlign w:val="center"/>
          </w:tcPr>
          <w:p>
            <w:pPr>
              <w:pStyle w:val="15"/>
              <w:spacing w:before="0" w:after="0" w:line="240" w:lineRule="auto"/>
            </w:pPr>
            <w:r>
              <w:rPr>
                <w:sz w:val="20"/>
                <w:szCs w:val="20"/>
              </w:rPr>
              <w:t>1.96</w:t>
            </w:r>
          </w:p>
        </w:tc>
        <w:tc>
          <w:tcPr>
            <w:tcW w:w="936" w:type="dxa"/>
            <w:vAlign w:val="center"/>
          </w:tcPr>
          <w:p>
            <w:pPr>
              <w:pStyle w:val="15"/>
              <w:spacing w:before="0" w:after="0" w:line="240" w:lineRule="auto"/>
            </w:pPr>
            <w:r>
              <w:rPr>
                <w:sz w:val="20"/>
                <w:szCs w:val="20"/>
              </w:rPr>
              <w:t>−0.95</w:t>
            </w:r>
          </w:p>
        </w:tc>
        <w:tc>
          <w:tcPr>
            <w:tcW w:w="936" w:type="dxa"/>
            <w:vAlign w:val="center"/>
          </w:tcPr>
          <w:p>
            <w:pPr>
              <w:pStyle w:val="15"/>
              <w:spacing w:before="0" w:after="0" w:line="240" w:lineRule="auto"/>
            </w:pPr>
            <w:r>
              <w:rPr>
                <w:sz w:val="20"/>
                <w:szCs w:val="20"/>
              </w:rPr>
              <w:t>97.5</w:t>
            </w:r>
          </w:p>
        </w:tc>
        <w:tc>
          <w:tcPr>
            <w:tcW w:w="936" w:type="dxa"/>
            <w:vAlign w:val="center"/>
          </w:tcPr>
          <w:p>
            <w:pPr>
              <w:pStyle w:val="15"/>
              <w:spacing w:before="0" w:after="0" w:line="240" w:lineRule="auto"/>
            </w:pPr>
            <w:r>
              <w:rPr>
                <w:sz w:val="20"/>
                <w:szCs w:val="20"/>
              </w:rPr>
              <w:t>2</w:t>
            </w:r>
          </w:p>
        </w:tc>
        <w:tc>
          <w:tcPr>
            <w:tcW w:w="936" w:type="dxa"/>
            <w:vAlign w:val="center"/>
          </w:tcPr>
          <w:p>
            <w:pPr>
              <w:pStyle w:val="15"/>
              <w:spacing w:before="0" w:after="0" w:line="240" w:lineRule="auto"/>
            </w:pPr>
            <w:r>
              <w:rPr>
                <w:sz w:val="20"/>
                <w:szCs w:val="20"/>
              </w:rPr>
              <w:t>1</w:t>
            </w:r>
          </w:p>
        </w:tc>
        <w:tc>
          <w:tcPr>
            <w:tcW w:w="936" w:type="dxa"/>
            <w:vAlign w:val="center"/>
          </w:tcPr>
          <w:p>
            <w:pPr>
              <w:pStyle w:val="15"/>
              <w:spacing w:before="0" w:after="0" w:line="240" w:lineRule="auto"/>
            </w:pPr>
            <w:r>
              <w:rPr>
                <w:sz w:val="20"/>
                <w:szCs w:val="20"/>
              </w:rPr>
              <w:t>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936" w:type="dxa"/>
            <w:vAlign w:val="center"/>
          </w:tcPr>
          <w:p>
            <w:pPr>
              <w:pStyle w:val="15"/>
              <w:spacing w:before="0" w:after="0" w:line="240" w:lineRule="auto"/>
            </w:pPr>
            <w:r>
              <w:rPr>
                <w:sz w:val="20"/>
                <w:szCs w:val="20"/>
              </w:rPr>
              <w:t>YLSLLQR</w:t>
            </w:r>
          </w:p>
        </w:tc>
        <w:tc>
          <w:tcPr>
            <w:tcW w:w="936" w:type="dxa"/>
            <w:vAlign w:val="center"/>
          </w:tcPr>
          <w:p>
            <w:pPr>
              <w:pStyle w:val="15"/>
              <w:spacing w:before="0" w:after="0" w:line="240" w:lineRule="auto"/>
            </w:pPr>
            <w:r>
              <w:rPr>
                <w:sz w:val="20"/>
                <w:szCs w:val="20"/>
              </w:rPr>
              <w:t>7</w:t>
            </w:r>
          </w:p>
        </w:tc>
        <w:tc>
          <w:tcPr>
            <w:tcW w:w="936" w:type="dxa"/>
            <w:vAlign w:val="center"/>
          </w:tcPr>
          <w:p>
            <w:pPr>
              <w:pStyle w:val="15"/>
              <w:spacing w:before="0" w:after="0" w:line="240" w:lineRule="auto"/>
            </w:pPr>
            <w:r>
              <w:rPr>
                <w:sz w:val="20"/>
                <w:szCs w:val="20"/>
              </w:rPr>
              <w:t>892.06</w:t>
            </w:r>
          </w:p>
        </w:tc>
        <w:tc>
          <w:tcPr>
            <w:tcW w:w="936" w:type="dxa"/>
            <w:vAlign w:val="center"/>
          </w:tcPr>
          <w:p>
            <w:pPr>
              <w:pStyle w:val="15"/>
              <w:spacing w:before="0" w:after="0" w:line="240" w:lineRule="auto"/>
            </w:pPr>
            <w:r>
              <w:rPr>
                <w:sz w:val="20"/>
                <w:szCs w:val="20"/>
              </w:rPr>
              <w:t>9.89</w:t>
            </w:r>
          </w:p>
        </w:tc>
        <w:tc>
          <w:tcPr>
            <w:tcW w:w="936" w:type="dxa"/>
            <w:vAlign w:val="center"/>
          </w:tcPr>
          <w:p>
            <w:pPr>
              <w:pStyle w:val="15"/>
              <w:spacing w:before="0" w:after="0" w:line="240" w:lineRule="auto"/>
            </w:pPr>
            <w:r>
              <w:rPr>
                <w:sz w:val="20"/>
                <w:szCs w:val="20"/>
              </w:rPr>
              <w:t>0.99</w:t>
            </w:r>
          </w:p>
        </w:tc>
        <w:tc>
          <w:tcPr>
            <w:tcW w:w="936" w:type="dxa"/>
            <w:vAlign w:val="center"/>
          </w:tcPr>
          <w:p>
            <w:pPr>
              <w:pStyle w:val="15"/>
              <w:spacing w:before="0" w:after="0" w:line="240" w:lineRule="auto"/>
            </w:pPr>
            <w:r>
              <w:rPr>
                <w:sz w:val="20"/>
                <w:szCs w:val="20"/>
              </w:rPr>
              <w:t>0.04</w:t>
            </w:r>
          </w:p>
        </w:tc>
        <w:tc>
          <w:tcPr>
            <w:tcW w:w="936" w:type="dxa"/>
            <w:vAlign w:val="center"/>
          </w:tcPr>
          <w:p>
            <w:pPr>
              <w:pStyle w:val="15"/>
              <w:spacing w:before="0" w:after="0" w:line="240" w:lineRule="auto"/>
            </w:pPr>
            <w:r>
              <w:rPr>
                <w:sz w:val="20"/>
                <w:szCs w:val="20"/>
              </w:rPr>
              <w:t>167.1</w:t>
            </w:r>
          </w:p>
        </w:tc>
        <w:tc>
          <w:tcPr>
            <w:tcW w:w="936" w:type="dxa"/>
            <w:vAlign w:val="center"/>
          </w:tcPr>
          <w:p>
            <w:pPr>
              <w:pStyle w:val="15"/>
              <w:spacing w:before="0" w:after="0" w:line="240" w:lineRule="auto"/>
            </w:pPr>
            <w:r>
              <w:rPr>
                <w:sz w:val="20"/>
                <w:szCs w:val="20"/>
              </w:rPr>
              <w:t>0</w:t>
            </w:r>
          </w:p>
        </w:tc>
        <w:tc>
          <w:tcPr>
            <w:tcW w:w="936" w:type="dxa"/>
            <w:vAlign w:val="center"/>
          </w:tcPr>
          <w:p>
            <w:pPr>
              <w:pStyle w:val="15"/>
              <w:spacing w:before="0" w:after="0" w:line="240" w:lineRule="auto"/>
            </w:pPr>
            <w:r>
              <w:rPr>
                <w:sz w:val="20"/>
                <w:szCs w:val="20"/>
              </w:rPr>
              <w:t>0</w:t>
            </w:r>
          </w:p>
        </w:tc>
        <w:tc>
          <w:tcPr>
            <w:tcW w:w="936" w:type="dxa"/>
            <w:vAlign w:val="center"/>
          </w:tcPr>
          <w:p>
            <w:pPr>
              <w:pStyle w:val="15"/>
              <w:spacing w:before="0" w:after="0" w:line="240" w:lineRule="auto"/>
            </w:pPr>
            <w:r>
              <w:rPr>
                <w:sz w:val="20"/>
                <w:szCs w:val="20"/>
              </w:rPr>
              <w:t>1</w:t>
            </w:r>
          </w:p>
        </w:tc>
      </w:tr>
    </w:tbl>
    <w:p>
      <w:pPr>
        <w:spacing w:after="40"/>
      </w:pPr>
    </w:p>
    <w:p>
      <w:pPr>
        <w:pStyle w:val="4"/>
        <w:keepNext/>
      </w:pPr>
      <w:r>
        <w:t>Docking to human AChE</w:t>
      </w:r>
    </w:p>
    <w:p>
      <w:pPr>
        <w:pStyle w:val="7"/>
      </w:pPr>
      <w:r>
        <w:t>All twelve ligands produced favourable Vina scores (Table 6, Figure 2). Best-run values ran from −8.25 to −9.60 kcal/mol; three-run means ran from −8.07 ± 0.16 to −9.44 ± 0.09 kcal/mol. Best-pose order was FLLHTTR (−9.60), YLSLLQR (−9.49), ALLLHRC (−9.29). Mean order put YLSLLQR first (−9.44 ± 0.09) and ALLLHRC second (−9.18 ± 0.11). FLLHTTR has the strongest single pose and the largest SD (−8.77 ± 1.41). Best poses made 3–10 hydrogen bonds (mean length 2.83–3.28 Å; Figures 3 and 4).</w:t>
      </w:r>
    </w:p>
    <w:p>
      <w:pPr>
        <w:pStyle w:val="6"/>
      </w:pPr>
      <w:r>
        <w:rPr>
          <w:b/>
        </w:rPr>
        <w:t>Table 6. Three-run AutoDock Vina scores against human AChE (PDB 4EY6).</w:t>
      </w:r>
    </w:p>
    <w:tbl>
      <w:tblPr>
        <w:tblStyle w:val="16"/>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70" w:type="dxa"/>
          <w:left w:w="80" w:type="dxa"/>
          <w:bottom w:w="70" w:type="dxa"/>
          <w:right w:w="80" w:type="dxa"/>
        </w:tblCellMar>
      </w:tblPr>
      <w:tblGrid>
        <w:gridCol w:w="1531"/>
        <w:gridCol w:w="1531"/>
        <w:gridCol w:w="1531"/>
        <w:gridCol w:w="1531"/>
        <w:gridCol w:w="1531"/>
        <w:gridCol w:w="1531"/>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rPr>
          <w:tblHeader/>
        </w:trPr>
        <w:tc>
          <w:tcPr>
            <w:tcW w:w="1560" w:type="dxa"/>
            <w:tcBorders>
              <w:bottom w:val="single" w:color="000000" w:sz="8" w:space="0"/>
            </w:tcBorders>
            <w:vAlign w:val="center"/>
          </w:tcPr>
          <w:p>
            <w:pPr>
              <w:pStyle w:val="15"/>
              <w:spacing w:before="0" w:after="0" w:line="240" w:lineRule="auto"/>
            </w:pPr>
            <w:r>
              <w:rPr>
                <w:sz w:val="20"/>
                <w:szCs w:val="20"/>
              </w:rPr>
              <w:t>Peptide</w:t>
            </w:r>
          </w:p>
        </w:tc>
        <w:tc>
          <w:tcPr>
            <w:tcW w:w="1560" w:type="dxa"/>
            <w:tcBorders>
              <w:bottom w:val="single" w:color="000000" w:sz="8" w:space="0"/>
            </w:tcBorders>
            <w:vAlign w:val="center"/>
          </w:tcPr>
          <w:p>
            <w:pPr>
              <w:pStyle w:val="15"/>
              <w:spacing w:before="0" w:after="0" w:line="240" w:lineRule="auto"/>
            </w:pPr>
            <w:r>
              <w:rPr>
                <w:sz w:val="20"/>
                <w:szCs w:val="20"/>
              </w:rPr>
              <w:t>H-bonds</w:t>
            </w:r>
          </w:p>
        </w:tc>
        <w:tc>
          <w:tcPr>
            <w:tcW w:w="1560" w:type="dxa"/>
            <w:tcBorders>
              <w:bottom w:val="single" w:color="000000" w:sz="8" w:space="0"/>
            </w:tcBorders>
            <w:vAlign w:val="center"/>
          </w:tcPr>
          <w:p>
            <w:pPr>
              <w:pStyle w:val="15"/>
              <w:spacing w:before="0" w:after="0" w:line="240" w:lineRule="auto"/>
            </w:pPr>
            <w:r>
              <w:rPr>
                <w:sz w:val="20"/>
                <w:szCs w:val="20"/>
              </w:rPr>
              <w:t>Best</w:t>
            </w:r>
          </w:p>
        </w:tc>
        <w:tc>
          <w:tcPr>
            <w:tcW w:w="1560" w:type="dxa"/>
            <w:tcBorders>
              <w:bottom w:val="single" w:color="000000" w:sz="8" w:space="0"/>
            </w:tcBorders>
            <w:vAlign w:val="center"/>
          </w:tcPr>
          <w:p>
            <w:pPr>
              <w:pStyle w:val="15"/>
              <w:spacing w:before="0" w:after="0" w:line="240" w:lineRule="auto"/>
            </w:pPr>
            <w:r>
              <w:rPr>
                <w:sz w:val="20"/>
                <w:szCs w:val="20"/>
              </w:rPr>
              <w:t>Mean ± SD (n=3)</w:t>
            </w:r>
          </w:p>
        </w:tc>
        <w:tc>
          <w:tcPr>
            <w:tcW w:w="1560" w:type="dxa"/>
            <w:tcBorders>
              <w:bottom w:val="single" w:color="000000" w:sz="8" w:space="0"/>
            </w:tcBorders>
            <w:vAlign w:val="center"/>
          </w:tcPr>
          <w:p>
            <w:pPr>
              <w:pStyle w:val="15"/>
              <w:spacing w:before="0" w:after="0" w:line="240" w:lineRule="auto"/>
            </w:pPr>
            <w:r>
              <w:rPr>
                <w:sz w:val="20"/>
                <w:szCs w:val="20"/>
              </w:rPr>
              <w:t>PAS</w:t>
            </w:r>
          </w:p>
        </w:tc>
        <w:tc>
          <w:tcPr>
            <w:tcW w:w="1560" w:type="dxa"/>
            <w:tcBorders>
              <w:bottom w:val="single" w:color="000000" w:sz="8" w:space="0"/>
            </w:tcBorders>
            <w:vAlign w:val="center"/>
          </w:tcPr>
          <w:p>
            <w:pPr>
              <w:pStyle w:val="15"/>
              <w:spacing w:before="0" w:after="0" w:line="240" w:lineRule="auto"/>
            </w:pPr>
            <w:r>
              <w:rPr>
                <w:sz w:val="20"/>
                <w:szCs w:val="20"/>
              </w:rPr>
              <w:t>Principal contacts</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1560" w:type="dxa"/>
            <w:vAlign w:val="center"/>
          </w:tcPr>
          <w:p>
            <w:pPr>
              <w:pStyle w:val="15"/>
              <w:spacing w:before="0" w:after="0" w:line="240" w:lineRule="auto"/>
            </w:pPr>
            <w:r>
              <w:rPr>
                <w:sz w:val="20"/>
                <w:szCs w:val="20"/>
              </w:rPr>
              <w:t>ALLLHRC</w:t>
            </w:r>
          </w:p>
        </w:tc>
        <w:tc>
          <w:tcPr>
            <w:tcW w:w="1560" w:type="dxa"/>
            <w:vAlign w:val="center"/>
          </w:tcPr>
          <w:p>
            <w:pPr>
              <w:pStyle w:val="15"/>
              <w:spacing w:before="0" w:after="0" w:line="240" w:lineRule="auto"/>
            </w:pPr>
            <w:r>
              <w:rPr>
                <w:sz w:val="20"/>
                <w:szCs w:val="20"/>
              </w:rPr>
              <w:t>3</w:t>
            </w:r>
          </w:p>
        </w:tc>
        <w:tc>
          <w:tcPr>
            <w:tcW w:w="1560" w:type="dxa"/>
            <w:vAlign w:val="center"/>
          </w:tcPr>
          <w:p>
            <w:pPr>
              <w:pStyle w:val="15"/>
              <w:spacing w:before="0" w:after="0" w:line="240" w:lineRule="auto"/>
            </w:pPr>
            <w:r>
              <w:rPr>
                <w:sz w:val="20"/>
                <w:szCs w:val="20"/>
              </w:rPr>
              <w:t>−9.29</w:t>
            </w:r>
          </w:p>
        </w:tc>
        <w:tc>
          <w:tcPr>
            <w:tcW w:w="1560" w:type="dxa"/>
            <w:vAlign w:val="center"/>
          </w:tcPr>
          <w:p>
            <w:pPr>
              <w:pStyle w:val="15"/>
              <w:spacing w:before="0" w:after="0" w:line="240" w:lineRule="auto"/>
            </w:pPr>
            <w:r>
              <w:rPr>
                <w:sz w:val="20"/>
                <w:szCs w:val="20"/>
              </w:rPr>
              <w:t>−9.18 ± 0.11</w:t>
            </w:r>
          </w:p>
        </w:tc>
        <w:tc>
          <w:tcPr>
            <w:tcW w:w="1560" w:type="dxa"/>
            <w:vAlign w:val="center"/>
          </w:tcPr>
          <w:p>
            <w:pPr>
              <w:pStyle w:val="15"/>
              <w:spacing w:before="0" w:after="0" w:line="240" w:lineRule="auto"/>
            </w:pPr>
            <w:r>
              <w:rPr>
                <w:sz w:val="20"/>
                <w:szCs w:val="20"/>
              </w:rPr>
              <w:t>No</w:t>
            </w:r>
          </w:p>
        </w:tc>
        <w:tc>
          <w:tcPr>
            <w:tcW w:w="1560" w:type="dxa"/>
            <w:vAlign w:val="center"/>
          </w:tcPr>
          <w:p>
            <w:pPr>
              <w:pStyle w:val="15"/>
              <w:spacing w:before="0" w:after="0" w:line="240" w:lineRule="auto"/>
            </w:pPr>
            <w:r>
              <w:rPr>
                <w:sz w:val="20"/>
                <w:szCs w:val="20"/>
              </w:rPr>
              <w:t>Ser125, Ser203, Tyr124</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1560" w:type="dxa"/>
            <w:vAlign w:val="center"/>
          </w:tcPr>
          <w:p>
            <w:pPr>
              <w:pStyle w:val="15"/>
              <w:spacing w:before="0" w:after="0" w:line="240" w:lineRule="auto"/>
            </w:pPr>
            <w:r>
              <w:rPr>
                <w:sz w:val="20"/>
                <w:szCs w:val="20"/>
              </w:rPr>
              <w:t>FCLHLQLR</w:t>
            </w:r>
          </w:p>
        </w:tc>
        <w:tc>
          <w:tcPr>
            <w:tcW w:w="1560" w:type="dxa"/>
            <w:vAlign w:val="center"/>
          </w:tcPr>
          <w:p>
            <w:pPr>
              <w:pStyle w:val="15"/>
              <w:spacing w:before="0" w:after="0" w:line="240" w:lineRule="auto"/>
            </w:pPr>
            <w:r>
              <w:rPr>
                <w:sz w:val="20"/>
                <w:szCs w:val="20"/>
              </w:rPr>
              <w:t>7</w:t>
            </w:r>
          </w:p>
        </w:tc>
        <w:tc>
          <w:tcPr>
            <w:tcW w:w="1560" w:type="dxa"/>
            <w:vAlign w:val="center"/>
          </w:tcPr>
          <w:p>
            <w:pPr>
              <w:pStyle w:val="15"/>
              <w:spacing w:before="0" w:after="0" w:line="240" w:lineRule="auto"/>
            </w:pPr>
            <w:r>
              <w:rPr>
                <w:sz w:val="20"/>
                <w:szCs w:val="20"/>
              </w:rPr>
              <w:t>−9.27</w:t>
            </w:r>
          </w:p>
        </w:tc>
        <w:tc>
          <w:tcPr>
            <w:tcW w:w="1560" w:type="dxa"/>
            <w:vAlign w:val="center"/>
          </w:tcPr>
          <w:p>
            <w:pPr>
              <w:pStyle w:val="15"/>
              <w:spacing w:before="0" w:after="0" w:line="240" w:lineRule="auto"/>
            </w:pPr>
            <w:r>
              <w:rPr>
                <w:sz w:val="20"/>
                <w:szCs w:val="20"/>
              </w:rPr>
              <w:t>−8.96 ± 0.48</w:t>
            </w:r>
          </w:p>
        </w:tc>
        <w:tc>
          <w:tcPr>
            <w:tcW w:w="1560" w:type="dxa"/>
            <w:vAlign w:val="center"/>
          </w:tcPr>
          <w:p>
            <w:pPr>
              <w:pStyle w:val="15"/>
              <w:spacing w:before="0" w:after="0" w:line="240" w:lineRule="auto"/>
            </w:pPr>
            <w:r>
              <w:rPr>
                <w:sz w:val="20"/>
                <w:szCs w:val="20"/>
              </w:rPr>
              <w:t>Yes</w:t>
            </w:r>
          </w:p>
        </w:tc>
        <w:tc>
          <w:tcPr>
            <w:tcW w:w="1560" w:type="dxa"/>
            <w:vAlign w:val="center"/>
          </w:tcPr>
          <w:p>
            <w:pPr>
              <w:pStyle w:val="15"/>
              <w:spacing w:before="0" w:after="0" w:line="240" w:lineRule="auto"/>
            </w:pPr>
            <w:r>
              <w:rPr>
                <w:sz w:val="20"/>
                <w:szCs w:val="20"/>
              </w:rPr>
              <w:t>Ser203, Thr75, Tyr341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1560" w:type="dxa"/>
            <w:vAlign w:val="center"/>
          </w:tcPr>
          <w:p>
            <w:pPr>
              <w:pStyle w:val="15"/>
              <w:spacing w:before="0" w:after="0" w:line="240" w:lineRule="auto"/>
            </w:pPr>
            <w:r>
              <w:rPr>
                <w:sz w:val="20"/>
                <w:szCs w:val="20"/>
              </w:rPr>
              <w:t>FLLHTTR</w:t>
            </w:r>
          </w:p>
        </w:tc>
        <w:tc>
          <w:tcPr>
            <w:tcW w:w="1560" w:type="dxa"/>
            <w:vAlign w:val="center"/>
          </w:tcPr>
          <w:p>
            <w:pPr>
              <w:pStyle w:val="15"/>
              <w:spacing w:before="0" w:after="0" w:line="240" w:lineRule="auto"/>
            </w:pPr>
            <w:r>
              <w:rPr>
                <w:sz w:val="20"/>
                <w:szCs w:val="20"/>
              </w:rPr>
              <w:t>8</w:t>
            </w:r>
          </w:p>
        </w:tc>
        <w:tc>
          <w:tcPr>
            <w:tcW w:w="1560" w:type="dxa"/>
            <w:vAlign w:val="center"/>
          </w:tcPr>
          <w:p>
            <w:pPr>
              <w:pStyle w:val="15"/>
              <w:spacing w:before="0" w:after="0" w:line="240" w:lineRule="auto"/>
            </w:pPr>
            <w:r>
              <w:rPr>
                <w:sz w:val="20"/>
                <w:szCs w:val="20"/>
              </w:rPr>
              <w:t>−9.60</w:t>
            </w:r>
          </w:p>
        </w:tc>
        <w:tc>
          <w:tcPr>
            <w:tcW w:w="1560" w:type="dxa"/>
            <w:vAlign w:val="center"/>
          </w:tcPr>
          <w:p>
            <w:pPr>
              <w:pStyle w:val="15"/>
              <w:spacing w:before="0" w:after="0" w:line="240" w:lineRule="auto"/>
            </w:pPr>
            <w:r>
              <w:rPr>
                <w:sz w:val="20"/>
                <w:szCs w:val="20"/>
              </w:rPr>
              <w:t>−8.77 ± 1.41</w:t>
            </w:r>
          </w:p>
        </w:tc>
        <w:tc>
          <w:tcPr>
            <w:tcW w:w="1560" w:type="dxa"/>
            <w:vAlign w:val="center"/>
          </w:tcPr>
          <w:p>
            <w:pPr>
              <w:pStyle w:val="15"/>
              <w:spacing w:before="0" w:after="0" w:line="240" w:lineRule="auto"/>
            </w:pPr>
            <w:r>
              <w:rPr>
                <w:sz w:val="20"/>
                <w:szCs w:val="20"/>
              </w:rPr>
              <w:t>Yes</w:t>
            </w:r>
          </w:p>
        </w:tc>
        <w:tc>
          <w:tcPr>
            <w:tcW w:w="1560" w:type="dxa"/>
            <w:vAlign w:val="center"/>
          </w:tcPr>
          <w:p>
            <w:pPr>
              <w:pStyle w:val="15"/>
              <w:spacing w:before="0" w:after="0" w:line="240" w:lineRule="auto"/>
            </w:pPr>
            <w:r>
              <w:rPr>
                <w:sz w:val="20"/>
                <w:szCs w:val="20"/>
              </w:rPr>
              <w:t>Asp74, Tyr72, His287</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1560" w:type="dxa"/>
            <w:vAlign w:val="center"/>
          </w:tcPr>
          <w:p>
            <w:pPr>
              <w:pStyle w:val="15"/>
              <w:spacing w:before="0" w:after="0" w:line="240" w:lineRule="auto"/>
            </w:pPr>
            <w:r>
              <w:rPr>
                <w:sz w:val="20"/>
                <w:szCs w:val="20"/>
              </w:rPr>
              <w:t>HLLTLKKHV</w:t>
            </w:r>
          </w:p>
        </w:tc>
        <w:tc>
          <w:tcPr>
            <w:tcW w:w="1560" w:type="dxa"/>
            <w:vAlign w:val="center"/>
          </w:tcPr>
          <w:p>
            <w:pPr>
              <w:pStyle w:val="15"/>
              <w:spacing w:before="0" w:after="0" w:line="240" w:lineRule="auto"/>
            </w:pPr>
            <w:r>
              <w:rPr>
                <w:sz w:val="20"/>
                <w:szCs w:val="20"/>
              </w:rPr>
              <w:t>6</w:t>
            </w:r>
          </w:p>
        </w:tc>
        <w:tc>
          <w:tcPr>
            <w:tcW w:w="1560" w:type="dxa"/>
            <w:vAlign w:val="center"/>
          </w:tcPr>
          <w:p>
            <w:pPr>
              <w:pStyle w:val="15"/>
              <w:spacing w:before="0" w:after="0" w:line="240" w:lineRule="auto"/>
            </w:pPr>
            <w:r>
              <w:rPr>
                <w:sz w:val="20"/>
                <w:szCs w:val="20"/>
              </w:rPr>
              <w:t>−8.88</w:t>
            </w:r>
          </w:p>
        </w:tc>
        <w:tc>
          <w:tcPr>
            <w:tcW w:w="1560" w:type="dxa"/>
            <w:vAlign w:val="center"/>
          </w:tcPr>
          <w:p>
            <w:pPr>
              <w:pStyle w:val="15"/>
              <w:spacing w:before="0" w:after="0" w:line="240" w:lineRule="auto"/>
            </w:pPr>
            <w:r>
              <w:rPr>
                <w:sz w:val="20"/>
                <w:szCs w:val="20"/>
              </w:rPr>
              <w:t>−8.69 ± 0.20</w:t>
            </w:r>
          </w:p>
        </w:tc>
        <w:tc>
          <w:tcPr>
            <w:tcW w:w="1560" w:type="dxa"/>
            <w:vAlign w:val="center"/>
          </w:tcPr>
          <w:p>
            <w:pPr>
              <w:pStyle w:val="15"/>
              <w:spacing w:before="0" w:after="0" w:line="240" w:lineRule="auto"/>
            </w:pPr>
            <w:r>
              <w:rPr>
                <w:sz w:val="20"/>
                <w:szCs w:val="20"/>
              </w:rPr>
              <w:t>Yes</w:t>
            </w:r>
          </w:p>
        </w:tc>
        <w:tc>
          <w:tcPr>
            <w:tcW w:w="1560" w:type="dxa"/>
            <w:vAlign w:val="center"/>
          </w:tcPr>
          <w:p>
            <w:pPr>
              <w:pStyle w:val="15"/>
              <w:spacing w:before="0" w:after="0" w:line="240" w:lineRule="auto"/>
            </w:pPr>
            <w:r>
              <w:rPr>
                <w:sz w:val="20"/>
                <w:szCs w:val="20"/>
              </w:rPr>
              <w:t>Tyr72, Phe346</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1560" w:type="dxa"/>
            <w:vAlign w:val="center"/>
          </w:tcPr>
          <w:p>
            <w:pPr>
              <w:pStyle w:val="15"/>
              <w:spacing w:before="0" w:after="0" w:line="240" w:lineRule="auto"/>
            </w:pPr>
            <w:r>
              <w:rPr>
                <w:sz w:val="20"/>
                <w:szCs w:val="20"/>
              </w:rPr>
              <w:t>HLPLLHRCC</w:t>
            </w:r>
          </w:p>
        </w:tc>
        <w:tc>
          <w:tcPr>
            <w:tcW w:w="1560" w:type="dxa"/>
            <w:vAlign w:val="center"/>
          </w:tcPr>
          <w:p>
            <w:pPr>
              <w:pStyle w:val="15"/>
              <w:spacing w:before="0" w:after="0" w:line="240" w:lineRule="auto"/>
            </w:pPr>
            <w:r>
              <w:rPr>
                <w:sz w:val="20"/>
                <w:szCs w:val="20"/>
              </w:rPr>
              <w:t>4</w:t>
            </w:r>
          </w:p>
        </w:tc>
        <w:tc>
          <w:tcPr>
            <w:tcW w:w="1560" w:type="dxa"/>
            <w:vAlign w:val="center"/>
          </w:tcPr>
          <w:p>
            <w:pPr>
              <w:pStyle w:val="15"/>
              <w:spacing w:before="0" w:after="0" w:line="240" w:lineRule="auto"/>
            </w:pPr>
            <w:r>
              <w:rPr>
                <w:sz w:val="20"/>
                <w:szCs w:val="20"/>
              </w:rPr>
              <w:t>−8.35</w:t>
            </w:r>
          </w:p>
        </w:tc>
        <w:tc>
          <w:tcPr>
            <w:tcW w:w="1560" w:type="dxa"/>
            <w:vAlign w:val="center"/>
          </w:tcPr>
          <w:p>
            <w:pPr>
              <w:pStyle w:val="15"/>
              <w:spacing w:before="0" w:after="0" w:line="240" w:lineRule="auto"/>
            </w:pPr>
            <w:r>
              <w:rPr>
                <w:sz w:val="20"/>
                <w:szCs w:val="20"/>
              </w:rPr>
              <w:t>−8.28 ± 0.07</w:t>
            </w:r>
          </w:p>
        </w:tc>
        <w:tc>
          <w:tcPr>
            <w:tcW w:w="1560" w:type="dxa"/>
            <w:vAlign w:val="center"/>
          </w:tcPr>
          <w:p>
            <w:pPr>
              <w:pStyle w:val="15"/>
              <w:spacing w:before="0" w:after="0" w:line="240" w:lineRule="auto"/>
            </w:pPr>
            <w:r>
              <w:rPr>
                <w:sz w:val="20"/>
                <w:szCs w:val="20"/>
              </w:rPr>
              <w:t>No</w:t>
            </w:r>
          </w:p>
        </w:tc>
        <w:tc>
          <w:tcPr>
            <w:tcW w:w="1560" w:type="dxa"/>
            <w:vAlign w:val="center"/>
          </w:tcPr>
          <w:p>
            <w:pPr>
              <w:pStyle w:val="15"/>
              <w:spacing w:before="0" w:after="0" w:line="240" w:lineRule="auto"/>
            </w:pPr>
            <w:r>
              <w:rPr>
                <w:sz w:val="20"/>
                <w:szCs w:val="20"/>
              </w:rPr>
              <w:t>Ser125, Tyr124, Tyr337</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1560" w:type="dxa"/>
            <w:vAlign w:val="center"/>
          </w:tcPr>
          <w:p>
            <w:pPr>
              <w:pStyle w:val="15"/>
              <w:spacing w:before="0" w:after="0" w:line="240" w:lineRule="auto"/>
            </w:pPr>
            <w:r>
              <w:rPr>
                <w:sz w:val="20"/>
                <w:szCs w:val="20"/>
              </w:rPr>
              <w:t>HVLLLRQCA</w:t>
            </w:r>
          </w:p>
        </w:tc>
        <w:tc>
          <w:tcPr>
            <w:tcW w:w="1560" w:type="dxa"/>
            <w:vAlign w:val="center"/>
          </w:tcPr>
          <w:p>
            <w:pPr>
              <w:pStyle w:val="15"/>
              <w:spacing w:before="0" w:after="0" w:line="240" w:lineRule="auto"/>
            </w:pPr>
            <w:r>
              <w:rPr>
                <w:sz w:val="20"/>
                <w:szCs w:val="20"/>
              </w:rPr>
              <w:t>4</w:t>
            </w:r>
          </w:p>
        </w:tc>
        <w:tc>
          <w:tcPr>
            <w:tcW w:w="1560" w:type="dxa"/>
            <w:vAlign w:val="center"/>
          </w:tcPr>
          <w:p>
            <w:pPr>
              <w:pStyle w:val="15"/>
              <w:spacing w:before="0" w:after="0" w:line="240" w:lineRule="auto"/>
            </w:pPr>
            <w:r>
              <w:rPr>
                <w:sz w:val="20"/>
                <w:szCs w:val="20"/>
              </w:rPr>
              <w:t>−8.25</w:t>
            </w:r>
          </w:p>
        </w:tc>
        <w:tc>
          <w:tcPr>
            <w:tcW w:w="1560" w:type="dxa"/>
            <w:vAlign w:val="center"/>
          </w:tcPr>
          <w:p>
            <w:pPr>
              <w:pStyle w:val="15"/>
              <w:spacing w:before="0" w:after="0" w:line="240" w:lineRule="auto"/>
            </w:pPr>
            <w:r>
              <w:rPr>
                <w:sz w:val="20"/>
                <w:szCs w:val="20"/>
              </w:rPr>
              <w:t>−8.07 ± 0.16</w:t>
            </w:r>
          </w:p>
        </w:tc>
        <w:tc>
          <w:tcPr>
            <w:tcW w:w="1560" w:type="dxa"/>
            <w:vAlign w:val="center"/>
          </w:tcPr>
          <w:p>
            <w:pPr>
              <w:pStyle w:val="15"/>
              <w:spacing w:before="0" w:after="0" w:line="240" w:lineRule="auto"/>
            </w:pPr>
            <w:r>
              <w:rPr>
                <w:sz w:val="20"/>
                <w:szCs w:val="20"/>
              </w:rPr>
              <w:t>Yes</w:t>
            </w:r>
          </w:p>
        </w:tc>
        <w:tc>
          <w:tcPr>
            <w:tcW w:w="1560" w:type="dxa"/>
            <w:vAlign w:val="center"/>
          </w:tcPr>
          <w:p>
            <w:pPr>
              <w:pStyle w:val="15"/>
              <w:spacing w:before="0" w:after="0" w:line="240" w:lineRule="auto"/>
            </w:pPr>
            <w:r>
              <w:rPr>
                <w:sz w:val="20"/>
                <w:szCs w:val="20"/>
              </w:rPr>
              <w:t>Thr75</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1560" w:type="dxa"/>
            <w:vAlign w:val="center"/>
          </w:tcPr>
          <w:p>
            <w:pPr>
              <w:pStyle w:val="15"/>
              <w:spacing w:before="0" w:after="0" w:line="240" w:lineRule="auto"/>
            </w:pPr>
            <w:r>
              <w:rPr>
                <w:sz w:val="20"/>
                <w:szCs w:val="20"/>
              </w:rPr>
              <w:t>LLHLPKRTT</w:t>
            </w:r>
          </w:p>
        </w:tc>
        <w:tc>
          <w:tcPr>
            <w:tcW w:w="1560" w:type="dxa"/>
            <w:vAlign w:val="center"/>
          </w:tcPr>
          <w:p>
            <w:pPr>
              <w:pStyle w:val="15"/>
              <w:spacing w:before="0" w:after="0" w:line="240" w:lineRule="auto"/>
            </w:pPr>
            <w:r>
              <w:rPr>
                <w:sz w:val="20"/>
                <w:szCs w:val="20"/>
              </w:rPr>
              <w:t>3</w:t>
            </w:r>
          </w:p>
        </w:tc>
        <w:tc>
          <w:tcPr>
            <w:tcW w:w="1560" w:type="dxa"/>
            <w:vAlign w:val="center"/>
          </w:tcPr>
          <w:p>
            <w:pPr>
              <w:pStyle w:val="15"/>
              <w:spacing w:before="0" w:after="0" w:line="240" w:lineRule="auto"/>
            </w:pPr>
            <w:r>
              <w:rPr>
                <w:sz w:val="20"/>
                <w:szCs w:val="20"/>
              </w:rPr>
              <w:t>−9.01</w:t>
            </w:r>
          </w:p>
        </w:tc>
        <w:tc>
          <w:tcPr>
            <w:tcW w:w="1560" w:type="dxa"/>
            <w:vAlign w:val="center"/>
          </w:tcPr>
          <w:p>
            <w:pPr>
              <w:pStyle w:val="15"/>
              <w:spacing w:before="0" w:after="0" w:line="240" w:lineRule="auto"/>
            </w:pPr>
            <w:r>
              <w:rPr>
                <w:sz w:val="20"/>
                <w:szCs w:val="20"/>
              </w:rPr>
              <w:t>−8.89 ± 0.16</w:t>
            </w:r>
          </w:p>
        </w:tc>
        <w:tc>
          <w:tcPr>
            <w:tcW w:w="1560" w:type="dxa"/>
            <w:vAlign w:val="center"/>
          </w:tcPr>
          <w:p>
            <w:pPr>
              <w:pStyle w:val="15"/>
              <w:spacing w:before="0" w:after="0" w:line="240" w:lineRule="auto"/>
            </w:pPr>
            <w:r>
              <w:rPr>
                <w:sz w:val="20"/>
                <w:szCs w:val="20"/>
              </w:rPr>
              <w:t>Adjacent</w:t>
            </w:r>
          </w:p>
        </w:tc>
        <w:tc>
          <w:tcPr>
            <w:tcW w:w="1560" w:type="dxa"/>
            <w:vAlign w:val="center"/>
          </w:tcPr>
          <w:p>
            <w:pPr>
              <w:pStyle w:val="15"/>
              <w:spacing w:before="0" w:after="0" w:line="240" w:lineRule="auto"/>
            </w:pPr>
            <w:r>
              <w:rPr>
                <w:sz w:val="20"/>
                <w:szCs w:val="20"/>
              </w:rPr>
              <w:t>Ser203, Val340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1560" w:type="dxa"/>
            <w:vAlign w:val="center"/>
          </w:tcPr>
          <w:p>
            <w:pPr>
              <w:pStyle w:val="15"/>
              <w:spacing w:before="0" w:after="0" w:line="240" w:lineRule="auto"/>
            </w:pPr>
            <w:r>
              <w:rPr>
                <w:sz w:val="20"/>
                <w:szCs w:val="20"/>
              </w:rPr>
              <w:t>LLHPLRC</w:t>
            </w:r>
          </w:p>
        </w:tc>
        <w:tc>
          <w:tcPr>
            <w:tcW w:w="1560" w:type="dxa"/>
            <w:vAlign w:val="center"/>
          </w:tcPr>
          <w:p>
            <w:pPr>
              <w:pStyle w:val="15"/>
              <w:spacing w:before="0" w:after="0" w:line="240" w:lineRule="auto"/>
            </w:pPr>
            <w:r>
              <w:rPr>
                <w:sz w:val="20"/>
                <w:szCs w:val="20"/>
              </w:rPr>
              <w:t>4</w:t>
            </w:r>
          </w:p>
        </w:tc>
        <w:tc>
          <w:tcPr>
            <w:tcW w:w="1560" w:type="dxa"/>
            <w:vAlign w:val="center"/>
          </w:tcPr>
          <w:p>
            <w:pPr>
              <w:pStyle w:val="15"/>
              <w:spacing w:before="0" w:after="0" w:line="240" w:lineRule="auto"/>
            </w:pPr>
            <w:r>
              <w:rPr>
                <w:sz w:val="20"/>
                <w:szCs w:val="20"/>
              </w:rPr>
              <w:t>−8.91</w:t>
            </w:r>
          </w:p>
        </w:tc>
        <w:tc>
          <w:tcPr>
            <w:tcW w:w="1560" w:type="dxa"/>
            <w:vAlign w:val="center"/>
          </w:tcPr>
          <w:p>
            <w:pPr>
              <w:pStyle w:val="15"/>
              <w:spacing w:before="0" w:after="0" w:line="240" w:lineRule="auto"/>
            </w:pPr>
            <w:r>
              <w:rPr>
                <w:sz w:val="20"/>
                <w:szCs w:val="20"/>
              </w:rPr>
              <w:t>−8.78 ± 0.11</w:t>
            </w:r>
          </w:p>
        </w:tc>
        <w:tc>
          <w:tcPr>
            <w:tcW w:w="1560" w:type="dxa"/>
            <w:vAlign w:val="center"/>
          </w:tcPr>
          <w:p>
            <w:pPr>
              <w:pStyle w:val="15"/>
              <w:spacing w:before="0" w:after="0" w:line="240" w:lineRule="auto"/>
            </w:pPr>
            <w:r>
              <w:rPr>
                <w:sz w:val="20"/>
                <w:szCs w:val="20"/>
              </w:rPr>
              <w:t>No</w:t>
            </w:r>
          </w:p>
        </w:tc>
        <w:tc>
          <w:tcPr>
            <w:tcW w:w="1560" w:type="dxa"/>
            <w:vAlign w:val="center"/>
          </w:tcPr>
          <w:p>
            <w:pPr>
              <w:pStyle w:val="15"/>
              <w:spacing w:before="0" w:after="0" w:line="240" w:lineRule="auto"/>
            </w:pPr>
            <w:r>
              <w:rPr>
                <w:sz w:val="20"/>
                <w:szCs w:val="20"/>
              </w:rPr>
              <w:t>Ser125, Ser293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1560" w:type="dxa"/>
            <w:vAlign w:val="center"/>
          </w:tcPr>
          <w:p>
            <w:pPr>
              <w:pStyle w:val="15"/>
              <w:spacing w:before="0" w:after="0" w:line="240" w:lineRule="auto"/>
            </w:pPr>
            <w:r>
              <w:rPr>
                <w:sz w:val="20"/>
                <w:szCs w:val="20"/>
              </w:rPr>
              <w:t>LLHPLRL</w:t>
            </w:r>
          </w:p>
        </w:tc>
        <w:tc>
          <w:tcPr>
            <w:tcW w:w="1560" w:type="dxa"/>
            <w:vAlign w:val="center"/>
          </w:tcPr>
          <w:p>
            <w:pPr>
              <w:pStyle w:val="15"/>
              <w:spacing w:before="0" w:after="0" w:line="240" w:lineRule="auto"/>
            </w:pPr>
            <w:r>
              <w:rPr>
                <w:sz w:val="20"/>
                <w:szCs w:val="20"/>
              </w:rPr>
              <w:t>10</w:t>
            </w:r>
          </w:p>
        </w:tc>
        <w:tc>
          <w:tcPr>
            <w:tcW w:w="1560" w:type="dxa"/>
            <w:vAlign w:val="center"/>
          </w:tcPr>
          <w:p>
            <w:pPr>
              <w:pStyle w:val="15"/>
              <w:spacing w:before="0" w:after="0" w:line="240" w:lineRule="auto"/>
            </w:pPr>
            <w:r>
              <w:rPr>
                <w:sz w:val="20"/>
                <w:szCs w:val="20"/>
              </w:rPr>
              <w:t>−8.94</w:t>
            </w:r>
          </w:p>
        </w:tc>
        <w:tc>
          <w:tcPr>
            <w:tcW w:w="1560" w:type="dxa"/>
            <w:vAlign w:val="center"/>
          </w:tcPr>
          <w:p>
            <w:pPr>
              <w:pStyle w:val="15"/>
              <w:spacing w:before="0" w:after="0" w:line="240" w:lineRule="auto"/>
            </w:pPr>
            <w:r>
              <w:rPr>
                <w:sz w:val="20"/>
                <w:szCs w:val="20"/>
              </w:rPr>
              <w:t>−8.91 ± 0.05</w:t>
            </w:r>
          </w:p>
        </w:tc>
        <w:tc>
          <w:tcPr>
            <w:tcW w:w="1560" w:type="dxa"/>
            <w:vAlign w:val="center"/>
          </w:tcPr>
          <w:p>
            <w:pPr>
              <w:pStyle w:val="15"/>
              <w:spacing w:before="0" w:after="0" w:line="240" w:lineRule="auto"/>
            </w:pPr>
            <w:r>
              <w:rPr>
                <w:sz w:val="20"/>
                <w:szCs w:val="20"/>
              </w:rPr>
              <w:t>Yes</w:t>
            </w:r>
          </w:p>
        </w:tc>
        <w:tc>
          <w:tcPr>
            <w:tcW w:w="1560" w:type="dxa"/>
            <w:vAlign w:val="center"/>
          </w:tcPr>
          <w:p>
            <w:pPr>
              <w:pStyle w:val="15"/>
              <w:spacing w:before="0" w:after="0" w:line="240" w:lineRule="auto"/>
            </w:pPr>
            <w:r>
              <w:rPr>
                <w:sz w:val="20"/>
                <w:szCs w:val="20"/>
              </w:rPr>
              <w:t>Trp286, Tyr341, His447</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1560" w:type="dxa"/>
            <w:vAlign w:val="center"/>
          </w:tcPr>
          <w:p>
            <w:pPr>
              <w:pStyle w:val="15"/>
              <w:spacing w:before="0" w:after="0" w:line="240" w:lineRule="auto"/>
            </w:pPr>
            <w:r>
              <w:rPr>
                <w:sz w:val="20"/>
                <w:szCs w:val="20"/>
              </w:rPr>
              <w:t>WLLVHLKK</w:t>
            </w:r>
          </w:p>
        </w:tc>
        <w:tc>
          <w:tcPr>
            <w:tcW w:w="1560" w:type="dxa"/>
            <w:vAlign w:val="center"/>
          </w:tcPr>
          <w:p>
            <w:pPr>
              <w:pStyle w:val="15"/>
              <w:spacing w:before="0" w:after="0" w:line="240" w:lineRule="auto"/>
            </w:pPr>
            <w:r>
              <w:rPr>
                <w:sz w:val="20"/>
                <w:szCs w:val="20"/>
              </w:rPr>
              <w:t>4</w:t>
            </w:r>
          </w:p>
        </w:tc>
        <w:tc>
          <w:tcPr>
            <w:tcW w:w="1560" w:type="dxa"/>
            <w:vAlign w:val="center"/>
          </w:tcPr>
          <w:p>
            <w:pPr>
              <w:pStyle w:val="15"/>
              <w:spacing w:before="0" w:after="0" w:line="240" w:lineRule="auto"/>
            </w:pPr>
            <w:r>
              <w:rPr>
                <w:sz w:val="20"/>
                <w:szCs w:val="20"/>
              </w:rPr>
              <w:t>−8.94</w:t>
            </w:r>
          </w:p>
        </w:tc>
        <w:tc>
          <w:tcPr>
            <w:tcW w:w="1560" w:type="dxa"/>
            <w:vAlign w:val="center"/>
          </w:tcPr>
          <w:p>
            <w:pPr>
              <w:pStyle w:val="15"/>
              <w:spacing w:before="0" w:after="0" w:line="240" w:lineRule="auto"/>
            </w:pPr>
            <w:r>
              <w:rPr>
                <w:sz w:val="20"/>
                <w:szCs w:val="20"/>
              </w:rPr>
              <w:t>−8.64 ± 0.26</w:t>
            </w:r>
          </w:p>
        </w:tc>
        <w:tc>
          <w:tcPr>
            <w:tcW w:w="1560" w:type="dxa"/>
            <w:vAlign w:val="center"/>
          </w:tcPr>
          <w:p>
            <w:pPr>
              <w:pStyle w:val="15"/>
              <w:spacing w:before="0" w:after="0" w:line="240" w:lineRule="auto"/>
            </w:pPr>
            <w:r>
              <w:rPr>
                <w:sz w:val="20"/>
                <w:szCs w:val="20"/>
              </w:rPr>
              <w:t>No</w:t>
            </w:r>
          </w:p>
        </w:tc>
        <w:tc>
          <w:tcPr>
            <w:tcW w:w="1560" w:type="dxa"/>
            <w:vAlign w:val="center"/>
          </w:tcPr>
          <w:p>
            <w:pPr>
              <w:pStyle w:val="15"/>
              <w:spacing w:before="0" w:after="0" w:line="240" w:lineRule="auto"/>
            </w:pPr>
            <w:r>
              <w:rPr>
                <w:sz w:val="20"/>
                <w:szCs w:val="20"/>
              </w:rPr>
              <w:t>Asn283, Gln279</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1560" w:type="dxa"/>
            <w:vAlign w:val="center"/>
          </w:tcPr>
          <w:p>
            <w:pPr>
              <w:pStyle w:val="15"/>
              <w:spacing w:before="0" w:after="0" w:line="240" w:lineRule="auto"/>
            </w:pPr>
            <w:r>
              <w:rPr>
                <w:sz w:val="20"/>
                <w:szCs w:val="20"/>
              </w:rPr>
              <w:t>YHHLLCRR</w:t>
            </w:r>
          </w:p>
        </w:tc>
        <w:tc>
          <w:tcPr>
            <w:tcW w:w="1560" w:type="dxa"/>
            <w:vAlign w:val="center"/>
          </w:tcPr>
          <w:p>
            <w:pPr>
              <w:pStyle w:val="15"/>
              <w:spacing w:before="0" w:after="0" w:line="240" w:lineRule="auto"/>
            </w:pPr>
            <w:r>
              <w:rPr>
                <w:sz w:val="20"/>
                <w:szCs w:val="20"/>
              </w:rPr>
              <w:t>7</w:t>
            </w:r>
          </w:p>
        </w:tc>
        <w:tc>
          <w:tcPr>
            <w:tcW w:w="1560" w:type="dxa"/>
            <w:vAlign w:val="center"/>
          </w:tcPr>
          <w:p>
            <w:pPr>
              <w:pStyle w:val="15"/>
              <w:spacing w:before="0" w:after="0" w:line="240" w:lineRule="auto"/>
            </w:pPr>
            <w:r>
              <w:rPr>
                <w:sz w:val="20"/>
                <w:szCs w:val="20"/>
              </w:rPr>
              <w:t>−9.03</w:t>
            </w:r>
          </w:p>
        </w:tc>
        <w:tc>
          <w:tcPr>
            <w:tcW w:w="1560" w:type="dxa"/>
            <w:vAlign w:val="center"/>
          </w:tcPr>
          <w:p>
            <w:pPr>
              <w:pStyle w:val="15"/>
              <w:spacing w:before="0" w:after="0" w:line="240" w:lineRule="auto"/>
            </w:pPr>
            <w:r>
              <w:rPr>
                <w:sz w:val="20"/>
                <w:szCs w:val="20"/>
              </w:rPr>
              <w:t>−8.62 ± 0.43</w:t>
            </w:r>
          </w:p>
        </w:tc>
        <w:tc>
          <w:tcPr>
            <w:tcW w:w="1560" w:type="dxa"/>
            <w:vAlign w:val="center"/>
          </w:tcPr>
          <w:p>
            <w:pPr>
              <w:pStyle w:val="15"/>
              <w:spacing w:before="0" w:after="0" w:line="240" w:lineRule="auto"/>
            </w:pPr>
            <w:r>
              <w:rPr>
                <w:sz w:val="20"/>
                <w:szCs w:val="20"/>
              </w:rPr>
              <w:t>No</w:t>
            </w:r>
          </w:p>
        </w:tc>
        <w:tc>
          <w:tcPr>
            <w:tcW w:w="1560" w:type="dxa"/>
            <w:vAlign w:val="center"/>
          </w:tcPr>
          <w:p>
            <w:pPr>
              <w:pStyle w:val="15"/>
              <w:spacing w:before="0" w:after="0" w:line="240" w:lineRule="auto"/>
            </w:pPr>
            <w:r>
              <w:rPr>
                <w:sz w:val="20"/>
                <w:szCs w:val="20"/>
              </w:rPr>
              <w:t>Trp86, Ser203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1560" w:type="dxa"/>
            <w:vAlign w:val="center"/>
          </w:tcPr>
          <w:p>
            <w:pPr>
              <w:pStyle w:val="15"/>
              <w:spacing w:before="0" w:after="0" w:line="240" w:lineRule="auto"/>
            </w:pPr>
            <w:r>
              <w:rPr>
                <w:sz w:val="20"/>
                <w:szCs w:val="20"/>
              </w:rPr>
              <w:t>YLSLLQR</w:t>
            </w:r>
          </w:p>
        </w:tc>
        <w:tc>
          <w:tcPr>
            <w:tcW w:w="1560" w:type="dxa"/>
            <w:vAlign w:val="center"/>
          </w:tcPr>
          <w:p>
            <w:pPr>
              <w:pStyle w:val="15"/>
              <w:spacing w:before="0" w:after="0" w:line="240" w:lineRule="auto"/>
            </w:pPr>
            <w:r>
              <w:rPr>
                <w:sz w:val="20"/>
                <w:szCs w:val="20"/>
              </w:rPr>
              <w:t>7</w:t>
            </w:r>
          </w:p>
        </w:tc>
        <w:tc>
          <w:tcPr>
            <w:tcW w:w="1560" w:type="dxa"/>
            <w:vAlign w:val="center"/>
          </w:tcPr>
          <w:p>
            <w:pPr>
              <w:pStyle w:val="15"/>
              <w:spacing w:before="0" w:after="0" w:line="240" w:lineRule="auto"/>
            </w:pPr>
            <w:r>
              <w:rPr>
                <w:sz w:val="20"/>
                <w:szCs w:val="20"/>
              </w:rPr>
              <w:t>−9.49</w:t>
            </w:r>
          </w:p>
        </w:tc>
        <w:tc>
          <w:tcPr>
            <w:tcW w:w="1560" w:type="dxa"/>
            <w:vAlign w:val="center"/>
          </w:tcPr>
          <w:p>
            <w:pPr>
              <w:pStyle w:val="15"/>
              <w:spacing w:before="0" w:after="0" w:line="240" w:lineRule="auto"/>
            </w:pPr>
            <w:r>
              <w:rPr>
                <w:sz w:val="20"/>
                <w:szCs w:val="20"/>
              </w:rPr>
              <w:t>−9.44 ± 0.09</w:t>
            </w:r>
          </w:p>
        </w:tc>
        <w:tc>
          <w:tcPr>
            <w:tcW w:w="1560" w:type="dxa"/>
            <w:vAlign w:val="center"/>
          </w:tcPr>
          <w:p>
            <w:pPr>
              <w:pStyle w:val="15"/>
              <w:spacing w:before="0" w:after="0" w:line="240" w:lineRule="auto"/>
            </w:pPr>
            <w:r>
              <w:rPr>
                <w:sz w:val="20"/>
                <w:szCs w:val="20"/>
              </w:rPr>
              <w:t>Yes</w:t>
            </w:r>
          </w:p>
        </w:tc>
        <w:tc>
          <w:tcPr>
            <w:tcW w:w="1560" w:type="dxa"/>
            <w:vAlign w:val="center"/>
          </w:tcPr>
          <w:p>
            <w:pPr>
              <w:pStyle w:val="15"/>
              <w:spacing w:before="0" w:after="0" w:line="240" w:lineRule="auto"/>
            </w:pPr>
            <w:r>
              <w:rPr>
                <w:sz w:val="20"/>
                <w:szCs w:val="20"/>
              </w:rPr>
              <w:t>Tyr72, Thr75, Glu202</w:t>
            </w:r>
          </w:p>
        </w:tc>
      </w:tr>
    </w:tbl>
    <w:p>
      <w:pPr>
        <w:spacing w:after="40"/>
      </w:pPr>
    </w:p>
    <w:p>
      <w:pPr>
        <w:pStyle w:val="12"/>
        <w:keepNext/>
        <w:jc w:val="center"/>
      </w:pPr>
      <w:r>
        <w:drawing>
          <wp:inline distT="0" distB="0" distL="0" distR="0">
            <wp:extent cx="6149975" cy="3253105"/>
            <wp:effectExtent l="0" t="0" r="0" b="0"/>
            <wp:docPr id="2" name="Figure 2" descr="Figure 2. Local AutoDock Vina scores of twelve candidate micropept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Figure 2. Local AutoDock Vina scores of twelve candidate micropeptides."/>
                    <pic:cNvPicPr>
                      <a:picLocks noChangeAspect="1"/>
                    </pic:cNvPicPr>
                  </pic:nvPicPr>
                  <pic:blipFill>
                    <a:blip r:embed="rId7"/>
                    <a:stretch>
                      <a:fillRect/>
                    </a:stretch>
                  </pic:blipFill>
                  <pic:spPr>
                    <a:xfrm>
                      <a:off x="0" y="0"/>
                      <a:ext cx="6150000" cy="3253339"/>
                    </a:xfrm>
                    <a:prstGeom prst="rect">
                      <a:avLst/>
                    </a:prstGeom>
                  </pic:spPr>
                </pic:pic>
              </a:graphicData>
            </a:graphic>
          </wp:inline>
        </w:drawing>
      </w:r>
    </w:p>
    <w:p>
      <w:pPr>
        <w:pStyle w:val="6"/>
      </w:pPr>
      <w:r>
        <w:rPr>
          <w:b/>
        </w:rPr>
        <w:t>Figure 2. Three-run Vina scores against human AChE (PDB 4EY6).</w:t>
      </w:r>
      <w:r>
        <w:t xml:space="preserve"> Blue circles, mean; whiskers, SD; orange diamonds, best run. Order follows best-run rank.</w:t>
      </w:r>
    </w:p>
    <w:p>
      <w:pPr>
        <w:pStyle w:val="12"/>
        <w:keepNext/>
        <w:jc w:val="center"/>
      </w:pPr>
      <w:r>
        <w:drawing>
          <wp:inline distT="0" distB="0" distL="0" distR="0">
            <wp:extent cx="6149975" cy="5206365"/>
            <wp:effectExtent l="0" t="0" r="0" b="0"/>
            <wp:docPr id="3" name="Figure 3" descr="Figure 3. Best poses of ALLLHRC, FCLHLQLR, FLLHTTR, HLLTLKKHV, HLPLLHRCC and HVLLLRQ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Figure 3. Best poses of ALLLHRC, FCLHLQLR, FLLHTTR, HLLTLKKHV, HLPLLHRCC and HVLLLRQCA."/>
                    <pic:cNvPicPr>
                      <a:picLocks noChangeAspect="1"/>
                    </pic:cNvPicPr>
                  </pic:nvPicPr>
                  <pic:blipFill>
                    <a:blip r:embed="rId8"/>
                    <a:stretch>
                      <a:fillRect/>
                    </a:stretch>
                  </pic:blipFill>
                  <pic:spPr>
                    <a:xfrm>
                      <a:off x="0" y="0"/>
                      <a:ext cx="6150000" cy="5206601"/>
                    </a:xfrm>
                    <a:prstGeom prst="rect">
                      <a:avLst/>
                    </a:prstGeom>
                  </pic:spPr>
                </pic:pic>
              </a:graphicData>
            </a:graphic>
          </wp:inline>
        </w:drawing>
      </w:r>
    </w:p>
    <w:p>
      <w:pPr>
        <w:pStyle w:val="6"/>
      </w:pPr>
      <w:r>
        <w:rPr>
          <w:b/>
        </w:rPr>
        <w:t>Figure 3. Best docking poses, peptides 1–6 (A–F).</w:t>
      </w:r>
      <w:r>
        <w:t xml:space="preserve"> Peptide, orange; contacting residues, cyan. FLLHTTR (C) is the densest PAS pose.</w:t>
      </w:r>
    </w:p>
    <w:p>
      <w:pPr>
        <w:pStyle w:val="12"/>
        <w:keepNext/>
        <w:jc w:val="center"/>
      </w:pPr>
      <w:r>
        <w:drawing>
          <wp:inline distT="0" distB="0" distL="0" distR="0">
            <wp:extent cx="6149975" cy="5206365"/>
            <wp:effectExtent l="0" t="0" r="0" b="0"/>
            <wp:docPr id="4" name="Figure 4" descr="Figure 4. Best poses of LLHLPKRTT, LLHPLRC, LLHPLRL, WLLVHLKK, YHHLLCRR and YLSLL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Figure 4. Best poses of LLHLPKRTT, LLHPLRC, LLHPLRL, WLLVHLKK, YHHLLCRR and YLSLLQR."/>
                    <pic:cNvPicPr>
                      <a:picLocks noChangeAspect="1"/>
                    </pic:cNvPicPr>
                  </pic:nvPicPr>
                  <pic:blipFill>
                    <a:blip r:embed="rId9"/>
                    <a:stretch>
                      <a:fillRect/>
                    </a:stretch>
                  </pic:blipFill>
                  <pic:spPr>
                    <a:xfrm>
                      <a:off x="0" y="0"/>
                      <a:ext cx="6150000" cy="5206601"/>
                    </a:xfrm>
                    <a:prstGeom prst="rect">
                      <a:avLst/>
                    </a:prstGeom>
                  </pic:spPr>
                </pic:pic>
              </a:graphicData>
            </a:graphic>
          </wp:inline>
        </w:drawing>
      </w:r>
    </w:p>
    <w:p>
      <w:pPr>
        <w:pStyle w:val="6"/>
      </w:pPr>
      <w:r>
        <w:rPr>
          <w:b/>
        </w:rPr>
        <w:t>Figure 4. Best docking poses, peptides 7–12 (G–L).</w:t>
      </w:r>
      <w:r>
        <w:t xml:space="preserve"> LLHPLRL (I) spans PAS Trp286/Tyr341 to catalytic His447. YLSLLQR (L) bridges PAS and the gorge mouth.</w:t>
      </w:r>
    </w:p>
    <w:p>
      <w:pPr>
        <w:pStyle w:val="7"/>
      </w:pPr>
      <w:r>
        <w:t>PAS contacts in the best pose were seen for FLLHTTR (Figure 3C), YLSLLQR (Figure 4L), FCLHLQLR, HVLLLRQCA, HLLTLKKHV and LLHPLRL (Figure 4I). ALLLHRC binds catalytic Ser203 with the shortest mean hydrogen bond (2.83 Å) rather than the outer PAS aromatics (Figure 3A). Three-run means separate ligands that stay strong across runs (YLSLLQR, ALLLHRC, LLHPLRL) from ligands whose best pose is better than the run average (FLLHTTR, FCLHLQLR, YHHLLCRR).</w:t>
      </w:r>
    </w:p>
    <w:p>
      <w:pPr>
        <w:pStyle w:val="4"/>
        <w:keepNext/>
      </w:pPr>
      <w:r>
        <w:t>100-ns dynamics of apo AChE and three complexes</w:t>
      </w:r>
    </w:p>
    <w:p>
      <w:pPr>
        <w:pStyle w:val="7"/>
      </w:pPr>
      <w:r>
        <w:t>Production runs finished for apo AChE and the ALLLHRC, FLLHTTR and YLSLLQR complexes (Table 7, Figures 5–7). Each six-panel figure compares apo with one complex: RMSD (A), RMSF (B), SASA (C), Rg (D), last-20-ns DSSP (E) and intermolecular hydrogen bonds (F).</w:t>
      </w:r>
    </w:p>
    <w:p>
      <w:r>
        <w:br w:type="page"/>
      </w:r>
    </w:p>
    <w:p>
      <w:pPr>
        <w:pStyle w:val="12"/>
        <w:keepNext/>
        <w:jc w:val="center"/>
      </w:pPr>
      <w:r>
        <w:drawing>
          <wp:inline distT="0" distB="0" distL="0" distR="0">
            <wp:extent cx="6149975" cy="3469640"/>
            <wp:effectExtent l="0" t="0" r="0" b="0"/>
            <wp:docPr id="5" name="Figure 5" descr="Figure 5. Apo AChE versus AChE–ALLLHRC, 100 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descr="Figure 5. Apo AChE versus AChE–ALLLHRC, 100 ns."/>
                    <pic:cNvPicPr>
                      <a:picLocks noChangeAspect="1"/>
                    </pic:cNvPicPr>
                  </pic:nvPicPr>
                  <pic:blipFill>
                    <a:blip r:embed="rId10"/>
                    <a:stretch>
                      <a:fillRect/>
                    </a:stretch>
                  </pic:blipFill>
                  <pic:spPr>
                    <a:xfrm>
                      <a:off x="0" y="0"/>
                      <a:ext cx="6150000" cy="3470162"/>
                    </a:xfrm>
                    <a:prstGeom prst="rect">
                      <a:avLst/>
                    </a:prstGeom>
                  </pic:spPr>
                </pic:pic>
              </a:graphicData>
            </a:graphic>
          </wp:inline>
        </w:drawing>
      </w:r>
    </w:p>
    <w:p>
      <w:pPr>
        <w:pStyle w:val="6"/>
      </w:pPr>
      <w:r>
        <w:rPr>
          <w:b/>
        </w:rPr>
        <w:t>Figure 5. Apo AChE versus AChE–ALLLHRC.</w:t>
      </w:r>
      <w:r>
        <w:t xml:space="preserve"> Panels A–F match Table 7. Complex RMSD (A) tracks apo; hydrogen bonds (F) fall from early occupancy to about two in the last 20 ns.</w:t>
      </w:r>
    </w:p>
    <w:p>
      <w:pPr>
        <w:pStyle w:val="12"/>
        <w:keepNext/>
        <w:jc w:val="center"/>
      </w:pPr>
      <w:r>
        <w:drawing>
          <wp:inline distT="0" distB="0" distL="0" distR="0">
            <wp:extent cx="6149975" cy="3469640"/>
            <wp:effectExtent l="0" t="0" r="0" b="0"/>
            <wp:docPr id="6" name="Figure 6" descr="Figure 6. Apo AChE versus AChE–FLLHTTR, 100 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descr="Figure 6. Apo AChE versus AChE–FLLHTTR, 100 ns."/>
                    <pic:cNvPicPr>
                      <a:picLocks noChangeAspect="1"/>
                    </pic:cNvPicPr>
                  </pic:nvPicPr>
                  <pic:blipFill>
                    <a:blip r:embed="rId11"/>
                    <a:stretch>
                      <a:fillRect/>
                    </a:stretch>
                  </pic:blipFill>
                  <pic:spPr>
                    <a:xfrm>
                      <a:off x="0" y="0"/>
                      <a:ext cx="6150000" cy="3470162"/>
                    </a:xfrm>
                    <a:prstGeom prst="rect">
                      <a:avLst/>
                    </a:prstGeom>
                  </pic:spPr>
                </pic:pic>
              </a:graphicData>
            </a:graphic>
          </wp:inline>
        </w:drawing>
      </w:r>
    </w:p>
    <w:p>
      <w:pPr>
        <w:pStyle w:val="6"/>
      </w:pPr>
      <w:r>
        <w:rPr>
          <w:b/>
        </w:rPr>
        <w:t>Figure 6. Apo AChE versus AChE–FLLHTTR.</w:t>
      </w:r>
      <w:r>
        <w:t xml:space="preserve"> After ~50 ns, complex RMSD (A) lies below apo. Hydrogen-bond counts (F) stay in the 6–10 range for the full 100 ns.</w:t>
      </w:r>
    </w:p>
    <w:p>
      <w:pPr>
        <w:pStyle w:val="12"/>
        <w:keepNext/>
        <w:jc w:val="center"/>
      </w:pPr>
      <w:r>
        <w:drawing>
          <wp:inline distT="0" distB="0" distL="0" distR="0">
            <wp:extent cx="6149975" cy="3469640"/>
            <wp:effectExtent l="0" t="0" r="0" b="0"/>
            <wp:docPr id="7" name="Figure 7" descr="Figure 7. Apo AChE versus AChE–YLSLLQR, 100 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descr="Figure 7. Apo AChE versus AChE–YLSLLQR, 100 ns."/>
                    <pic:cNvPicPr>
                      <a:picLocks noChangeAspect="1"/>
                    </pic:cNvPicPr>
                  </pic:nvPicPr>
                  <pic:blipFill>
                    <a:blip r:embed="rId12"/>
                    <a:stretch>
                      <a:fillRect/>
                    </a:stretch>
                  </pic:blipFill>
                  <pic:spPr>
                    <a:xfrm>
                      <a:off x="0" y="0"/>
                      <a:ext cx="6150000" cy="3470162"/>
                    </a:xfrm>
                    <a:prstGeom prst="rect">
                      <a:avLst/>
                    </a:prstGeom>
                  </pic:spPr>
                </pic:pic>
              </a:graphicData>
            </a:graphic>
          </wp:inline>
        </w:drawing>
      </w:r>
    </w:p>
    <w:p>
      <w:pPr>
        <w:pStyle w:val="6"/>
      </w:pPr>
      <w:r>
        <w:rPr>
          <w:b/>
        </w:rPr>
        <w:t>Figure 7. Apo AChE versus AChE–YLSLLQR.</w:t>
      </w:r>
      <w:r>
        <w:t xml:space="preserve"> Late RMSD (A) is below apo. SASA (C) is the only complex that contracts relative to apo.</w:t>
      </w:r>
    </w:p>
    <w:p>
      <w:pPr>
        <w:pStyle w:val="6"/>
      </w:pPr>
      <w:r>
        <w:rPr>
          <w:b/>
        </w:rPr>
        <w:t>Table 7. Last-20-ns metrics (mean ± SD) for apo AChE and three complexes.</w:t>
      </w:r>
    </w:p>
    <w:tbl>
      <w:tblPr>
        <w:tblStyle w:val="16"/>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70" w:type="dxa"/>
          <w:left w:w="80" w:type="dxa"/>
          <w:bottom w:w="70" w:type="dxa"/>
          <w:right w:w="80" w:type="dxa"/>
        </w:tblCellMar>
      </w:tblPr>
      <w:tblGrid>
        <w:gridCol w:w="1837"/>
        <w:gridCol w:w="1837"/>
        <w:gridCol w:w="1837"/>
        <w:gridCol w:w="1837"/>
        <w:gridCol w:w="1837"/>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rPr>
          <w:tblHeader/>
        </w:trPr>
        <w:tc>
          <w:tcPr>
            <w:tcW w:w="1872" w:type="dxa"/>
            <w:tcBorders>
              <w:bottom w:val="single" w:color="000000" w:sz="8" w:space="0"/>
            </w:tcBorders>
            <w:vAlign w:val="center"/>
          </w:tcPr>
          <w:p>
            <w:pPr>
              <w:pStyle w:val="15"/>
              <w:spacing w:before="0" w:after="0" w:line="240" w:lineRule="auto"/>
            </w:pPr>
            <w:r>
              <w:rPr>
                <w:sz w:val="20"/>
                <w:szCs w:val="20"/>
              </w:rPr>
              <w:t>Metric</w:t>
            </w:r>
          </w:p>
        </w:tc>
        <w:tc>
          <w:tcPr>
            <w:tcW w:w="1872" w:type="dxa"/>
            <w:tcBorders>
              <w:bottom w:val="single" w:color="000000" w:sz="8" w:space="0"/>
            </w:tcBorders>
            <w:vAlign w:val="center"/>
          </w:tcPr>
          <w:p>
            <w:pPr>
              <w:pStyle w:val="15"/>
              <w:spacing w:before="0" w:after="0" w:line="240" w:lineRule="auto"/>
            </w:pPr>
            <w:r>
              <w:rPr>
                <w:sz w:val="20"/>
                <w:szCs w:val="20"/>
              </w:rPr>
              <w:t>apo AChE</w:t>
            </w:r>
          </w:p>
        </w:tc>
        <w:tc>
          <w:tcPr>
            <w:tcW w:w="1872" w:type="dxa"/>
            <w:tcBorders>
              <w:bottom w:val="single" w:color="000000" w:sz="8" w:space="0"/>
            </w:tcBorders>
            <w:vAlign w:val="center"/>
          </w:tcPr>
          <w:p>
            <w:pPr>
              <w:pStyle w:val="15"/>
              <w:spacing w:before="0" w:after="0" w:line="240" w:lineRule="auto"/>
            </w:pPr>
            <w:r>
              <w:rPr>
                <w:sz w:val="20"/>
                <w:szCs w:val="20"/>
              </w:rPr>
              <w:t>ALLLHRC</w:t>
            </w:r>
          </w:p>
        </w:tc>
        <w:tc>
          <w:tcPr>
            <w:tcW w:w="1872" w:type="dxa"/>
            <w:tcBorders>
              <w:bottom w:val="single" w:color="000000" w:sz="8" w:space="0"/>
            </w:tcBorders>
            <w:vAlign w:val="center"/>
          </w:tcPr>
          <w:p>
            <w:pPr>
              <w:pStyle w:val="15"/>
              <w:spacing w:before="0" w:after="0" w:line="240" w:lineRule="auto"/>
            </w:pPr>
            <w:r>
              <w:rPr>
                <w:sz w:val="20"/>
                <w:szCs w:val="20"/>
              </w:rPr>
              <w:t>FLLHTTR</w:t>
            </w:r>
          </w:p>
        </w:tc>
        <w:tc>
          <w:tcPr>
            <w:tcW w:w="1872" w:type="dxa"/>
            <w:tcBorders>
              <w:bottom w:val="single" w:color="000000" w:sz="8" w:space="0"/>
            </w:tcBorders>
            <w:vAlign w:val="center"/>
          </w:tcPr>
          <w:p>
            <w:pPr>
              <w:pStyle w:val="15"/>
              <w:spacing w:before="0" w:after="0" w:line="240" w:lineRule="auto"/>
            </w:pPr>
            <w:r>
              <w:rPr>
                <w:sz w:val="20"/>
                <w:szCs w:val="20"/>
              </w:rPr>
              <w:t>YLSLLQR</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1872" w:type="dxa"/>
            <w:vAlign w:val="center"/>
          </w:tcPr>
          <w:p>
            <w:pPr>
              <w:pStyle w:val="15"/>
              <w:spacing w:before="0" w:after="0" w:line="240" w:lineRule="auto"/>
            </w:pPr>
            <w:r>
              <w:rPr>
                <w:sz w:val="20"/>
                <w:szCs w:val="20"/>
              </w:rPr>
              <w:t>Cα RMSD (nm)</w:t>
            </w:r>
          </w:p>
        </w:tc>
        <w:tc>
          <w:tcPr>
            <w:tcW w:w="1872" w:type="dxa"/>
            <w:vAlign w:val="center"/>
          </w:tcPr>
          <w:p>
            <w:pPr>
              <w:pStyle w:val="15"/>
              <w:spacing w:before="0" w:after="0" w:line="240" w:lineRule="auto"/>
            </w:pPr>
            <w:r>
              <w:rPr>
                <w:sz w:val="20"/>
                <w:szCs w:val="20"/>
              </w:rPr>
              <w:t>0.1897 ± 0.0090</w:t>
            </w:r>
          </w:p>
        </w:tc>
        <w:tc>
          <w:tcPr>
            <w:tcW w:w="1872" w:type="dxa"/>
            <w:vAlign w:val="center"/>
          </w:tcPr>
          <w:p>
            <w:pPr>
              <w:pStyle w:val="15"/>
              <w:spacing w:before="0" w:after="0" w:line="240" w:lineRule="auto"/>
            </w:pPr>
            <w:r>
              <w:rPr>
                <w:sz w:val="20"/>
                <w:szCs w:val="20"/>
              </w:rPr>
              <w:t>0.1916 ± 0.0092</w:t>
            </w:r>
          </w:p>
        </w:tc>
        <w:tc>
          <w:tcPr>
            <w:tcW w:w="1872" w:type="dxa"/>
            <w:vAlign w:val="center"/>
          </w:tcPr>
          <w:p>
            <w:pPr>
              <w:pStyle w:val="15"/>
              <w:spacing w:before="0" w:after="0" w:line="240" w:lineRule="auto"/>
            </w:pPr>
            <w:r>
              <w:rPr>
                <w:sz w:val="20"/>
                <w:szCs w:val="20"/>
              </w:rPr>
              <w:t>0.1640 ± 0.0080</w:t>
            </w:r>
          </w:p>
        </w:tc>
        <w:tc>
          <w:tcPr>
            <w:tcW w:w="1872" w:type="dxa"/>
            <w:vAlign w:val="center"/>
          </w:tcPr>
          <w:p>
            <w:pPr>
              <w:pStyle w:val="15"/>
              <w:spacing w:before="0" w:after="0" w:line="240" w:lineRule="auto"/>
            </w:pPr>
            <w:r>
              <w:rPr>
                <w:sz w:val="20"/>
                <w:szCs w:val="20"/>
              </w:rPr>
              <w:t>0.1625 ± 0.0078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1872" w:type="dxa"/>
            <w:vAlign w:val="center"/>
          </w:tcPr>
          <w:p>
            <w:pPr>
              <w:pStyle w:val="15"/>
              <w:spacing w:before="0" w:after="0" w:line="240" w:lineRule="auto"/>
            </w:pPr>
            <w:r>
              <w:rPr>
                <w:sz w:val="20"/>
                <w:szCs w:val="20"/>
              </w:rPr>
              <w:t>Peptide self-fit RMSD (nm)</w:t>
            </w:r>
          </w:p>
        </w:tc>
        <w:tc>
          <w:tcPr>
            <w:tcW w:w="1872" w:type="dxa"/>
            <w:vAlign w:val="center"/>
          </w:tcPr>
          <w:p>
            <w:pPr>
              <w:pStyle w:val="15"/>
              <w:spacing w:before="0" w:after="0" w:line="240" w:lineRule="auto"/>
            </w:pPr>
            <w:r>
              <w:rPr>
                <w:sz w:val="20"/>
                <w:szCs w:val="20"/>
              </w:rPr>
              <w:t>—</w:t>
            </w:r>
          </w:p>
        </w:tc>
        <w:tc>
          <w:tcPr>
            <w:tcW w:w="1872" w:type="dxa"/>
            <w:vAlign w:val="center"/>
          </w:tcPr>
          <w:p>
            <w:pPr>
              <w:pStyle w:val="15"/>
              <w:spacing w:before="0" w:after="0" w:line="240" w:lineRule="auto"/>
            </w:pPr>
            <w:r>
              <w:rPr>
                <w:sz w:val="20"/>
                <w:szCs w:val="20"/>
              </w:rPr>
              <w:t>0.2518 ± 0.0136</w:t>
            </w:r>
          </w:p>
        </w:tc>
        <w:tc>
          <w:tcPr>
            <w:tcW w:w="1872" w:type="dxa"/>
            <w:vAlign w:val="center"/>
          </w:tcPr>
          <w:p>
            <w:pPr>
              <w:pStyle w:val="15"/>
              <w:spacing w:before="0" w:after="0" w:line="240" w:lineRule="auto"/>
            </w:pPr>
            <w:r>
              <w:rPr>
                <w:sz w:val="20"/>
                <w:szCs w:val="20"/>
              </w:rPr>
              <w:t>0.1752 ± 0.0111</w:t>
            </w:r>
          </w:p>
        </w:tc>
        <w:tc>
          <w:tcPr>
            <w:tcW w:w="1872" w:type="dxa"/>
            <w:vAlign w:val="center"/>
          </w:tcPr>
          <w:p>
            <w:pPr>
              <w:pStyle w:val="15"/>
              <w:spacing w:before="0" w:after="0" w:line="240" w:lineRule="auto"/>
            </w:pPr>
            <w:r>
              <w:rPr>
                <w:sz w:val="20"/>
                <w:szCs w:val="20"/>
              </w:rPr>
              <w:t>0.0911 ± 0.0098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1872" w:type="dxa"/>
            <w:vAlign w:val="center"/>
          </w:tcPr>
          <w:p>
            <w:pPr>
              <w:pStyle w:val="15"/>
              <w:spacing w:before="0" w:after="0" w:line="240" w:lineRule="auto"/>
            </w:pPr>
            <w:r>
              <w:rPr>
                <w:sz w:val="20"/>
                <w:szCs w:val="20"/>
              </w:rPr>
              <w:t>RMSF mean (nm)</w:t>
            </w:r>
          </w:p>
        </w:tc>
        <w:tc>
          <w:tcPr>
            <w:tcW w:w="1872" w:type="dxa"/>
            <w:vAlign w:val="center"/>
          </w:tcPr>
          <w:p>
            <w:pPr>
              <w:pStyle w:val="15"/>
              <w:spacing w:before="0" w:after="0" w:line="240" w:lineRule="auto"/>
            </w:pPr>
            <w:r>
              <w:rPr>
                <w:sz w:val="20"/>
                <w:szCs w:val="20"/>
              </w:rPr>
              <w:t>0.0835 ± 0.0659</w:t>
            </w:r>
          </w:p>
        </w:tc>
        <w:tc>
          <w:tcPr>
            <w:tcW w:w="1872" w:type="dxa"/>
            <w:vAlign w:val="center"/>
          </w:tcPr>
          <w:p>
            <w:pPr>
              <w:pStyle w:val="15"/>
              <w:spacing w:before="0" w:after="0" w:line="240" w:lineRule="auto"/>
            </w:pPr>
            <w:r>
              <w:rPr>
                <w:sz w:val="20"/>
                <w:szCs w:val="20"/>
              </w:rPr>
              <w:t>0.0876 ± 0.0581</w:t>
            </w:r>
          </w:p>
        </w:tc>
        <w:tc>
          <w:tcPr>
            <w:tcW w:w="1872" w:type="dxa"/>
            <w:vAlign w:val="center"/>
          </w:tcPr>
          <w:p>
            <w:pPr>
              <w:pStyle w:val="15"/>
              <w:spacing w:before="0" w:after="0" w:line="240" w:lineRule="auto"/>
            </w:pPr>
            <w:r>
              <w:rPr>
                <w:sz w:val="20"/>
                <w:szCs w:val="20"/>
              </w:rPr>
              <w:t>0.0778 ± 0.0504</w:t>
            </w:r>
          </w:p>
        </w:tc>
        <w:tc>
          <w:tcPr>
            <w:tcW w:w="1872" w:type="dxa"/>
            <w:vAlign w:val="center"/>
          </w:tcPr>
          <w:p>
            <w:pPr>
              <w:pStyle w:val="15"/>
              <w:spacing w:before="0" w:after="0" w:line="240" w:lineRule="auto"/>
            </w:pPr>
            <w:r>
              <w:rPr>
                <w:sz w:val="20"/>
                <w:szCs w:val="20"/>
              </w:rPr>
              <w:t>0.0771 ± 0.0498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1872" w:type="dxa"/>
            <w:vAlign w:val="center"/>
          </w:tcPr>
          <w:p>
            <w:pPr>
              <w:pStyle w:val="15"/>
              <w:spacing w:before="0" w:after="0" w:line="240" w:lineRule="auto"/>
            </w:pPr>
            <w:r>
              <w:rPr>
                <w:sz w:val="20"/>
                <w:szCs w:val="20"/>
              </w:rPr>
              <w:t>SASA (nm²)</w:t>
            </w:r>
          </w:p>
        </w:tc>
        <w:tc>
          <w:tcPr>
            <w:tcW w:w="1872" w:type="dxa"/>
            <w:vAlign w:val="center"/>
          </w:tcPr>
          <w:p>
            <w:pPr>
              <w:pStyle w:val="15"/>
              <w:spacing w:before="0" w:after="0" w:line="240" w:lineRule="auto"/>
            </w:pPr>
            <w:r>
              <w:rPr>
                <w:sz w:val="20"/>
                <w:szCs w:val="20"/>
              </w:rPr>
              <w:t>212.25 ± 2.89</w:t>
            </w:r>
          </w:p>
        </w:tc>
        <w:tc>
          <w:tcPr>
            <w:tcW w:w="1872" w:type="dxa"/>
            <w:vAlign w:val="center"/>
          </w:tcPr>
          <w:p>
            <w:pPr>
              <w:pStyle w:val="15"/>
              <w:spacing w:before="0" w:after="0" w:line="240" w:lineRule="auto"/>
            </w:pPr>
            <w:r>
              <w:rPr>
                <w:sz w:val="20"/>
                <w:szCs w:val="20"/>
              </w:rPr>
              <w:t>217.47 ± 2.49</w:t>
            </w:r>
          </w:p>
        </w:tc>
        <w:tc>
          <w:tcPr>
            <w:tcW w:w="1872" w:type="dxa"/>
            <w:vAlign w:val="center"/>
          </w:tcPr>
          <w:p>
            <w:pPr>
              <w:pStyle w:val="15"/>
              <w:spacing w:before="0" w:after="0" w:line="240" w:lineRule="auto"/>
            </w:pPr>
            <w:r>
              <w:rPr>
                <w:sz w:val="20"/>
                <w:szCs w:val="20"/>
              </w:rPr>
              <w:t>213.88 ± 2.36</w:t>
            </w:r>
          </w:p>
        </w:tc>
        <w:tc>
          <w:tcPr>
            <w:tcW w:w="1872" w:type="dxa"/>
            <w:vAlign w:val="center"/>
          </w:tcPr>
          <w:p>
            <w:pPr>
              <w:pStyle w:val="15"/>
              <w:spacing w:before="0" w:after="0" w:line="240" w:lineRule="auto"/>
            </w:pPr>
            <w:r>
              <w:rPr>
                <w:sz w:val="20"/>
                <w:szCs w:val="20"/>
              </w:rPr>
              <w:t>209.71 ± 2.35</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1872" w:type="dxa"/>
            <w:vAlign w:val="center"/>
          </w:tcPr>
          <w:p>
            <w:pPr>
              <w:pStyle w:val="15"/>
              <w:spacing w:before="0" w:after="0" w:line="240" w:lineRule="auto"/>
            </w:pPr>
            <w:r>
              <w:rPr>
                <w:sz w:val="20"/>
                <w:szCs w:val="20"/>
              </w:rPr>
              <w:t>Rg (nm)</w:t>
            </w:r>
          </w:p>
        </w:tc>
        <w:tc>
          <w:tcPr>
            <w:tcW w:w="1872" w:type="dxa"/>
            <w:vAlign w:val="center"/>
          </w:tcPr>
          <w:p>
            <w:pPr>
              <w:pStyle w:val="15"/>
              <w:spacing w:before="0" w:after="0" w:line="240" w:lineRule="auto"/>
            </w:pPr>
            <w:r>
              <w:rPr>
                <w:sz w:val="20"/>
                <w:szCs w:val="20"/>
              </w:rPr>
              <w:t>2.3045 ± 0.0056</w:t>
            </w:r>
          </w:p>
        </w:tc>
        <w:tc>
          <w:tcPr>
            <w:tcW w:w="1872" w:type="dxa"/>
            <w:vAlign w:val="center"/>
          </w:tcPr>
          <w:p>
            <w:pPr>
              <w:pStyle w:val="15"/>
              <w:spacing w:before="0" w:after="0" w:line="240" w:lineRule="auto"/>
            </w:pPr>
            <w:r>
              <w:rPr>
                <w:sz w:val="20"/>
                <w:szCs w:val="20"/>
              </w:rPr>
              <w:t>2.3107 ± 0.0052</w:t>
            </w:r>
          </w:p>
        </w:tc>
        <w:tc>
          <w:tcPr>
            <w:tcW w:w="1872" w:type="dxa"/>
            <w:vAlign w:val="center"/>
          </w:tcPr>
          <w:p>
            <w:pPr>
              <w:pStyle w:val="15"/>
              <w:spacing w:before="0" w:after="0" w:line="240" w:lineRule="auto"/>
            </w:pPr>
            <w:r>
              <w:rPr>
                <w:sz w:val="20"/>
                <w:szCs w:val="20"/>
              </w:rPr>
              <w:t>2.2967 ± 0.0047</w:t>
            </w:r>
          </w:p>
        </w:tc>
        <w:tc>
          <w:tcPr>
            <w:tcW w:w="1872" w:type="dxa"/>
            <w:vAlign w:val="center"/>
          </w:tcPr>
          <w:p>
            <w:pPr>
              <w:pStyle w:val="15"/>
              <w:spacing w:before="0" w:after="0" w:line="240" w:lineRule="auto"/>
            </w:pPr>
            <w:r>
              <w:rPr>
                <w:sz w:val="20"/>
                <w:szCs w:val="20"/>
              </w:rPr>
              <w:t>2.3028 ± 0.0051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1872" w:type="dxa"/>
            <w:vAlign w:val="center"/>
          </w:tcPr>
          <w:p>
            <w:pPr>
              <w:pStyle w:val="15"/>
              <w:spacing w:before="0" w:after="0" w:line="240" w:lineRule="auto"/>
            </w:pPr>
            <w:r>
              <w:rPr>
                <w:sz w:val="20"/>
                <w:szCs w:val="20"/>
              </w:rPr>
              <w:t>Intermolecular H-bonds</w:t>
            </w:r>
          </w:p>
        </w:tc>
        <w:tc>
          <w:tcPr>
            <w:tcW w:w="1872" w:type="dxa"/>
            <w:vAlign w:val="center"/>
          </w:tcPr>
          <w:p>
            <w:pPr>
              <w:pStyle w:val="15"/>
              <w:spacing w:before="0" w:after="0" w:line="240" w:lineRule="auto"/>
            </w:pPr>
            <w:r>
              <w:rPr>
                <w:sz w:val="20"/>
                <w:szCs w:val="20"/>
              </w:rPr>
              <w:t>—</w:t>
            </w:r>
          </w:p>
        </w:tc>
        <w:tc>
          <w:tcPr>
            <w:tcW w:w="1872" w:type="dxa"/>
            <w:vAlign w:val="center"/>
          </w:tcPr>
          <w:p>
            <w:pPr>
              <w:pStyle w:val="15"/>
              <w:spacing w:before="0" w:after="0" w:line="240" w:lineRule="auto"/>
            </w:pPr>
            <w:r>
              <w:rPr>
                <w:sz w:val="20"/>
                <w:szCs w:val="20"/>
              </w:rPr>
              <w:t>2.19 ± 0.80</w:t>
            </w:r>
          </w:p>
        </w:tc>
        <w:tc>
          <w:tcPr>
            <w:tcW w:w="1872" w:type="dxa"/>
            <w:vAlign w:val="center"/>
          </w:tcPr>
          <w:p>
            <w:pPr>
              <w:pStyle w:val="15"/>
              <w:spacing w:before="0" w:after="0" w:line="240" w:lineRule="auto"/>
            </w:pPr>
            <w:r>
              <w:rPr>
                <w:sz w:val="20"/>
                <w:szCs w:val="20"/>
              </w:rPr>
              <w:t>7.03 ± 1.28</w:t>
            </w:r>
          </w:p>
        </w:tc>
        <w:tc>
          <w:tcPr>
            <w:tcW w:w="1872" w:type="dxa"/>
            <w:vAlign w:val="center"/>
          </w:tcPr>
          <w:p>
            <w:pPr>
              <w:pStyle w:val="15"/>
              <w:spacing w:before="0" w:after="0" w:line="240" w:lineRule="auto"/>
            </w:pPr>
            <w:r>
              <w:rPr>
                <w:sz w:val="20"/>
                <w:szCs w:val="20"/>
              </w:rPr>
              <w:t>2.93 ± 1.14</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1872" w:type="dxa"/>
            <w:vAlign w:val="center"/>
          </w:tcPr>
          <w:p>
            <w:pPr>
              <w:pStyle w:val="15"/>
              <w:spacing w:before="0" w:after="0" w:line="240" w:lineRule="auto"/>
            </w:pPr>
            <w:r>
              <w:rPr>
                <w:sz w:val="20"/>
                <w:szCs w:val="20"/>
              </w:rPr>
              <w:t>Persistent contact pairs</w:t>
            </w:r>
          </w:p>
        </w:tc>
        <w:tc>
          <w:tcPr>
            <w:tcW w:w="1872" w:type="dxa"/>
            <w:vAlign w:val="center"/>
          </w:tcPr>
          <w:p>
            <w:pPr>
              <w:pStyle w:val="15"/>
              <w:spacing w:before="0" w:after="0" w:line="240" w:lineRule="auto"/>
            </w:pPr>
            <w:r>
              <w:rPr>
                <w:sz w:val="20"/>
                <w:szCs w:val="20"/>
              </w:rPr>
              <w:t>—</w:t>
            </w:r>
          </w:p>
        </w:tc>
        <w:tc>
          <w:tcPr>
            <w:tcW w:w="1872" w:type="dxa"/>
            <w:vAlign w:val="center"/>
          </w:tcPr>
          <w:p>
            <w:pPr>
              <w:pStyle w:val="15"/>
              <w:spacing w:before="0" w:after="0" w:line="240" w:lineRule="auto"/>
            </w:pPr>
            <w:r>
              <w:rPr>
                <w:sz w:val="20"/>
                <w:szCs w:val="20"/>
              </w:rPr>
              <w:t>7</w:t>
            </w:r>
          </w:p>
        </w:tc>
        <w:tc>
          <w:tcPr>
            <w:tcW w:w="1872" w:type="dxa"/>
            <w:vAlign w:val="center"/>
          </w:tcPr>
          <w:p>
            <w:pPr>
              <w:pStyle w:val="15"/>
              <w:spacing w:before="0" w:after="0" w:line="240" w:lineRule="auto"/>
            </w:pPr>
            <w:r>
              <w:rPr>
                <w:sz w:val="20"/>
                <w:szCs w:val="20"/>
              </w:rPr>
              <w:t>7</w:t>
            </w:r>
          </w:p>
        </w:tc>
        <w:tc>
          <w:tcPr>
            <w:tcW w:w="1872" w:type="dxa"/>
            <w:vAlign w:val="center"/>
          </w:tcPr>
          <w:p>
            <w:pPr>
              <w:pStyle w:val="15"/>
              <w:spacing w:before="0" w:after="0" w:line="240" w:lineRule="auto"/>
            </w:pPr>
            <w:r>
              <w:rPr>
                <w:sz w:val="20"/>
                <w:szCs w:val="20"/>
              </w:rPr>
              <w:t>7</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70" w:type="dxa"/>
            <w:left w:w="80" w:type="dxa"/>
            <w:bottom w:w="70" w:type="dxa"/>
            <w:right w:w="80" w:type="dxa"/>
          </w:tblCellMar>
        </w:tblPrEx>
        <w:tc>
          <w:tcPr>
            <w:tcW w:w="1872" w:type="dxa"/>
            <w:vAlign w:val="center"/>
          </w:tcPr>
          <w:p>
            <w:pPr>
              <w:pStyle w:val="15"/>
              <w:spacing w:before="0" w:after="0" w:line="240" w:lineRule="auto"/>
            </w:pPr>
            <w:r>
              <w:rPr>
                <w:sz w:val="20"/>
                <w:szCs w:val="20"/>
              </w:rPr>
              <w:t>DSSP α-helix / β-sheet (%)</w:t>
            </w:r>
          </w:p>
        </w:tc>
        <w:tc>
          <w:tcPr>
            <w:tcW w:w="1872" w:type="dxa"/>
            <w:vAlign w:val="center"/>
          </w:tcPr>
          <w:p>
            <w:pPr>
              <w:pStyle w:val="15"/>
              <w:spacing w:before="0" w:after="0" w:line="240" w:lineRule="auto"/>
            </w:pPr>
            <w:r>
              <w:rPr>
                <w:sz w:val="20"/>
                <w:szCs w:val="20"/>
              </w:rPr>
              <w:t>33.44 / 17.35</w:t>
            </w:r>
          </w:p>
        </w:tc>
        <w:tc>
          <w:tcPr>
            <w:tcW w:w="1872" w:type="dxa"/>
            <w:vAlign w:val="center"/>
          </w:tcPr>
          <w:p>
            <w:pPr>
              <w:pStyle w:val="15"/>
              <w:spacing w:before="0" w:after="0" w:line="240" w:lineRule="auto"/>
            </w:pPr>
            <w:r>
              <w:rPr>
                <w:sz w:val="20"/>
                <w:szCs w:val="20"/>
              </w:rPr>
              <w:t>33.66 / 16.76</w:t>
            </w:r>
          </w:p>
        </w:tc>
        <w:tc>
          <w:tcPr>
            <w:tcW w:w="1872" w:type="dxa"/>
            <w:vAlign w:val="center"/>
          </w:tcPr>
          <w:p>
            <w:pPr>
              <w:pStyle w:val="15"/>
              <w:spacing w:before="0" w:after="0" w:line="240" w:lineRule="auto"/>
            </w:pPr>
            <w:r>
              <w:rPr>
                <w:sz w:val="20"/>
                <w:szCs w:val="20"/>
              </w:rPr>
              <w:t>32.92 / 17.52</w:t>
            </w:r>
          </w:p>
        </w:tc>
        <w:tc>
          <w:tcPr>
            <w:tcW w:w="1872" w:type="dxa"/>
            <w:vAlign w:val="center"/>
          </w:tcPr>
          <w:p>
            <w:pPr>
              <w:pStyle w:val="15"/>
              <w:spacing w:before="0" w:after="0" w:line="240" w:lineRule="auto"/>
            </w:pPr>
            <w:r>
              <w:rPr>
                <w:sz w:val="20"/>
                <w:szCs w:val="20"/>
              </w:rPr>
              <w:t>33.31 / 17.02</w:t>
            </w:r>
          </w:p>
        </w:tc>
      </w:tr>
    </w:tbl>
    <w:p>
      <w:pPr>
        <w:spacing w:after="40"/>
      </w:pPr>
    </w:p>
    <w:p>
      <w:pPr>
        <w:pStyle w:val="7"/>
      </w:pPr>
      <w:r>
        <w:t>Apo RMSD levels near 0.19 nm (Figures 5A–7A). ALLLHRC follows that control (complex 0.1916 nm). FLLHTTR and YLSLLQR drop below apo after 50–70 ns (0.1640 and 0.1625 nm), which reads as rigidification, not unfolding. Peptide self-fit RMSD is highest for ALLLHRC (0.2518 nm) and lowest for YLSLLQR (0.0911 nm). Catalytic-core RMSF stays low; mean RMSF is below apo for FLLHTTR and YLSLLQR. Rg remains 2.30–2.31 nm. SASA rises for ALLLHRC (217.47 nm²), sits near apo for FLLHTTR (213.88 nm²), and falls only for YLSLLQR (209.71 nm²; Figure 7C). Hydrogen-bond histories differ: ALLLHRC decays to 2.19 ± 0.80; FLLHTTR holds 7.03 ± 1.28 for the whole run (Figure 6F); YLSLLQR averages 2.93 ± 1.14. Helix (~33%) and sheet (~17%) overlay the apo bars. Each complex keeps seven persistent contact pairs. Centre-of-mass RDF peaks lie at 1.22 nm (ALLLHRC), 1.80 nm (FLLHTTR) and 1.62 nm (YLSLLQR), i.e. surface residence rather than bulk solvent.</w:t>
      </w:r>
    </w:p>
    <w:p>
      <w:pPr>
        <w:pStyle w:val="3"/>
        <w:keepNext/>
      </w:pPr>
      <w:r>
        <w:t>Discussion</w:t>
      </w:r>
    </w:p>
    <w:p>
      <w:pPr>
        <w:pStyle w:val="7"/>
      </w:pPr>
      <w:r>
        <w:t xml:space="preserve">AChE hydrolyses acetylcholine at cholinergic synapses. In AD tissue the same enzyme sits on amyloid plaques. AChE accelerates Aβ fibril growth through the PAS, and AChE–Aβ particles are more toxic than free peptide </w:t>
      </w:r>
      <w:r>
        <w:fldChar w:fldCharType="begin"/>
      </w:r>
      <w:r>
        <w:instrText xml:space="preserve"> ADDIN ZOTERO_ITEM CSL_CITATION {"citationID":"a7346a1d","properties":{"formattedCitation":"[4]","plainCitation":"[4]","dontUpdate":false,"noteIndex":0},"citationItems":[{"id":4,"uris":["http://zotero.org/users/local/items/inestrosa1996ache"],"itemData":{"id":4,"type":"article-journal","title":"Acetylcholinesterase accelerates assembly of amyloid-$\\beta$-peptides into Alzheimer's fibrils: possible role of the peripheral site of the enzyme","author":[{"family":"Inestrosa","given":"Nibaldo C."},{"family":"Alvarez","given":"Alejandra"},{"family":"Pérez","given":"Carlos A."},{"family":"Moreno","given":"Rodrigo D."},{"family":"Vicente","given":"Marcelo"},{"family":"Linker","given":"Claudio"},{"family":"Casanueva","given":"Olivia I."},{"family":"Soto","given":"Claudio"},{"family":"Garrido","given":"Jorge"}],"citation-key":"inestrosa1996ache","issued":{"date-parts":[[1996]]},"container-title":"Neuron","volume":"16","issue":"4","page":"881-891","DOI":"10.1016/s0896-6273(00)80108-7"}}],"schema":"https://github.com/citation-style-language/schema/raw/master/csl-citation.json"}</w:instrText>
      </w:r>
      <w:r>
        <w:fldChar w:fldCharType="separate"/>
      </w:r>
      <w:r>
        <w:t>[4]</w:t>
      </w:r>
      <w:r>
        <w:fldChar w:fldCharType="end"/>
      </w:r>
      <w:r>
        <w:t xml:space="preserve">. Stable enzyme–peptide complexes change AChE biochemistry and raise fibril neurotoxicity. Isolated complexes contain enzyme bound to growing fibrils </w:t>
      </w:r>
      <w:r>
        <w:fldChar w:fldCharType="begin"/>
      </w:r>
      <w:r>
        <w:instrText xml:space="preserve"> ADDIN ZOTERO_ITEM CSL_CITATION {"citationID":"7c823ca6","properties":{"formattedCitation":"[38–39]","plainCitation":"[38–39]","dontUpdate":false,"noteIndex":0},"citationItems":[{"id":38,"uris":["http://zotero.org/users/local/items/alvarez1998ache"],"itemData":{"id":38,"type":"article-journal","title":"Stable complexes involving acetylcholinesterase and amyloid-beta peptide change the biochemical properties of the enzyme and increase the neurotoxicity of Alzheimer's fibrils","author":[{"family":"Alvarez","given":"Alejandra"},{"family":"Alarcon","given":"Rodrigo"},{"family":"Opazo","given":"Carlos"},{"family":"Campos","given":"Eliseo O."},{"family":"Munoz","given":"Francisco J."},{"family":"Calderon","given":"Francisco H."},{"family":"Dajas","given":"Federico"},{"family":"Gentry","given":"Mary K."},{"family":"Doctor","given":"Bhupendra P."},{"family":"De Mello","given":"Fernando G."},{"family":"Inestrosa","given":"Nibaldo C."}],"citation-key":"alvarez1998ache","issued":{"date-parts":[[1998]]},"container-title":"Journal of Neuroscience","volume":"18","issue":"9","page":"3213-3223","DOI":"10.1523/JNEUROSCI.18-09-03213.1998"}},{"id":39,"uris":["http://zotero.org/users/local/items/alvarez1997ache"],"itemData":{"id":39,"type":"article-journal","title":"Acetylcholinesterase promotes the aggregation of amyloid-beta-peptide fragments by forming a complex with the growing fibrils","author":[{"family":"Alvarez","given":"Alejandra"},{"family":"Opazo","given":"Carlos"},{"family":"Alarcon","given":"Rodrigo"},{"family":"Garrido","given":"Jorge"},{"family":"Inestrosa","given":"Nibaldo C."}],"citation-key":"alvarez1997ache","issued":{"date-parts":[[1997]]},"container-title":"Journal of Molecular Biology","volume":"272","issue":"3","page":"348-361","DOI":"10.1006/jmbi.1997.1245"}}],"schema":"https://github.com/citation-style-language/schema/raw/master/csl-citation.json"}</w:instrText>
      </w:r>
      <w:r>
        <w:fldChar w:fldCharType="separate"/>
      </w:r>
      <w:r>
        <w:t>[38–39]</w:t>
      </w:r>
      <w:r>
        <w:fldChar w:fldCharType="end"/>
      </w:r>
      <w:r>
        <w:t xml:space="preserve">. A short hydrophobic PAS motif is sufficient for that chaperone effect </w:t>
      </w:r>
      <w:r>
        <w:fldChar w:fldCharType="begin"/>
      </w:r>
      <w:r>
        <w:instrText xml:space="preserve"> ADDIN ZOTERO_ITEM CSL_CITATION {"citationID":"b7a228a1","properties":{"formattedCitation":"[5]","plainCitation":"[5]","dontUpdate":false,"noteIndex":0},"citationItems":[{"id":5,"uris":["http://zotero.org/users/local/items/deferrari2001motif"],"itemData":{"id":5,"type":"article-journal","title":"A structural motif of acetylcholinesterase that promotes amyloid $\\beta$-peptide fibril formation","author":[{"family":"De Ferrari","given":"G. V."},{"family":"Canales","given":"M. A."},{"family":"Shin","given":"I."},{"family":"Weiner","given":"L. M."},{"family":"Silman","given":"I."},{"family":"Inestrosa","given":"N. C."}],"citation-key":"deferrari2001motif","issued":{"date-parts":[[2001]]},"container-title":"Biochemistry","volume":"40","issue":"35","page":"10447-10457","DOI":"10.1021/bi0101392"}}],"schema":"https://github.com/citation-style-language/schema/raw/master/csl-citation.json"}</w:instrText>
      </w:r>
      <w:r>
        <w:fldChar w:fldCharType="separate"/>
      </w:r>
      <w:r>
        <w:t>[5]</w:t>
      </w:r>
      <w:r>
        <w:fldChar w:fldCharType="end"/>
      </w:r>
      <w:r>
        <w:t xml:space="preserve">. A monoclonal antibody to AChE blocks the effect </w:t>
      </w:r>
      <w:r>
        <w:fldChar w:fldCharType="begin"/>
      </w:r>
      <w:r>
        <w:instrText xml:space="preserve"> ADDIN ZOTERO_ITEM CSL_CITATION {"citationID":"4d22b6cc","properties":{"formattedCitation":"[40]","plainCitation":"[40]","dontUpdate":false,"noteIndex":0},"citationItems":[{"id":40,"uris":["http://zotero.org/users/local/items/reyes1997mab"],"itemData":{"id":40,"type":"article-journal","title":"A monoclonal antibody against acetylcholinesterase inhibits the formation of amyloid fibrils induced by the enzyme","author":[{"family":"Reyes","given":"Ariel E."},{"family":"Perez","given":"Daniel R."},{"family":"Alvarez","given":"Alejandra"},{"family":"Garrido","given":"Jorge"},{"family":"Gentry","given":"Mary K."},{"family":"Doctor","given":"Bhupendra P."},{"family":"Inestrosa","given":"Nibaldo C."}],"citation-key":"reyes1997mab","issued":{"date-parts":[[1997]]},"container-title":"Biochemical and Biophysical Research Communications","volume":"232","issue":"3","page":"652-655","DOI":"10.1006/bbrc.1997.6357"}}],"schema":"https://github.com/citation-style-language/schema/raw/master/csl-citation.json"}</w:instrText>
      </w:r>
      <w:r>
        <w:fldChar w:fldCharType="separate"/>
      </w:r>
      <w:r>
        <w:t>[40]</w:t>
      </w:r>
      <w:r>
        <w:fldChar w:fldCharType="end"/>
      </w:r>
      <w:r>
        <w:t xml:space="preserve">, and PAS-directed small molecules reach the same endpoint </w:t>
      </w:r>
      <w:r>
        <w:fldChar w:fldCharType="begin"/>
      </w:r>
      <w:r>
        <w:instrText xml:space="preserve"> ADDIN ZOTERO_ITEM CSL_CITATION {"citationID":"04a5a06d","properties":{"formattedCitation":"[6]","plainCitation":"[6]","dontUpdate":false,"noteIndex":0},"citationItems":[{"id":6,"uris":["http://zotero.org/users/local/items/bartolini2003pas"],"itemData":{"id":6,"type":"article-journal","title":"$\\beta$-Amyloid aggregation induced by human acetylcholinesterase: inhibition studies","author":[{"family":"Bartolini","given":"Manuela"},{"family":"Bertucci","given":"Carlo"},{"family":"Cavrini","given":"Vanni"},{"family":"Andrisano","given":"Vincenza"}],"citation-key":"bartolini2003pas","issued":{"date-parts":[[2003]]},"container-title":"Biochemical Pharmacology","volume":"65","issue":"3","page":"407-416","DOI":"10.1016/s0006-2952(02)01514-9"}}],"schema":"https://github.com/citation-style-language/schema/raw/master/csl-citation.json"}</w:instrText>
      </w:r>
      <w:r>
        <w:fldChar w:fldCharType="separate"/>
      </w:r>
      <w:r>
        <w:t>[6]</w:t>
      </w:r>
      <w:r>
        <w:fldChar w:fldCharType="end"/>
      </w:r>
      <w:r>
        <w:t xml:space="preserve">. Excess AChE promotes cortical Aβ plaques in mice </w:t>
      </w:r>
      <w:r>
        <w:fldChar w:fldCharType="begin"/>
      </w:r>
      <w:r>
        <w:instrText xml:space="preserve"> ADDIN ZOTERO_ITEM CSL_CITATION {"citationID":"c7d7a7ec","properties":{"formattedCitation":"[41]","plainCitation":"[41]","dontUpdate":false,"noteIndex":0},"citationItems":[{"id":41,"uris":["http://zotero.org/users/local/items/rees2003ache"],"itemData":{"id":41,"type":"article-journal","title":"Acetylcholinesterase promotes beta-amyloid plaques in cerebral cortex","author":[{"family":"Rees","given":"Tina"},{"family":"Hammond","given":"Patti I."},{"family":"Soreq","given":"Hermona"},{"family":"Younkin","given":"Steven"},{"family":"Brimijoin","given":"Stephen"}],"citation-key":"rees2003ache","issued":{"date-parts":[[2003]]},"container-title":"Neurobiology of Aging","volume":"24","issue":"6","page":"777-787","DOI":"10.1016/S0197-4580(02)00230-0"}}],"schema":"https://github.com/citation-style-language/schema/raw/master/csl-citation.json"}</w:instrText>
      </w:r>
      <w:r>
        <w:fldChar w:fldCharType="separate"/>
      </w:r>
      <w:r>
        <w:t>[41]</w:t>
      </w:r>
      <w:r>
        <w:fldChar w:fldCharType="end"/>
      </w:r>
      <w:r>
        <w:t xml:space="preserve">. Reviews of AChE in AD place plaque-associated enzyme in cross-talk with Aβ and phospho-tau, and the plaque-associated activity remains sensitive to PAS blockade </w:t>
      </w:r>
      <w:r>
        <w:fldChar w:fldCharType="begin"/>
      </w:r>
      <w:r>
        <w:instrText xml:space="preserve"> ADDIN ZOTERO_ITEM CSL_CITATION {"citationID":"5b0634b7","properties":{"formattedCitation":"[42–44]","plainCitation":"[42–44]","dontUpdate":false,"noteIndex":0},"citationItems":[{"id":42,"uris":["http://zotero.org/users/local/items/garciaayllon2011ache"],"itemData":{"id":42,"type":"article-journal","title":"Revisiting the role of acetylcholinesterase in Alzheimer's disease: cross-talk with P-tau and beta-amyloid","author":[{"family":"Garcia-Ayllon","given":"Maria-Salud"},{"family":"Small","given":"David H."},{"family":"Avila","given":"Jesus"},{"family":"Saez-Valero","given":"Javier"}],"citation-key":"garciaayllon2011ache","issued":{"date-parts":[[2011]]},"container-title":"Frontiers in Molecular Neuroscience","volume":"4","page":"22","DOI":"10.3389/fnmol.2011.00022"}},{"id":43,"uris":["http://zotero.org/users/local/items/carvajal2011ache"],"itemData":{"id":43,"type":"article-journal","title":"Interactions of AChE with Abeta aggregates in Alzheimer's brain: therapeutic relevance of IDN 5706","author":[{"family":"Carvajal","given":"Francisco J."},{"family":"Inestrosa","given":"Nibaldo C."}],"citation-key":"carvajal2011ache","issued":{"date-parts":[[2011]]},"container-title":"Frontiers in Molecular Neuroscience","volume":"4","page":"19","DOI":"10.3389/fnmol.2011.00019"}},{"id":44,"uris":["http://zotero.org/users/local/items/inestrosa2008ache"],"itemData":{"id":44,"type":"article-journal","title":"Amyloid-cholinesterase interactions","author":[{"family":"Inestrosa","given":"Nibaldo C."},{"family":"Dinamarca","given":"Margarita C."},{"family":"Alvarez","given":"Alejandra"}],"citation-key":"inestrosa2008ache","issued":{"date-parts":[[2008]]},"container-title":"The FEBS Journal","volume":"275","issue":"4","page":"625-632","DOI":"10.1111/j.1742-4658.2007.06238.x"}}],"schema":"https://github.com/citation-style-language/schema/raw/master/csl-citation.json"}</w:instrText>
      </w:r>
      <w:r>
        <w:fldChar w:fldCharType="separate"/>
      </w:r>
      <w:r>
        <w:t>[42–44]</w:t>
      </w:r>
      <w:r>
        <w:fldChar w:fldCharType="end"/>
      </w:r>
      <w:r>
        <w:t xml:space="preserve">. Hippocampal AChE–Aβ complexes produce more damage than free fibrils </w:t>
      </w:r>
      <w:r>
        <w:fldChar w:fldCharType="begin"/>
      </w:r>
      <w:r>
        <w:instrText xml:space="preserve"> ADDIN ZOTERO_ITEM CSL_CITATION {"citationID":"52b5012a","properties":{"formattedCitation":"[45]","plainCitation":"[45]","dontUpdate":false,"noteIndex":0},"citationItems":[{"id":45,"uris":["http://zotero.org/users/local/items/dinamarca2010ache"],"itemData":{"id":45,"type":"article-journal","title":"Amyloid-beta-acetylcholinesterase complexes potentiate neurodegenerative changes induced by the Abeta peptide. Implications for the pathogenesis of Alzheimer's disease","author":[{"family":"Dinamarca","given":"Margarita C."},{"family":"Sagal","given":"Juan P."},{"family":"Quintanilla","given":"Rodrigo A."},{"family":"Godoy","given":"Juan A."},{"family":"Arrazola","given":"Macarena S."},{"family":"Inestrosa","given":"Nibaldo C."}],"citation-key":"dinamarca2010ache","issued":{"date-parts":[[2010]]},"container-title":"Molecular Neurodegeneration","volume":"5","page":"4","DOI":"10.1186/1750-1326-5-4"}}],"schema":"https://github.com/citation-style-language/schema/raw/master/csl-citation.json"}</w:instrText>
      </w:r>
      <w:r>
        <w:fldChar w:fldCharType="separate"/>
      </w:r>
      <w:r>
        <w:t>[45]</w:t>
      </w:r>
      <w:r>
        <w:fldChar w:fldCharType="end"/>
      </w:r>
      <w:r>
        <w:t xml:space="preserve">. The PAS maps to Tyr72, Asp74, Tyr124, Trp286 and Tyr341, about 20 Å from the catalytic triad at the gorge mouth </w:t>
      </w:r>
      <w:r>
        <w:fldChar w:fldCharType="begin"/>
      </w:r>
      <w:r>
        <w:instrText xml:space="preserve"> ADDIN ZOTERO_ITEM CSL_CITATION {"citationID":"36510659","properties":{"formattedCitation":"[46]","plainCitation":"[46]","dontUpdate":false,"noteIndex":0},"citationItems":[{"id":46,"uris":["http://zotero.org/users/local/items/johnson2006pas"],"itemData":{"id":46,"type":"article-journal","title":"The peripheral anionic site of acetylcholinesterase: structure, functions and potential role in rational drug design","author":[{"family":"Johnson","given":"Glynis"},{"family":"Moore","given":"Samuel W."}],"citation-key":"johnson2006pas","issued":{"date-parts":[[2006]]},"container-title":"Current Pharmaceutical Design","volume":"12","issue":"2","page":"217-225","DOI":"10.2174/138161206775193127"}}],"schema":"https://github.com/citation-style-language/schema/raw/master/csl-citation.json"}</w:instrText>
      </w:r>
      <w:r>
        <w:fldChar w:fldCharType="separate"/>
      </w:r>
      <w:r>
        <w:t>[46]</w:t>
      </w:r>
      <w:r>
        <w:fldChar w:fldCharType="end"/>
      </w:r>
      <w:r>
        <w:t xml:space="preserve">. These studies support PAS as a functional surface that can take part in AChE-mediated Aβ assembly </w:t>
      </w:r>
      <w:r>
        <w:fldChar w:fldCharType="begin"/>
      </w:r>
      <w:r>
        <w:instrText xml:space="preserve"> ADDIN ZOTERO_ITEM CSL_CITATION {"citationID":"f8417b77","properties":{"formattedCitation":"[2–3]","plainCitation":"[2–3]","dontUpdate":false,"noteIndex":0},"citationItems":[{"id":2,"uris":["http://zotero.org/users/local/items/selkoe2016amyloid"],"itemData":{"id":2,"type":"article-journal","title":"The amyloid hypothesis of Alzheimer's disease at 25 years","author":[{"family":"Selkoe","given":"Dennis J."},{"family":"Hardy","given":"John"}],"citation-key":"selkoe2016amyloid","issued":{"date-parts":[[2016]]},"container-title":"EMBO Molecular Medicine","volume":"8","issue":"6","page":"595-608","DOI":"10.15252/emmm.201606210"}},{"id":3,"uris":["http://zotero.org/users/local/items/hampel2018cholinergic"],"itemData":{"id":3,"type":"article-journal","title":"The cholinergic system in the pathophysiology and treatment of Alzheimer's disease","author":[{"family":"Hampel","given":"Harald"},{"family":"Mesulam","given":"M.-Marsel"},{"family":"Cuello","given":"A. Claudio"},{"family":"Farlow","given":"Martin R."},{"family":"Giacobini","given":"Ezio"},{"family":"Grossberg","given":"George T."},{"family":"Khachaturian","given":"Ara S."},{"family":"Vergallo","given":"Andrea"},{"family":"Cavedo","given":"Enrica"},{"family":"Snyder","given":"Peter J."},{"family":"Khachaturian","given":"Zaven S."}],"citation-key":"hampel2018cholinergic","issued":{"date-parts":[[2018]]},"container-title":"Brain","volume":"141","issue":"7","page":"1917-1933","DOI":"10.1093/brain/awy132"}}],"schema":"https://github.com/citation-style-language/schema/raw/master/csl-citation.json"}</w:instrText>
      </w:r>
      <w:r>
        <w:fldChar w:fldCharType="separate"/>
      </w:r>
      <w:r>
        <w:t>[2–3]</w:t>
      </w:r>
      <w:r>
        <w:fldChar w:fldCharType="end"/>
      </w:r>
      <w:r>
        <w:t>. The present docking and 100-ns trajectories examine predicted contacts of periodontitis-derived micropeptides at that surface.</w:t>
      </w:r>
    </w:p>
    <w:p>
      <w:pPr>
        <w:pStyle w:val="7"/>
      </w:pPr>
      <w:r>
        <w:t xml:space="preserve">An oral exposure path is documented at the organism and protease level. Periodontopathic virulence factors have been detected in short-term postmortem AD brain </w:t>
      </w:r>
      <w:r>
        <w:fldChar w:fldCharType="begin"/>
      </w:r>
      <w:r>
        <w:instrText xml:space="preserve"> ADDIN ZOTERO_ITEM CSL_CITATION {"citationID":"2a075ee4","properties":{"formattedCitation":"[47]","plainCitation":"[47]","dontUpdate":false,"noteIndex":0},"citationItems":[{"id":47,"uris":["http://zotero.org/users/local/items/poole2013pg"],"itemData":{"id":47,"type":"article-journal","title":"Determining the presence of periodontopathic virulence factors in short-term postmortem Alzheimer's disease brain tissue","author":[{"family":"Poole","given":"Sophie"},{"family":"Singhrao","given":"Sim K."},{"family":"Kesavalu","given":"Lakshmyya"},{"family":"Curtis","given":"Michael A."},{"family":"Crean","given":"StJohn"}],"citation-key":"poole2013pg","issued":{"date-parts":[[2013]]},"container-title":"Journal of Alzheimer's Disease","volume":"36","issue":"4","page":"665-677","DOI":"10.3233/JAD-121918"}}],"schema":"https://github.com/citation-style-language/schema/raw/master/csl-citation.json"}</w:instrText>
      </w:r>
      <w:r>
        <w:fldChar w:fldCharType="separate"/>
      </w:r>
      <w:r>
        <w:t>[47]</w:t>
      </w:r>
      <w:r>
        <w:fldChar w:fldCharType="end"/>
      </w:r>
      <w:r>
        <w:t xml:space="preserve">. P. gingivalis and gingipains have been reported in AD brains, and oral infection in mice raises brain Aβ1–42 </w:t>
      </w:r>
      <w:r>
        <w:fldChar w:fldCharType="begin"/>
      </w:r>
      <w:r>
        <w:instrText xml:space="preserve"> ADDIN ZOTERO_ITEM CSL_CITATION {"citationID":"4ae99145","properties":{"formattedCitation":"[14]","plainCitation":"[14]","dontUpdate":false,"noteIndex":0},"citationItems":[{"id":14,"uris":["http://zotero.org/users/local/items/dominy2019pgingivalis"],"itemData":{"id":14,"type":"article-journal","title":"Porphyromonas gingivalis in Alzheimer's disease brains: Evidence for disease causation and treatment with small-molecule inhibitors","author":[{"family":"Dominy","given":"Stephen S."},{"family":"Lynch","given":"Casey"},{"family":"Ermini","given":"Florian"},{"family":"Benedyk","given":"Marc"},{"family":"Marczyk","given":"Anna"},{"family":"Konradi","given":"Alvin"},{"family":"Nguyen","given":"Manh"},{"family":"Haditsch","given":"Ursula"},{"family":"Raha","given":"Deepak"},{"family":"Griffin","given":"Casey"},{"family":"Holsinger","given":"Leslie J."},{"family":"Arastu-Kapur","given":"Shirin"},{"family":"Kaba","given":"Sharief"},{"family":"Lee","given":"Amy"},{"family":"Ryder","given":"Mark I."},{"family":"Potempa","given":"Jan"},{"family":"Mydel","given":"Piotr"},{"family":"Hellvard","given":"Annelie"}],"citation-key":"dominy2019pgingivalis","issued":{"date-parts":[[2019]]},"container-title":"Science Advances","volume":"5","issue":"1","page":"eaau3333","DOI":"10.1126/sciadv.aau3333"}}],"schema":"https://github.com/citation-style-language/schema/raw/master/csl-citation.json"}</w:instrText>
      </w:r>
      <w:r>
        <w:fldChar w:fldCharType="separate"/>
      </w:r>
      <w:r>
        <w:t>[14]</w:t>
      </w:r>
      <w:r>
        <w:fldChar w:fldCharType="end"/>
      </w:r>
      <w:r>
        <w:t xml:space="preserve">. AD-like neurodegeneration occurs in P. gingivalis-infected neurons that keep active gingipains </w:t>
      </w:r>
      <w:r>
        <w:fldChar w:fldCharType="begin"/>
      </w:r>
      <w:r>
        <w:instrText xml:space="preserve"> ADDIN ZOTERO_ITEM CSL_CITATION {"citationID":"ea887bd4","properties":{"formattedCitation":"[48]","plainCitation":"[48]","dontUpdate":false,"noteIndex":0},"citationItems":[{"id":48,"uris":["http://zotero.org/users/local/items/haditsch2020cor388"],"itemData":{"id":48,"type":"article-journal","title":"Alzheimer's disease-like neurodegeneration in \\textitPorphyromonas gingivalis infected neurons with persistent expression of active gingipains","author":[{"family":"Haditsch","given":"Ursula"},{"family":"Roth","given":"Theresa"},{"family":"Rodriguez","given":"Leo"},{"family":"Hancock","given":"Sean"},{"family":"Cecere","given":"Thomas"},{"family":"Nguyen","given":"Mai"},{"family":"Arastu-Kapur","given":"Shirin"},{"family":"Broce","given":"Sean"},{"family":"Raha","given":"Debasish"},{"family":"Lynch","given":"Casey C."},{"family":"Holsinger","given":"Leslie J."},{"family":"Dominy","given":"Stephen S."},{"family":"Ermini","given":"Florian"}],"citation-key":"haditsch2020cor388","issued":{"date-parts":[[2020]]},"container-title":"Journal of Alzheimer's Disease","volume":"75","issue":"4","page":"1361-1376","DOI":"10.3233/JAD-200393"}}],"schema":"https://github.com/citation-style-language/schema/raw/master/csl-citation.json"}</w:instrText>
      </w:r>
      <w:r>
        <w:fldChar w:fldCharType="separate"/>
      </w:r>
      <w:r>
        <w:t>[48]</w:t>
      </w:r>
      <w:r>
        <w:fldChar w:fldCharType="end"/>
      </w:r>
      <w:r>
        <w:t xml:space="preserve">. Repeated oral application of a periodontal pathogen in wild-type mice produces neuroinflammation and Aβ-related changes </w:t>
      </w:r>
      <w:r>
        <w:fldChar w:fldCharType="begin"/>
      </w:r>
      <w:r>
        <w:instrText xml:space="preserve"> ADDIN ZOTERO_ITEM CSL_CITATION {"citationID":"382560cc","properties":{"formattedCitation":"[15]","plainCitation":"[15]","dontUpdate":false,"noteIndex":0},"citationItems":[{"id":15,"uris":["http://zotero.org/users/local/items/ilievski2018oral"],"itemData":{"id":15,"type":"article-journal","title":"Chronic oral application of a periodontal pathogen results in brain inflammation, neurodegeneration and amyloid beta production in wild type mice","author":[{"family":"Ilievski","given":"Vladimir"},{"family":"Zuchowska","given":"Paulina K."},{"family":"Green","given":"Stefan J."},{"family":"Toth","given":"Peter T."},{"family":"Ragozzino","given":"Michael E."},{"family":"Le","given":"Khuong"},{"family":"Aljewari","given":"Haider W."},{"family":"O'Brien-Simpson","given":"Neil M."},{"family":"Reynolds","given":"Eric C."},{"family":"Watanabe","given":"Keiko"}],"citation-key":"ilievski2018oral","issued":{"date-parts":[[2018]]},"container-title":"PLOS ONE","volume":"13","issue":"10","page":"e0204941","DOI":"10.1371/journal.pone.0204941"}}],"schema":"https://github.com/citation-style-language/schema/raw/master/csl-citation.json"}</w:instrText>
      </w:r>
      <w:r>
        <w:fldChar w:fldCharType="separate"/>
      </w:r>
      <w:r>
        <w:t>[15]</w:t>
      </w:r>
      <w:r>
        <w:fldChar w:fldCharType="end"/>
      </w:r>
      <w:r>
        <w:t xml:space="preserve">. P. gingivalis bacteremia increases endothelial permeability through an Mfsd2a/Caveolin-1 transcytosis path </w:t>
      </w:r>
      <w:r>
        <w:fldChar w:fldCharType="begin"/>
      </w:r>
      <w:r>
        <w:instrText xml:space="preserve"> ADDIN ZOTERO_ITEM CSL_CITATION {"citationID":"cf0dd329","properties":{"formattedCitation":"[49]","plainCitation":"[49]","dontUpdate":false,"noteIndex":0},"citationItems":[{"id":49,"uris":["http://zotero.org/users/local/items/lei2023pgbbb"],"itemData":{"id":49,"type":"article-journal","title":"Porphyromonas gingivalis bacteremia increases the permeability of the blood-brain barrier via the Mfsd2a/Caveolin-1 mediated transcytosis pathway","author":[{"family":"Lei","given":"Shuang"},{"family":"Li","given":"Jian"},{"family":"Yu","given":"Jingjun"},{"family":"Li","given":"Fulong"},{"family":"Pan","given":"Yaping"},{"family":"Chen","given":"Xu"},{"family":"Ma","given":"Chunliang"},{"family":"Zhao","given":"Weidong"},{"family":"Tang","given":"Xiaolin"}],"citation-key":"lei2023pgbbb","issued":{"date-parts":[[2023]]},"container-title":"International Journal of Oral Science","volume":"15","page":"3","DOI":"10.1038/s41368-022-00215-y"}}],"schema":"https://github.com/citation-style-language/schema/raw/master/csl-citation.json"}</w:instrText>
      </w:r>
      <w:r>
        <w:fldChar w:fldCharType="separate"/>
      </w:r>
      <w:r>
        <w:t>[49]</w:t>
      </w:r>
      <w:r>
        <w:fldChar w:fldCharType="end"/>
      </w:r>
      <w:r>
        <w:t xml:space="preserve">. Gingipains and outer-membrane vesicles supply vehicles for bacterial cargo beyond the producing cell </w:t>
      </w:r>
      <w:r>
        <w:fldChar w:fldCharType="begin"/>
      </w:r>
      <w:r>
        <w:instrText xml:space="preserve"> ADDIN ZOTERO_ITEM CSL_CITATION {"citationID":"29db973f","properties":{"formattedCitation":"[12–13]","plainCitation":"[12–13]","dontUpdate":false,"noteIndex":0},"citationItems":[{"id":12,"uris":["http://zotero.org/users/local/items/guo2010gingipain"],"itemData":{"id":12,"type":"article-journal","title":"Dichotomy of gingipains action as virulence factors: from cleaving substrates with the precision of a surgeon's knife to a meat chopper-like brutal degradation of proteins","author":[{"family":"Guo","given":"Y."},{"family":"Nguyen","given":"K.-A."},{"family":"Potempa","given":"J."}],"citation-key":"guo2010gingipain","issued":{"date-parts":[[2010]]},"container-title":"Periodontology 2000","volume":"54","issue":"1","page":"15-44","DOI":"10.1111/j.1600-0757.2010.00377.x"}},{"id":13,"uris":["http://zotero.org/users/local/items/ho2015omv"],"itemData":{"id":13,"type":"article-journal","title":"Functional advantages of \\textitPorphyromonas gingivalis vesicles","author":[{"family":"Ho","given":"Meng-Hsuan"},{"family":"Chen","given":"Chia-Huey"},{"family":"Goodwin","given":"J. Shawn"},{"family":"Wang","given":"Bing-Yan"},{"family":"Xie","given":"Hua"}],"citation-key":"ho2015omv","issued":{"date-parts":[[2015]]},"container-title":"PLOS ONE","volume":"10","issue":"4","page":"e0123448","DOI":"10.1371/journal.pone.0123448"}}],"schema":"https://github.com/citation-style-language/schema/raw/master/csl-citation.json"}</w:instrText>
      </w:r>
      <w:r>
        <w:fldChar w:fldCharType="separate"/>
      </w:r>
      <w:r>
        <w:t>[12–13]</w:t>
      </w:r>
      <w:r>
        <w:fldChar w:fldCharType="end"/>
      </w:r>
      <w:r>
        <w:t xml:space="preserve">. Meta-analyses and an AD cohort link periodontitis to later cognitive decline </w:t>
      </w:r>
      <w:r>
        <w:fldChar w:fldCharType="begin"/>
      </w:r>
      <w:r>
        <w:instrText xml:space="preserve"> ADDIN ZOTERO_ITEM CSL_CITATION {"citationID":"fee118a4","properties":{"formattedCitation":"[9–10]","plainCitation":"[9–10]","dontUpdate":false,"noteIndex":0},"citationItems":[{"id":9,"uris":["http://zotero.org/users/local/items/larvin2023periodontalcognition"],"itemData":{"id":9,"type":"article-journal","title":"The impact of study factors in the association of periodontal disease and cognitive disorders: systematic review and meta-analysis","author":[{"family":"Larvin","given":"Heather"},{"family":"Gao","given":"C."},{"family":"Kang","given":"J."},{"family":"Aggarwal","given":"V. R."},{"family":"Pavitt","given":"S."},{"family":"Wu","given":"J."}],"citation-key":"larvin2023periodontalcognition","issued":{"date-parts":[[2023]]},"container-title":"Age and Ageing","volume":"52","issue":"2","page":"afad015","DOI":"10.1093/ageing/afad015"}},{"id":10,"uris":["http://zotero.org/users/local/items/ide2016periodontitis"],"itemData":{"id":10,"type":"article-journal","title":"Periodontitis and cognitive decline in Alzheimer's disease","author":[{"family":"Ide","given":"Mark"},{"family":"Harris","given":"Marina"},{"family":"Stevens","given":"Annette"},{"family":"Sussams","given":"Rebecca"},{"family":"Hopkins","given":"Viv"},{"family":"Culliford","given":"David"},{"family":"Fuller","given":"James"},{"family":"Ibbett","given":"Paul"},{"family":"Raybould","given":"Rachel"},{"family":"Thomas","given":"Rhodri"},{"family":"Puenter","given":"Ursula"},{"family":"Teeling","given":"Jessica"},{"family":"Perry","given":"V. Hugh"},{"family":"Holmes","given":"Clive"}],"citation-key":"ide2016periodontitis","issued":{"date-parts":[[2016]]},"container-title":"PLOS ONE","volume":"11","issue":"3","page":"e0151081","DOI":"10.1371/journal.pone.0151081"}}],"schema":"https://github.com/citation-style-language/schema/raw/master/csl-citation.json"}</w:instrText>
      </w:r>
      <w:r>
        <w:fldChar w:fldCharType="separate"/>
      </w:r>
      <w:r>
        <w:t>[9–10]</w:t>
      </w:r>
      <w:r>
        <w:fldChar w:fldCharType="end"/>
      </w:r>
      <w:r>
        <w:t xml:space="preserve">. A two-sample Mendelian randomization analysis did not support a genetic causal effect </w:t>
      </w:r>
      <w:r>
        <w:fldChar w:fldCharType="begin"/>
      </w:r>
      <w:r>
        <w:instrText xml:space="preserve"> ADDIN ZOTERO_ITEM CSL_CITATION {"citationID":"810a5e61","properties":{"formattedCitation":"[11]","plainCitation":"[11]","dontUpdate":false,"noteIndex":0},"citationItems":[{"id":11,"uris":["http://zotero.org/users/local/items/hu2024mendelian"],"itemData":{"id":11,"type":"article-journal","title":"Periodontal disease and risk of Alzheimer's disease: a two-sample Mendelian randomization","author":[{"family":"Hu","given":"C."},{"family":"Li","given":"H."},{"family":"Huang","given":"L."}],"citation-key":"hu2024mendelian","issued":{"date-parts":[[2024]]},"container-title":"Brain and Behavior","volume":"14","issue":"4","page":"e3486","DOI":"10.1002/brb3.3486"}}],"schema":"https://github.com/citation-style-language/schema/raw/master/csl-citation.json"}</w:instrText>
      </w:r>
      <w:r>
        <w:fldChar w:fldCharType="separate"/>
      </w:r>
      <w:r>
        <w:t>[11]</w:t>
      </w:r>
      <w:r>
        <w:fldChar w:fldCharType="end"/>
      </w:r>
      <w:r>
        <w:t xml:space="preserve">. Those reports supply biological background for examining oral products in AD-related pathology. They do not assign the twelve peptides to P. gingivalis, and they do not show that any one string crosses endothelium or accumulates in brain </w:t>
      </w:r>
      <w:r>
        <w:fldChar w:fldCharType="begin"/>
      </w:r>
      <w:r>
        <w:instrText xml:space="preserve"> ADDIN ZOTERO_ITEM CSL_CITATION {"citationID":"5ab3569a","properties":{"formattedCitation":"[7–8,25]","plainCitation":"[7–8,25]","dontUpdate":false,"noteIndex":0},"citationItems":[{"id":7,"uris":["http://zotero.org/users/local/items/chalmers2025primer"],"itemData":{"id":7,"type":"article-journal","title":"The role of the oral microbiome, host response, and periodontal disease treatment in Alzheimer's disease: A primer","author":[{"family":"Chalmers","given":"Jaclyn C."},{"family":"Hernandez-Kapila","given":"Yvonne L."}],"citation-key":"chalmers2025primer","issued":{"date-parts":[[2025]]},"container-title":"Periodontology 2000","volume":"98","issue":"1","page":"220-227","DOI":"10.1111/prd.12631"}},{"id":8,"uris":["http://zotero.org/users/local/items/belstrom2021periodontitis"],"itemData":{"id":8,"type":"article-journal","title":"Periodontitis associates with species-specific gene expression of the oral microbiota","author":[{"family":"Belstrøm","given":"Daniel"},{"family":"Constancias","given":"Florentin"},{"family":"Drautz-Moses","given":"Daniela I."},{"family":"Schuster","given":"Stephan C."},{"family":"Veleba","given":"Mark"},{"family":"Mahé","given":"Frédéric"},{"family":"Givskov","given":"Michael"}],"citation-key":"belstrom2021periodontitis","issued":{"date-parts":[[2021]]},"container-title":"npj Biofilms and Microbiomes","volume":"7","page":"76","DOI":"10.1038/s41522-021-00247-y"}},{"id":25,"uris":["http://zotero.org/users/local/items/gu2024bbb"],"itemData":{"id":25,"type":"article-journal","title":"Prediction of blood-brain barrier penetrating peptides based on data augmentation with Augur","author":[{"family":"Gu","given":"Z. F."},{"family":"Hao","given":"Y. D."},{"family":"Wang","given":"T. Y."}],"citation-key":"gu2024bbb","issued":{"date-parts":[[2024]]},"container-title":"BMC Biology","volume":"22","page":"86","DOI":"10.1186/s12915-024-01883-4"}}],"schema":"https://github.com/citation-style-language/schema/raw/master/csl-citation.json"}</w:instrText>
      </w:r>
      <w:r>
        <w:fldChar w:fldCharType="separate"/>
      </w:r>
      <w:r>
        <w:t>[7–8,25]</w:t>
      </w:r>
      <w:r>
        <w:fldChar w:fldCharType="end"/>
      </w:r>
      <w:r>
        <w:t>. A 7–9-aa peptide is smaller than gingipains or vesicles; size alone is not evidence of barrier crossing. Charge, proteolysis, plasma binding and transport all affect exposure, and none of those processes is modelled here. Docking and MD below address predicted contacts at AChE after an oral heptapeptide has been placed on the enzyme.</w:t>
      </w:r>
    </w:p>
    <w:p>
      <w:pPr>
        <w:pStyle w:val="7"/>
      </w:pPr>
      <w:r>
        <w:t xml:space="preserve">Deep-learning peptide mining supplied the filter stack. Millions of translated microbiome open reading frames have been scored before experimental filters </w:t>
      </w:r>
      <w:r>
        <w:fldChar w:fldCharType="begin"/>
      </w:r>
      <w:r>
        <w:instrText xml:space="preserve"> ADDIN ZOTERO_ITEM CSL_CITATION {"citationID":"7bc5c514","properties":{"formattedCitation":"[18]","plainCitation":"[18]","dontUpdate":false,"noteIndex":0},"citationItems":[{"id":18,"uris":["http://zotero.org/users/local/items/torres2024peptideantibiotics"],"itemData":{"id":18,"type":"article-journal","title":"Mining human microbiomes reveals an untapped source of peptide antibiotics","author":[{"family":"Torres","given":"Marcelo D. T."},{"family":"Brooks","given":"Emily F."},{"family":"Cesaro","given":"Alessandro"}],"citation-key":"torres2024peptideantibiotics","issued":{"date-parts":[[2024]]},"container-title":"Cell","volume":"187","issue":"19","page":"5453-5467.e15","DOI":"10.1016/j.cell.2024.07.027"}}],"schema":"https://github.com/citation-style-language/schema/raw/master/csl-citation.json"}</w:instrText>
      </w:r>
      <w:r>
        <w:fldChar w:fldCharType="separate"/>
      </w:r>
      <w:r>
        <w:t>[18]</w:t>
      </w:r>
      <w:r>
        <w:fldChar w:fldCharType="end"/>
      </w:r>
      <w:r>
        <w:t xml:space="preserve">. UniDL4BioPep uses the same predict-then-filter logic on ESM-2 embeddings </w:t>
      </w:r>
      <w:r>
        <w:fldChar w:fldCharType="begin"/>
      </w:r>
      <w:r>
        <w:instrText xml:space="preserve"> ADDIN ZOTERO_ITEM CSL_CITATION {"citationID":"a2e3ffe7","properties":{"formattedCitation":"[19]","plainCitation":"[19]","dontUpdate":false,"noteIndex":0},"citationItems":[{"id":19,"uris":["http://zotero.org/users/local/items/du2023unidl4biopep"],"itemData":{"id":19,"type":"article-journal","title":"UniDL4BioPep: a universal deep learning architecture for binary classification in peptide bioactivity","author":[{"family":"Du","given":"Zhenjiao"},{"family":"Ding","given":"Xingjian"},{"family":"Xu","given":"Yixiang"},{"family":"Li","given":"Yonghui"}],"citation-key":"du2023unidl4biopep","issued":{"date-parts":[[2023]]},"container-title":"Briefings in Bioinformatics","volume":"24","issue":"3","page":"bbad135","DOI":"10.1093/bib/bbad135"}}],"schema":"https://github.com/citation-style-language/schema/raw/master/csl-citation.json"}</w:instrText>
      </w:r>
      <w:r>
        <w:fldChar w:fldCharType="separate"/>
      </w:r>
      <w:r>
        <w:t>[19]</w:t>
      </w:r>
      <w:r>
        <w:fldChar w:fldCharType="end"/>
      </w:r>
      <w:r>
        <w:t xml:space="preserve">. NTxPred2, mebipred and AnOxPePred were trained for neurotoxic, metal-binding and antioxidant endpoints, not for AChE occupancy </w:t>
      </w:r>
      <w:r>
        <w:fldChar w:fldCharType="begin"/>
      </w:r>
      <w:r>
        <w:instrText xml:space="preserve"> ADDIN ZOTERO_ITEM CSL_CITATION {"citationID":"301ffa20","properties":{"formattedCitation":"[31–33]","plainCitation":"[31–33]","dontUpdate":false,"noteIndex":0},"citationItems":[{"id":31,"uris":["http://zotero.org/users/local/items/rathore2025ntxpred2"],"itemData":{"id":31,"type":"article-journal","title":"A large language model for predicting neurotoxic peptides and neurotoxins","author":[{"family":"Rathore","given":"Anand Singh"},{"family":"Jain","given":"Saloni"},{"family":"Choudhury","given":"Shubham"},{"family":"Raghava","given":"Gajendra P. S."}],"citation-key":"rathore2025ntxpred2","issued":{"date-parts":[[2025]]},"container-title":"Protein Science","volume":"34","issue":"8","page":"e70200","DOI":"10.1002/pro.70200"}},{"id":32,"uris":["http://zotero.org/users/local/items/aptekmann2022mebipred"],"itemData":{"id":32,"type":"article-journal","title":"mebipred: identifying metal-binding potential in protein sequence","author":[{"family":"Aptekmann","given":"Ariel A."},{"family":"Buongiorno","given":"Joy"},{"family":"Giovannelli","given":"Donato"},{"family":"Glamoclija","given":"M. Jasmina"},{"family":"Ferreiro","given":"Diego U."},{"family":"Bromberg","given":"Yana"}],"citation-key":"aptekmann2022mebipred","issued":{"date-parts":[[2022]]},"container-title":"Bioinformatics","volume":"38","issue":"14","page":"3532-3540","DOI":"10.1093/bioinformatics/btac358"}},{"id":33,"uris":["http://zotero.org/users/local/items/olsen2020anoxpepred"],"itemData":{"id":33,"type":"article-journal","title":"AnOxPePred: using deep learning for the prediction of antioxidative properties of peptides","author":[{"family":"Olsen","given":"Tobias Hegelund"},{"family":"Yesiltas","given":"Betül"},{"family":"Marin","given":"Frederikke Isa"},{"family":"Pertseva","given":"Margarita"},{"family":"García-Moreno","given":"Pedro J."},{"family":"Gregersen","given":"Simon"},{"family":"Hansen","given":"Egon Bech"},{"family":"Jacobsen","given":"Charlotte"},{"family":"Lund","given":"Ole"},{"family":"Overgaard","given":"Michael Toft"},{"family":"Marcatili","given":"Paolo"}],"citation-key":"olsen2020anoxpepred","issued":{"date-parts":[[2020]]},"container-title":"Scientific Reports","volume":"10","page":"21471","DOI":"10.1038/s41598-020-78319-w"}}],"schema":"https://github.com/citation-style-language/schema/raw/master/csl-citation.json"}</w:instrText>
      </w:r>
      <w:r>
        <w:fldChar w:fldCharType="separate"/>
      </w:r>
      <w:r>
        <w:t>[31–33]</w:t>
      </w:r>
      <w:r>
        <w:fldChar w:fldCharType="end"/>
      </w:r>
      <w:r>
        <w:t xml:space="preserve">. Catalogue matches to HOMD, eHOMD and salivary metaproteomes support prior observation of a string, as in other oral peptide studies </w:t>
      </w:r>
      <w:r>
        <w:fldChar w:fldCharType="begin"/>
      </w:r>
      <w:r>
        <w:instrText xml:space="preserve"> ADDIN ZOTERO_ITEM CSL_CITATION {"citationID":"320fea62","properties":{"formattedCitation":"[16,26–30]","plainCitation":"[16,26–30]","dontUpdate":false,"noteIndex":0},"citationItems":[{"id":16,"uris":["http://zotero.org/users/local/items/sberro2019smallgenes"],"itemData":{"id":16,"type":"article-journal","title":"Large-Scale Analyses of Human Microbiomes Reveal Thousands of Small, Novel Genes","author":[{"family":"Sberro","given":"Hila"},{"family":"Fremin","given":"Brayon J."},{"family":"Zlitni","given":"Soumaya"},{"family":"Edfors","given":"Fredrik"},{"family":"Greenfield","given":"Nicholas"},{"family":"Snyder","given":"Michael P."},{"family":"Pavlopoulos","given":"Georgios A."},{"family":"Kyrpides","given":"Nikos C."},{"family":"Bhatt","given":"Ami S."}],"citation-key":"sberro2019smallgenes","issued":{"date-parts":[[2019]]},"container-title":"Cell","volume":"178","issue":"5","page":"1245-1259.e14","DOI":"10.1016/j.cell.2019.07.016"}},{"id":26,"uris":["http://zotero.org/users/local/items/chen2010homd"],"itemData":{"id":26,"type":"article-journal","title":"The Human Oral Microbiome Database: a web accessible resource for investigating oral microbe taxonomic and genomic information","author":[{"family":"Chen","given":"Tsute"},{"family":"Yu","given":"Wen-Han"},{"family":"Izard","given":"Jacques"},{"family":"Baranova","given":"Oxana V."},{"family":"Lakshmanan","given":"Abirami"},{"family":"Dewhirst","given":"Floyd E."}],"citation-key":"chen2010homd","issued":{"date-parts":[[2010]]},"container-title":"Database","volume":"2010","page":"baq013","DOI":"10.1093/database/baq013"}},{"id":27,"uris":["http://zotero.org/users/local/items/escapa2018ehomd"],"itemData":{"id":27,"type":"article-journal","title":"New Insights into Human Nostril Microbiome from the Expanded Human Oral Microbiome Database (eHOMD): a Resource for the Microbiome of the Human Aerodigestive Tract","author":[{"family":"Escapa","given":"Isabel F."},{"family":"Chen","given":"Tsute"},{"family":"Huang","given":"Yanmei"},{"family":"Gajare","given":"Prasad"},{"family":"Dewhirst","given":"Floyd E."},{"family":"Lemon","given":"Katherine P."}],"citation-key":"escapa2018ehomd","issued":{"date-parts":[[2018]]},"container-title":"mSystems","volume":"3","issue":"6","page":"e00187-18","DOI":"10.1128/mSystems.00187-18"}},{"id":28,"uris":["http://zotero.org/users/local/items/belstrom2016metaproteomics"],"itemData":{"id":28,"type":"article-journal","title":"Metaproteomics of saliva identifies human protein markers specific for individuals with periodontitis and dental caries compared to orally healthy controls","author":[{"family":"Belstrøm","given":"Daniel"},{"family":"Jersie-Christensen","given":"Rosa R."},{"family":"Lyon","given":"David"},{"family":"Damgaard","given":"Christian"},{"family":"Jensen","given":"Lars J."},{"family":"Holmstrup","given":"Palle"},{"family":"Olsen","given":"Jesper V."}],"citation-key":"belstrom2016metaproteomics","issued":{"date-parts":[[2016]]},"container-title":"PeerJ","volume":"4","page":"e2433","DOI":"10.7717/peerj.2433"}},{"id":29,"uris":["http://zotero.org/users/local/items/jiang2022oralmetaproteomics"],"itemData":{"id":29,"type":"article-journal","title":"In-Depth Metaproteomics Analysis of Oral Microbiome for Lung Cancer","author":[{"family":"Jiang","given":"Xiaoteng"},{"family":"Zhang","given":"Y."},{"family":"Wang","given":"H."},{"family":"Wang","given":"Z."},{"family":"Hu","given":"S."},{"family":"Cao","given":"C."},{"family":"Xiao","given":"H."}],"citation-key":"jiang2022oralmetaproteomics","issued":{"date-parts":[[2022]]},"container-title":"Research","volume":"2022","page":"9781578","DOI":"10.34133/2022/9781578"}},{"id":30,"uris":["http://zotero.org/users/local/items/yuan2025osample"],"itemData":{"id":30,"type":"article-journal","title":"OSaMPle workflow for salivary metaproteomics analysis reveals dysbiosis in inflammatory bowel disease patients","author":[{"family":"Yuan","given":"Jing"},{"family":"Sun","given":"Bowen"},{"family":"Li","given":"Ming"}],"citation-key":"yuan2025osample","issued":{"date-parts":[[2025]]},"container-title":"npj Biofilms and Microbiomes","volume":"11","page":"63","DOI":"10.1038/s41522-025-00692-z"}}],"schema":"https://github.com/citation-style-language/schema/raw/master/csl-citation.json"}</w:instrText>
      </w:r>
      <w:r>
        <w:fldChar w:fldCharType="separate"/>
      </w:r>
      <w:r>
        <w:t>[16,26–30]</w:t>
      </w:r>
      <w:r>
        <w:fldChar w:fldCharType="end"/>
      </w:r>
      <w:r>
        <w:t xml:space="preserve">. A genomic catalogue hit records coding potential. A metaproteomic hit records a detected peptide. Neither measurement is host-tissue exposure of the twelve docking ligands. The serial scores function as a triage stack that nominates strings for structure work. The twelve docking ligands are 7–9 residues, alkaline, and net-positive at pH 7.4, with leucine-rich cores. Asp74 and Trp286 form a common core for peripheral ligands </w:t>
      </w:r>
      <w:r>
        <w:fldChar w:fldCharType="begin"/>
      </w:r>
      <w:r>
        <w:instrText xml:space="preserve"> ADDIN ZOTERO_ITEM CSL_CITATION {"citationID":"7ca1acaf","properties":{"formattedCitation":"[50]","plainCitation":"[50]","dontUpdate":false,"noteIndex":0},"citationItems":[{"id":50,"uris":["http://zotero.org/users/local/items/barak1994pas"],"itemData":{"id":50,"type":"article-journal","title":"Acetylcholinesterase peripheral anionic site degeneracy conferred by amino acid arrays sharing a common core","author":[{"family":"Barak","given":"Dov"},{"family":"Kronman","given":"Chanoch"},{"family":"Ordentlich","given":"Arie"},{"family":"Ariel","given":"Naomi"},{"family":"Bromberg","given":"Avigdor"},{"family":"Marcus","given":"Dino"},{"family":"Lazar","given":"Arie"},{"family":"Velan","given":"Baruch"},{"family":"Shafferman","given":"Avigdor"}],"citation-key":"barak1994pas","issued":{"date-parts":[[1994]]},"container-title":"Journal of Biological Chemistry","volume":"269","issue":"9","page":"6296-6305","DOI":"10.1016/S0021-9258(17)37603-X"}}],"schema":"https://github.com/citation-style-language/schema/raw/master/csl-citation.json"}</w:instrText>
      </w:r>
      <w:r>
        <w:fldChar w:fldCharType="separate"/>
      </w:r>
      <w:r>
        <w:t>[50]</w:t>
      </w:r>
      <w:r>
        <w:fldChar w:fldCharType="end"/>
      </w:r>
      <w:r>
        <w:t xml:space="preserve">, and cationic substrate first docks on Asp74 </w:t>
      </w:r>
      <w:r>
        <w:fldChar w:fldCharType="begin"/>
      </w:r>
      <w:r>
        <w:instrText xml:space="preserve"> ADDIN ZOTERO_ITEM CSL_CITATION {"citationID":"d7f3c549","properties":{"formattedCitation":"[51]","plainCitation":"[51]","dontUpdate":false,"noteIndex":0},"citationItems":[{"id":51,"uris":["http://zotero.org/users/local/items/mallender2000asp74"],"itemData":{"id":51,"type":"article-journal","title":"Acetylthiocholine binds to Asp74 at the peripheral site of human acetylcholinesterase as the first step in the catalytic pathway","author":[{"family":"Mallender","given":"William D."},{"family":"Szegletes","given":"Tivadar"},{"family":"Rosenberry","given":"Terrone L."}],"citation-key":"mallender2000asp74","issued":{"date-parts":[[2000]]},"container-title":"Biochemistry","volume":"39","issue":"26","page":"7753-7763","DOI":"10.1021/bi000210o"}}],"schema":"https://github.com/citation-style-language/schema/raw/master/csl-citation.json"}</w:instrText>
      </w:r>
      <w:r>
        <w:fldChar w:fldCharType="separate"/>
      </w:r>
      <w:r>
        <w:t>[51]</w:t>
      </w:r>
      <w:r>
        <w:fldChar w:fldCharType="end"/>
      </w:r>
      <w:r>
        <w:t>. Those physicochemical traits made the twelve strings worth docking. Net charge and leucine content do not establish PAS selectivity, a shared binding mode, or affinity.</w:t>
      </w:r>
    </w:p>
    <w:p>
      <w:pPr>
        <w:pStyle w:val="7"/>
      </w:pPr>
      <w:r>
        <w:t xml:space="preserve">Human AChE (PDB 4EY6) gives an experimental frame for the gorge and PAS </w:t>
      </w:r>
      <w:r>
        <w:fldChar w:fldCharType="begin"/>
      </w:r>
      <w:r>
        <w:instrText xml:space="preserve"> ADDIN ZOTERO_ITEM CSL_CITATION {"citationID":"3f1883ac","properties":{"formattedCitation":"[22]","plainCitation":"[22]","dontUpdate":false,"noteIndex":0},"citationItems":[{"id":22,"uris":["http://zotero.org/users/local/items/cheung2012ache"],"itemData":{"id":22,"type":"article-journal","title":"Structures of human acetylcholinesterase in complex with pharmacologically important ligands","author":[{"family":"Cheung","given":"Jean"},{"family":"Rudolph","given":"Michael J."},{"family":"Burshteyn","given":"Fabian"},{"family":"Cassidy","given":"Matthew S."},{"family":"Gary","given":"Edwin N."},{"family":"Love","given":"James"},{"family":"Franklin","given":"Michael C."},{"family":"Height","given":"Jonathan J."}],"citation-key":"cheung2012ache","issued":{"date-parts":[[2012]]},"container-title":"Journal of Medicinal Chemistry","volume":"55","issue":"23","page":"10282-10286","DOI":"10.1021/jm300871x"}}],"schema":"https://github.com/citation-style-language/schema/raw/master/csl-citation.json"}</w:instrText>
      </w:r>
      <w:r>
        <w:fldChar w:fldCharType="separate"/>
      </w:r>
      <w:r>
        <w:t>[22]</w:t>
      </w:r>
      <w:r>
        <w:fldChar w:fldCharType="end"/>
      </w:r>
      <w:r>
        <w:t xml:space="preserve">, following the aromatic-gorge map on Torpedo AChE </w:t>
      </w:r>
      <w:r>
        <w:fldChar w:fldCharType="begin"/>
      </w:r>
      <w:r>
        <w:instrText xml:space="preserve"> ADDIN ZOTERO_ITEM CSL_CITATION {"citationID":"a110ec24","properties":{"formattedCitation":"[23,52]","plainCitation":"[23,52]","dontUpdate":false,"noteIndex":0},"citationItems":[{"id":23,"uris":["http://zotero.org/users/local/items/kryger1999e2020"],"itemData":{"id":23,"type":"article-journal","title":"Structure of acetylcholinesterase complexed with E2020 (Aricept): implications for the design of new anti-Alzheimer drugs","author":[{"family":"Kryger","given":"Gilad"},{"family":"Silman","given":"Israel"},{"family":"Sussman","given":"Joel L."}],"citation-key":"kryger1999e2020","issued":{"date-parts":[[1999]]},"container-title":"Structure","volume":"7","issue":"3","page":"297-307","DOI":"10.1016/s0969-2126(99)80040-9"}},{"id":52,"uris":["http://zotero.org/users/local/items/sussman1991ache"],"itemData":{"id":52,"type":"article-journal","title":"Atomic structure of acetylcholinesterase from Torpedo californica: a prototypic acetylcholine-binding protein","author":[{"family":"Sussman","given":"Joel L."},{"family":"Harel","given":"Michal"},{"family":"Frolow","given":"Felix"},{"family":"Oefner","given":"Christian"},{"family":"Goldman","given":"Adrian"},{"family":"Toker","given":"Lilly"},{"family":"Silman","given":"Israel"}],"citation-key":"sussman1991ache","issued":{"date-parts":[[1991]]},"container-title":"Science","volume":"253","issue":"5022","page":"872-879","DOI":"10.1126/science.1678899"}}],"schema":"https://github.com/citation-style-language/schema/raw/master/csl-citation.json"}</w:instrText>
      </w:r>
      <w:r>
        <w:fldChar w:fldCharType="separate"/>
      </w:r>
      <w:r>
        <w:t>[23,52]</w:t>
      </w:r>
      <w:r>
        <w:fldChar w:fldCharType="end"/>
      </w:r>
      <w:r>
        <w:t xml:space="preserve">. The 20-Å gorge couples a catalytic triad at the base to a peripheral cluster at the rim </w:t>
      </w:r>
      <w:r>
        <w:fldChar w:fldCharType="begin"/>
      </w:r>
      <w:r>
        <w:instrText xml:space="preserve"> ADDIN ZOTERO_ITEM CSL_CITATION {"citationID":"f707264c","properties":{"formattedCitation":"[53]","plainCitation":"[53]","dontUpdate":false,"noteIndex":0},"citationItems":[{"id":53,"uris":["http://zotero.org/users/local/items/dvir2010ache"],"itemData":{"id":53,"type":"article-journal","title":"Acetylcholinesterase: from 3D structure to function","author":[{"family":"Dvir","given":"Hay"},{"family":"Silman","given":"Israel"},{"family":"Harel","given":"Michal"},{"family":"Rosenberry","given":"Terrone L."},{"family":"Sussman","given":"Joel L."}],"citation-key":"dvir2010ache","issued":{"date-parts":[[2010]]},"container-title":"Chemico-Biological Interactions","volume":"187","issue":"1-3","page":"10-22","DOI":"10.1016/j.cbi.2010.01.042"}}],"schema":"https://github.com/citation-style-language/schema/raw/master/csl-citation.json"}</w:instrText>
      </w:r>
      <w:r>
        <w:fldChar w:fldCharType="separate"/>
      </w:r>
      <w:r>
        <w:t>[53]</w:t>
      </w:r>
      <w:r>
        <w:fldChar w:fldCharType="end"/>
      </w:r>
      <w:r>
        <w:t xml:space="preserve">. AutoDock Vina is a first-pass ranking engine </w:t>
      </w:r>
      <w:r>
        <w:fldChar w:fldCharType="begin"/>
      </w:r>
      <w:r>
        <w:instrText xml:space="preserve"> ADDIN ZOTERO_ITEM CSL_CITATION {"citationID":"5952e157","properties":{"formattedCitation":"[34–35]","plainCitation":"[34–35]","dontUpdate":false,"noteIndex":0},"citationItems":[{"id":34,"uris":["http://zotero.org/users/local/items/trott2010vina"],"itemData":{"id":34,"type":"article-journal","title":"AutoDock Vina: improving the speed and accuracy of docking with a new scoring function, efficient optimization, and multithreading","author":[{"family":"Trott","given":"Oleg"},{"family":"Olson","given":"Arthur J."}],"citation-key":"trott2010vina","issued":{"date-parts":[[2010]]},"container-title":"Journal of Computational Chemistry","volume":"31","issue":"2","page":"455-461","DOI":"10.1002/jcc.21334"}},{"id":35,"uris":["http://zotero.org/users/local/items/eberhardt2021vina"],"itemData":{"id":35,"type":"article-journal","title":"AutoDock Vina 1.2.0: new docking methods, expanded force field, and Python bindings","author":[{"family":"Eberhardt","given":"Jocelyn"},{"family":"Santos-Martins","given":"Diogo"},{"family":"Tillack","given":"Andreas F."},{"family":"Forli","given":"Stefano"}],"citation-key":"eberhardt2021vina","issued":{"date-parts":[[2021]]},"container-title":"Journal of Chemical Information and Modeling","volume":"61","issue":"8","page":"3891-3898","DOI":"10.1021/acs.jcim.1c00203"}}],"schema":"https://github.com/citation-style-language/schema/raw/master/csl-citation.json"}</w:instrText>
      </w:r>
      <w:r>
        <w:fldChar w:fldCharType="separate"/>
      </w:r>
      <w:r>
        <w:t>[34–35]</w:t>
      </w:r>
      <w:r>
        <w:fldChar w:fldCharType="end"/>
      </w:r>
      <w:r>
        <w:t xml:space="preserve">. Recurring predicted contacts fall on the PAS array. FLLHTTR is predicted to hydrogen-bond Asp74, Tyr72 and His287. YLSLLQR is predicted to bridge Tyr72 and Thr75 at the gorge mouth. LLHPLRL is predicted to span Trp286 and Tyr341 and reach catalytic His447. Donepezil in 4EY6 also contacts PAS and the catalytic region </w:t>
      </w:r>
      <w:r>
        <w:fldChar w:fldCharType="begin"/>
      </w:r>
      <w:r>
        <w:instrText xml:space="preserve"> ADDIN ZOTERO_ITEM CSL_CITATION {"citationID":"3272b820","properties":{"formattedCitation":"[22]","plainCitation":"[22]","dontUpdate":false,"noteIndex":0},"citationItems":[{"id":22,"uris":["http://zotero.org/users/local/items/cheung2012ache"],"itemData":{"id":22,"type":"article-journal","title":"Structures of human acetylcholinesterase in complex with pharmacologically important ligands","author":[{"family":"Cheung","given":"Jean"},{"family":"Rudolph","given":"Michael J."},{"family":"Burshteyn","given":"Fabian"},{"family":"Cassidy","given":"Matthew S."},{"family":"Gary","given":"Edwin N."},{"family":"Love","given":"James"},{"family":"Franklin","given":"Michael C."},{"family":"Height","given":"Jonathan J."}],"citation-key":"cheung2012ache","issued":{"date-parts":[[2012]]},"container-title":"Journal of Medicinal Chemistry","volume":"55","issue":"23","page":"10282-10286","DOI":"10.1021/jm300871x"}}],"schema":"https://github.com/citation-style-language/schema/raw/master/csl-citation.json"}</w:instrText>
      </w:r>
      <w:r>
        <w:fldChar w:fldCharType="separate"/>
      </w:r>
      <w:r>
        <w:t>[22]</w:t>
      </w:r>
      <w:r>
        <w:fldChar w:fldCharType="end"/>
      </w:r>
      <w:r>
        <w:t xml:space="preserve">; shared residue names do not make the peptide pose equivalent in mode or function. HLLTLKKHV reaches Phe346 in the 344–361 zone occupied by Aβ on a 1-μs trajectory </w:t>
      </w:r>
      <w:r>
        <w:fldChar w:fldCharType="begin"/>
      </w:r>
      <w:r>
        <w:instrText xml:space="preserve"> ADDIN ZOTERO_ITEM CSL_CITATION {"citationID":"67281262","properties":{"formattedCitation":"[21]","plainCitation":"[21]","dontUpdate":false,"noteIndex":0},"citationItems":[{"id":21,"uris":["http://zotero.org/users/local/items/atanasova2020md"],"itemData":{"id":21,"type":"article-journal","title":"Molecular dynamics simulations of acetylcholinesterase -- beta-amyloid peptide complex","author":[{"family":"Atanasova","given":"Mariana"},{"family":"Dimitrov","given":"Ivan"},{"family":"Ivanov","given":"Stefan"}],"citation-key":"atanasova2020md","issued":{"date-parts":[[2020]]},"container-title":"Cybernetics and Information Technologies","volume":"20","issue":"6","page":"140-154","DOI":"10.2478/cait-2020-0068"}}],"schema":"https://github.com/citation-style-language/schema/raw/master/csl-citation.json"}</w:instrText>
      </w:r>
      <w:r>
        <w:fldChar w:fldCharType="separate"/>
      </w:r>
      <w:r>
        <w:t>[21]</w:t>
      </w:r>
      <w:r>
        <w:fldChar w:fldCharType="end"/>
      </w:r>
      <w:r>
        <w:t xml:space="preserve">. PAS ligands have been crystallised stacked between Trp286 and Tyr341; the same pair appears for LLHPLRL </w:t>
      </w:r>
      <w:r>
        <w:fldChar w:fldCharType="begin"/>
      </w:r>
      <w:r>
        <w:instrText xml:space="preserve"> ADDIN ZOTERO_ITEM CSL_CITATION {"citationID":"5010b6e6","properties":{"formattedCitation":"[54]","plainCitation":"[54]","dontUpdate":false,"noteIndex":0},"citationItems":[{"id":54,"uris":["http://zotero.org/users/local/items/bourne2003pas"],"itemData":{"id":54,"type":"article-journal","title":"Structural insights into ligand interactions at the acetylcholinesterase peripheral anionic site","author":[{"family":"Bourne","given":"Yves"},{"family":"Taylor","given":"Palmer"},{"family":"Radic","given":"Zoran"},{"family":"Marchot","given":"Pascale"}],"citation-key":"bourne2003pas","issued":{"date-parts":[[2003]]},"container-title":"The EMBO Journal","volume":"22","issue":"1","page":"1-12","DOI":"10.1093/emboj/cdg005"}}],"schema":"https://github.com/citation-style-language/schema/raw/master/csl-citation.json"}</w:instrText>
      </w:r>
      <w:r>
        <w:fldChar w:fldCharType="separate"/>
      </w:r>
      <w:r>
        <w:t>[54]</w:t>
      </w:r>
      <w:r>
        <w:fldChar w:fldCharType="end"/>
      </w:r>
      <w:r>
        <w:t>. ALLLHRC is predicted to bind catalytic Ser203 and does not contact the outer PAS aromatics. Six of twelve best poses meet PAS residues. FCLHLQLR, HVLLLRQCA, HLLTLKKHV and LLHPLRL complete that PAS-contact set; HLPLLHRCC, LLHPLRC, WLLVHLKK and YHHLLCRR stay off the outer aromatics, and LLHLPKRTT sits adjacent. Contact with a PAS residue in a docked pose is a predicted geometry. All twelve ligands were docked. MD was restricted to the three strongest best-run Vina poses: FLLHTTR and YLSLLQR as PAS-contact poses, ALLLHRC as a high-scoring catalytic-site pose without outer PAS aromatics, so that PAS geometry could be compared with a strong non-PAS score. Docking scores put all twelve strings in a favourable window. The scores are first-pass ranks, not binding constants. The contact list separates a PAS-contact pose from a catalytic-site pose: Asp74/Tyr72/Trp286/Tyr341 versus Ser203.</w:t>
      </w:r>
    </w:p>
    <w:p>
      <w:pPr>
        <w:pStyle w:val="7"/>
      </w:pPr>
      <w:r>
        <w:t xml:space="preserve">MD studies of AChE–Aβ already treat the enzyme as a nucleation centre. Accelerated sampling pulled Aβ onto the AChE surface </w:t>
      </w:r>
      <w:r>
        <w:fldChar w:fldCharType="begin"/>
      </w:r>
      <w:r>
        <w:instrText xml:space="preserve"> ADDIN ZOTERO_ITEM CSL_CITATION {"citationID":"3cda95ca","properties":{"formattedCitation":"[20]","plainCitation":"[20]","dontUpdate":false,"noteIndex":0},"citationItems":[{"id":20,"uris":["http://zotero.org/users/local/items/lushchekina2017amd"],"itemData":{"id":20,"type":"article-journal","title":"Role of acetylcholinesterase in $\\beta$-amyloid aggregation studied by accelerated molecular dynamics","author":[{"family":"Lushchekina","given":"Sofya V."},{"family":"Kots","given":"Ekaterina D."},{"family":"Novichkova","given":"Dana A."},{"family":"Petrov","given":"Konstantin A."},{"family":"Masson","given":"Patrick"}],"citation-key":"lushchekina2017amd","issued":{"date-parts":[[2017]]},"container-title":"BioNanoScience","volume":"7","page":"396-402","DOI":"10.1007/s12668-016-0375-x"}}],"schema":"https://github.com/citation-style-language/schema/raw/master/csl-citation.json"}</w:instrText>
      </w:r>
      <w:r>
        <w:fldChar w:fldCharType="separate"/>
      </w:r>
      <w:r>
        <w:t>[20]</w:t>
      </w:r>
      <w:r>
        <w:fldChar w:fldCharType="end"/>
      </w:r>
      <w:r>
        <w:t xml:space="preserve">. A 1-μs PAS-centred trajectory remained bound </w:t>
      </w:r>
      <w:r>
        <w:fldChar w:fldCharType="begin"/>
      </w:r>
      <w:r>
        <w:instrText xml:space="preserve"> ADDIN ZOTERO_ITEM CSL_CITATION {"citationID":"773798ed","properties":{"formattedCitation":"[21]","plainCitation":"[21]","dontUpdate":false,"noteIndex":0},"citationItems":[{"id":21,"uris":["http://zotero.org/users/local/items/atanasova2020md"],"itemData":{"id":21,"type":"article-journal","title":"Molecular dynamics simulations of acetylcholinesterase -- beta-amyloid peptide complex","author":[{"family":"Atanasova","given":"Mariana"},{"family":"Dimitrov","given":"Ivan"},{"family":"Ivanov","given":"Stefan"}],"citation-key":"atanasova2020md","issued":{"date-parts":[[2020]]},"container-title":"Cybernetics and Information Technologies","volume":"20","issue":"6","page":"140-154","DOI":"10.2478/cait-2020-0068"}}],"schema":"https://github.com/citation-style-language/schema/raw/master/csl-citation.json"}</w:instrText>
      </w:r>
      <w:r>
        <w:fldChar w:fldCharType="separate"/>
      </w:r>
      <w:r>
        <w:t>[21]</w:t>
      </w:r>
      <w:r>
        <w:fldChar w:fldCharType="end"/>
      </w:r>
      <w:r>
        <w:t xml:space="preserve">. The present work reports one 100-ns production trajectory for each of four systems: apo AChE and the ALLLHRC, FLLHTTR and YLSLLQR complexes. Apo AChE remains a compact hydrolase. ALLLHRC tracks that control. FLLHTTR and YLSLLQR sit below apo after the first half of the run. Mean fluctuation is below apo for FLLHTTR and YLSLLQR and slightly above apo for ALLLHRC. Catalytic-core fluctuations stay low in all four systems. Loop residues at the gorge rim fluctuate more than the triad, consistent with PAS as a surface cluster </w:t>
      </w:r>
      <w:r>
        <w:fldChar w:fldCharType="begin"/>
      </w:r>
      <w:r>
        <w:instrText xml:space="preserve"> ADDIN ZOTERO_ITEM CSL_CITATION {"citationID":"b1574580","properties":{"formattedCitation":"[46,54]","plainCitation":"[46,54]","dontUpdate":false,"noteIndex":0},"citationItems":[{"id":46,"uris":["http://zotero.org/users/local/items/johnson2006pas"],"itemData":{"id":46,"type":"article-journal","title":"The peripheral anionic site of acetylcholinesterase: structure, functions and potential role in rational drug design","author":[{"family":"Johnson","given":"Glynis"},{"family":"Moore","given":"Samuel W."}],"citation-key":"johnson2006pas","issued":{"date-parts":[[2006]]},"container-title":"Current Pharmaceutical Design","volume":"12","issue":"2","page":"217-225","DOI":"10.2174/138161206775193127"}},{"id":54,"uris":["http://zotero.org/users/local/items/bourne2003pas"],"itemData":{"id":54,"type":"article-journal","title":"Structural insights into ligand interactions at the acetylcholinesterase peripheral anionic site","author":[{"family":"Bourne","given":"Yves"},{"family":"Taylor","given":"Palmer"},{"family":"Radic","given":"Zoran"},{"family":"Marchot","given":"Pascale"}],"citation-key":"bourne2003pas","issued":{"date-parts":[[2003]]},"container-title":"The EMBO Journal","volume":"22","issue":"1","page":"1-12","DOI":"10.1093/emboj/cdg005"}}],"schema":"https://github.com/citation-style-language/schema/raw/master/csl-citation.json"}</w:instrText>
      </w:r>
      <w:r>
        <w:fldChar w:fldCharType="separate"/>
      </w:r>
      <w:r>
        <w:t>[46,54]</w:t>
      </w:r>
      <w:r>
        <w:fldChar w:fldCharType="end"/>
      </w:r>
      <w:r>
        <w:t xml:space="preserve">. Radius of gyration barely shifts across apo and the three complexes. Helix and sheet overlay the apo bars, so secondary structure is not rewritten on this window. Apo AChE is already a stiff α/β hydrolase; the deep aromatic gorge does not require large domain motion for catalysis </w:t>
      </w:r>
      <w:r>
        <w:fldChar w:fldCharType="begin"/>
      </w:r>
      <w:r>
        <w:instrText xml:space="preserve"> ADDIN ZOTERO_ITEM CSL_CITATION {"citationID":"7fdd04fb","properties":{"formattedCitation":"[52]","plainCitation":"[52]","dontUpdate":false,"noteIndex":0},"citationItems":[{"id":52,"uris":["http://zotero.org/users/local/items/sussman1991ache"],"itemData":{"id":52,"type":"article-journal","title":"Atomic structure of acetylcholinesterase from Torpedo californica: a prototypic acetylcholine-binding protein","author":[{"family":"Sussman","given":"Joel L."},{"family":"Harel","given":"Michal"},{"family":"Frolow","given":"Felix"},{"family":"Oefner","given":"Christian"},{"family":"Goldman","given":"Adrian"},{"family":"Toker","given":"Lilly"},{"family":"Silman","given":"Israel"}],"citation-key":"sussman1991ache","issued":{"date-parts":[[1991]]},"container-title":"Science","volume":"253","issue":"5022","page":"872-879","DOI":"10.1126/science.1678899"}}],"schema":"https://github.com/citation-style-language/schema/raw/master/csl-citation.json"}</w:instrText>
      </w:r>
      <w:r>
        <w:fldChar w:fldCharType="separate"/>
      </w:r>
      <w:r>
        <w:t>[52]</w:t>
      </w:r>
      <w:r>
        <w:fldChar w:fldCharType="end"/>
      </w:r>
      <w:r>
        <w:t xml:space="preserve">. A small drop in complex compactness relative to that apo baseline is a tightening of an already compact fold. Lower RMSF on this window records reduced fluctuation of those atoms. A SASA drop can reflect interface burial or a global shape change. Solvent-accessible surface rises for ALLLHRC relative to apo, sits near apo for FLLHTTR, and falls only for YLSLLQR. Intermolecular hydrogen-bond counts stay high for FLLHTTR through 100 ns, sit lower for YLSLLQR, and thin out for ALLLHRC. Count is not occupancy or affinity; occupancy and lifetime were not tabulated. Centre-of-mass distances stay in the surface-residence range. None of the three peptides left the enzyme on this window, so the predicted pose persisted in a single 100-ns trajectory. FLLHTTR keeps a dense intermolecular hydrogen-bond net at PAS. YLSLLQR keeps a more compact complex. ALLLHRC does not keep a PAS-type network despite a strong Ser203 docking score. PAS-directed small molecules can suppress AChE-induced aggregation without catalytic-site occupancy </w:t>
      </w:r>
      <w:r>
        <w:fldChar w:fldCharType="begin"/>
      </w:r>
      <w:r>
        <w:instrText xml:space="preserve"> ADDIN ZOTERO_ITEM CSL_CITATION {"citationID":"3a8f0eb4","properties":{"formattedCitation":"[6]","plainCitation":"[6]","dontUpdate":false,"noteIndex":0},"citationItems":[{"id":6,"uris":["http://zotero.org/users/local/items/bartolini2003pas"],"itemData":{"id":6,"type":"article-journal","title":"$\\beta$-Amyloid aggregation induced by human acetylcholinesterase: inhibition studies","author":[{"family":"Bartolini","given":"Manuela"},{"family":"Bertucci","given":"Carlo"},{"family":"Cavrini","given":"Vanni"},{"family":"Andrisano","given":"Vincenza"}],"citation-key":"bartolini2003pas","issued":{"date-parts":[[2003]]},"container-title":"Biochemical Pharmacology","volume":"65","issue":"3","page":"407-416","DOI":"10.1016/s0006-2952(02)01514-9"}}],"schema":"https://github.com/citation-style-language/schema/raw/master/csl-citation.json"}</w:instrText>
      </w:r>
      <w:r>
        <w:fldChar w:fldCharType="separate"/>
      </w:r>
      <w:r>
        <w:t>[6]</w:t>
      </w:r>
      <w:r>
        <w:fldChar w:fldCharType="end"/>
      </w:r>
      <w:r>
        <w:t>. The present split is a computational analogue of that biochemical distinction, limited to one trajectory per complex.</w:t>
      </w:r>
    </w:p>
    <w:p>
      <w:pPr>
        <w:pStyle w:val="7"/>
      </w:pPr>
      <w:r>
        <w:t xml:space="preserve">The cited PAS and AChE–Aβ papers support a four-step pathogenic cascade as a hypothesis for an oral peptide that remains at PAS. First, PAS recognition: occupancy of Asp74, Tyr72, Trp286 and Tyr341 places a heterologous cationic peptide at the gorge mouth that feeds the catalytic triad, the first encounter assigned to cationic substrate at this enzyme </w:t>
      </w:r>
      <w:r>
        <w:fldChar w:fldCharType="begin"/>
      </w:r>
      <w:r>
        <w:instrText xml:space="preserve"> ADDIN ZOTERO_ITEM CSL_CITATION {"citationID":"190d17b4","properties":{"formattedCitation":"[22,51]","plainCitation":"[22,51]","dontUpdate":false,"noteIndex":0},"citationItems":[{"id":22,"uris":["http://zotero.org/users/local/items/cheung2012ache"],"itemData":{"id":22,"type":"article-journal","title":"Structures of human acetylcholinesterase in complex with pharmacologically important ligands","author":[{"family":"Cheung","given":"Jean"},{"family":"Rudolph","given":"Michael J."},{"family":"Burshteyn","given":"Fabian"},{"family":"Cassidy","given":"Matthew S."},{"family":"Gary","given":"Edwin N."},{"family":"Love","given":"James"},{"family":"Franklin","given":"Michael C."},{"family":"Height","given":"Jonathan J."}],"citation-key":"cheung2012ache","issued":{"date-parts":[[2012]]},"container-title":"Journal of Medicinal Chemistry","volume":"55","issue":"23","page":"10282-10286","DOI":"10.1021/jm300871x"}},{"id":51,"uris":["http://zotero.org/users/local/items/mallender2000asp74"],"itemData":{"id":51,"type":"article-journal","title":"Acetylthiocholine binds to Asp74 at the peripheral site of human acetylcholinesterase as the first step in the catalytic pathway","author":[{"family":"Mallender","given":"William D."},{"family":"Szegletes","given":"Tivadar"},{"family":"Rosenberry","given":"Terrone L."}],"citation-key":"mallender2000asp74","issued":{"date-parts":[[2000]]},"container-title":"Biochemistry","volume":"39","issue":"26","page":"7753-7763","DOI":"10.1021/bi000210o"}}],"schema":"https://github.com/citation-style-language/schema/raw/master/csl-citation.json"}</w:instrText>
      </w:r>
      <w:r>
        <w:fldChar w:fldCharType="separate"/>
      </w:r>
      <w:r>
        <w:t>[22,51]</w:t>
      </w:r>
      <w:r>
        <w:fldChar w:fldCharType="end"/>
      </w:r>
      <w:r>
        <w:t xml:space="preserve">. Second, a lasting enzyme–peptide complex: intermolecular hydrogen bonds persist on the present window, as in AChE–Aβ trajectories and in isolated stable complexes </w:t>
      </w:r>
      <w:r>
        <w:fldChar w:fldCharType="begin"/>
      </w:r>
      <w:r>
        <w:instrText xml:space="preserve"> ADDIN ZOTERO_ITEM CSL_CITATION {"citationID":"ebc90639","properties":{"formattedCitation":"[20,21,38]","plainCitation":"[20,21,38]","dontUpdate":false,"noteIndex":0},"citationItems":[{"id":20,"uris":["http://zotero.org/users/local/items/lushchekina2017amd"],"itemData":{"id":20,"type":"article-journal","title":"Role of acetylcholinesterase in $\\beta$-amyloid aggregation studied by accelerated molecular dynamics","author":[{"family":"Lushchekina","given":"Sofya V."},{"family":"Kots","given":"Ekaterina D."},{"family":"Novichkova","given":"Dana A."},{"family":"Petrov","given":"Konstantin A."},{"family":"Masson","given":"Patrick"}],"citation-key":"lushchekina2017amd","issued":{"date-parts":[[2017]]},"container-title":"BioNanoScience","volume":"7","page":"396-402","DOI":"10.1007/s12668-016-0375-x"}},{"id":21,"uris":["http://zotero.org/users/local/items/atanasova2020md"],"itemData":{"id":21,"type":"article-journal","title":"Molecular dynamics simulations of acetylcholinesterase -- beta-amyloid peptide complex","author":[{"family":"Atanasova","given":"Mariana"},{"family":"Dimitrov","given":"Ivan"},{"family":"Ivanov","given":"Stefan"}],"citation-key":"atanasova2020md","issued":{"date-parts":[[2020]]},"container-title":"Cybernetics and Information Technologies","volume":"20","issue":"6","page":"140-154","DOI":"10.2478/cait-2020-0068"}},{"id":38,"uris":["http://zotero.org/users/local/items/alvarez1998ache"],"itemData":{"id":38,"type":"article-journal","title":"Stable complexes involving acetylcholinesterase and amyloid-beta peptide change the biochemical properties of the enzyme and increase the neurotoxicity of Alzheimer's fibrils","author":[{"family":"Alvarez","given":"Alejandra"},{"family":"Alarcon","given":"Rodrigo"},{"family":"Opazo","given":"Carlos"},{"family":"Campos","given":"Eliseo O."},{"family":"Munoz","given":"Francisco J."},{"family":"Calderon","given":"Francisco H."},{"family":"Dajas","given":"Federico"},{"family":"Gentry","given":"Mary K."},{"family":"Doctor","given":"Bhupendra P."},{"family":"De Mello","given":"Fernando G."},{"family":"Inestrosa","given":"Nibaldo C."}],"citation-key":"alvarez1998ache","issued":{"date-parts":[[1998]]},"container-title":"Journal of Neuroscience","volume":"18","issue":"9","page":"3213-3223","DOI":"10.1523/JNEUROSCI.18-09-03213.1998"}}],"schema":"https://github.com/citation-style-language/schema/raw/master/csl-citation.json"}</w:instrText>
      </w:r>
      <w:r>
        <w:fldChar w:fldCharType="separate"/>
      </w:r>
      <w:r>
        <w:t>[20,21,38]</w:t>
      </w:r>
      <w:r>
        <w:fldChar w:fldCharType="end"/>
      </w:r>
      <w:r>
        <w:t xml:space="preserve">. Third, restricted acetylcholine access: physical blockage at the 20-Å gorge entrance can hinder substrate even while the catalytic core remains folded, the steric-blockade and allosteric mode described for PAS ligands </w:t>
      </w:r>
      <w:r>
        <w:fldChar w:fldCharType="begin"/>
      </w:r>
      <w:r>
        <w:instrText xml:space="preserve"> ADDIN ZOTERO_ITEM CSL_CITATION {"citationID":"0f834b61","properties":{"formattedCitation":"[46,53]","plainCitation":"[46,53]","dontUpdate":false,"noteIndex":0},"citationItems":[{"id":46,"uris":["http://zotero.org/users/local/items/johnson2006pas"],"itemData":{"id":46,"type":"article-journal","title":"The peripheral anionic site of acetylcholinesterase: structure, functions and potential role in rational drug design","author":[{"family":"Johnson","given":"Glynis"},{"family":"Moore","given":"Samuel W."}],"citation-key":"johnson2006pas","issued":{"date-parts":[[2006]]},"container-title":"Current Pharmaceutical Design","volume":"12","issue":"2","page":"217-225","DOI":"10.2174/138161206775193127"}},{"id":53,"uris":["http://zotero.org/users/local/items/dvir2010ache"],"itemData":{"id":53,"type":"article-journal","title":"Acetylcholinesterase: from 3D structure to function","author":[{"family":"Dvir","given":"Hay"},{"family":"Silman","given":"Israel"},{"family":"Harel","given":"Michal"},{"family":"Rosenberry","given":"Terrone L."},{"family":"Sussman","given":"Joel L."}],"citation-key":"dvir2010ache","issued":{"date-parts":[[2010]]},"container-title":"Chemico-Biological Interactions","volume":"187","issue":"1-3","page":"10-22","DOI":"10.1016/j.cbi.2010.01.042"}}],"schema":"https://github.com/citation-style-language/schema/raw/master/csl-citation.json"}</w:instrText>
      </w:r>
      <w:r>
        <w:fldChar w:fldCharType="separate"/>
      </w:r>
      <w:r>
        <w:t>[46,53]</w:t>
      </w:r>
      <w:r>
        <w:fldChar w:fldCharType="end"/>
      </w:r>
      <w:r>
        <w:t xml:space="preserve">. Fourth, pathological chaperone activity: AChE accelerates Aβ fibril assembly through the PAS, and AChE–Aβ particles are more toxic than free peptide </w:t>
      </w:r>
      <w:r>
        <w:fldChar w:fldCharType="begin"/>
      </w:r>
      <w:r>
        <w:instrText xml:space="preserve"> ADDIN ZOTERO_ITEM CSL_CITATION {"citationID":"33a5287a","properties":{"formattedCitation":"[4,38–39]","plainCitation":"[4,38–39]","dontUpdate":false,"noteIndex":0},"citationItems":[{"id":4,"uris":["http://zotero.org/users/local/items/inestrosa1996ache"],"itemData":{"id":4,"type":"article-journal","title":"Acetylcholinesterase accelerates assembly of amyloid-$\\beta$-peptides into Alzheimer's fibrils: possible role of the peripheral site of the enzyme","author":[{"family":"Inestrosa","given":"Nibaldo C."},{"family":"Alvarez","given":"Alejandra"},{"family":"Pérez","given":"Carlos A."},{"family":"Moreno","given":"Rodrigo D."},{"family":"Vicente","given":"Marcelo"},{"family":"Linker","given":"Claudio"},{"family":"Casanueva","given":"Olivia I."},{"family":"Soto","given":"Claudio"},{"family":"Garrido","given":"Jorge"}],"citation-key":"inestrosa1996ache","issued":{"date-parts":[[1996]]},"container-title":"Neuron","volume":"16","issue":"4","page":"881-891","DOI":"10.1016/s0896-6273(00)80108-7"}},{"id":38,"uris":["http://zotero.org/users/local/items/alvarez1998ache"],"itemData":{"id":38,"type":"article-journal","title":"Stable complexes involving acetylcholinesterase and amyloid-beta peptide change the biochemical properties of the enzyme and increase the neurotoxicity of Alzheimer's fibrils","author":[{"family":"Alvarez","given":"Alejandra"},{"family":"Alarcon","given":"Rodrigo"},{"family":"Opazo","given":"Carlos"},{"family":"Campos","given":"Eliseo O."},{"family":"Munoz","given":"Francisco J."},{"family":"Calderon","given":"Francisco H."},{"family":"Dajas","given":"Federico"},{"family":"Gentry","given":"Mary K."},{"family":"Doctor","given":"Bhupendra P."},{"family":"De Mello","given":"Fernando G."},{"family":"Inestrosa","given":"Nibaldo C."}],"citation-key":"alvarez1998ache","issued":{"date-parts":[[1998]]},"container-title":"Journal of Neuroscience","volume":"18","issue":"9","page":"3213-3223","DOI":"10.1523/JNEUROSCI.18-09-03213.1998"}},{"id":39,"uris":["http://zotero.org/users/local/items/alvarez1997ache"],"itemData":{"id":39,"type":"article-journal","title":"Acetylcholinesterase promotes the aggregation of amyloid-beta-peptide fragments by forming a complex with the growing fibrils","author":[{"family":"Alvarez","given":"Alejandra"},{"family":"Opazo","given":"Carlos"},{"family":"Alarcon","given":"Rodrigo"},{"family":"Garrido","given":"Jorge"},{"family":"Inestrosa","given":"Nibaldo C."}],"citation-key":"alvarez1997ache","issued":{"date-parts":[[1997]]},"container-title":"Journal of Molecular Biology","volume":"272","issue":"3","page":"348-361","DOI":"10.1006/jmbi.1997.1245"}}],"schema":"https://github.com/citation-style-language/schema/raw/master/csl-citation.json"}</w:instrText>
      </w:r>
      <w:r>
        <w:fldChar w:fldCharType="separate"/>
      </w:r>
      <w:r>
        <w:t>[4,38–39]</w:t>
      </w:r>
      <w:r>
        <w:fldChar w:fldCharType="end"/>
      </w:r>
      <w:r>
        <w:t xml:space="preserve">. A short hydrophobic PAS motif of the enzyme is sufficient for that chaperone effect </w:t>
      </w:r>
      <w:r>
        <w:fldChar w:fldCharType="begin"/>
      </w:r>
      <w:r>
        <w:instrText xml:space="preserve"> ADDIN ZOTERO_ITEM CSL_CITATION {"citationID":"0f939d13","properties":{"formattedCitation":"[5]","plainCitation":"[5]","dontUpdate":false,"noteIndex":0},"citationItems":[{"id":5,"uris":["http://zotero.org/users/local/items/deferrari2001motif"],"itemData":{"id":5,"type":"article-journal","title":"A structural motif of acetylcholinesterase that promotes amyloid $\\beta$-peptide fibril formation","author":[{"family":"De Ferrari","given":"G. V."},{"family":"Canales","given":"M. A."},{"family":"Shin","given":"I."},{"family":"Weiner","given":"L. M."},{"family":"Silman","given":"I."},{"family":"Inestrosa","given":"N. C."}],"citation-key":"deferrari2001motif","issued":{"date-parts":[[2001]]},"container-title":"Biochemistry","volume":"40","issue":"35","page":"10447-10457","DOI":"10.1021/bi0101392"}}],"schema":"https://github.com/citation-style-language/schema/raw/master/csl-citation.json"}</w:instrText>
      </w:r>
      <w:r>
        <w:fldChar w:fldCharType="separate"/>
      </w:r>
      <w:r>
        <w:t>[5]</w:t>
      </w:r>
      <w:r>
        <w:fldChar w:fldCharType="end"/>
      </w:r>
      <w:r>
        <w:t xml:space="preserve">. Reviews place plaque-associated AChE in cross-talk with Aβ still sensitive to PAS blockade </w:t>
      </w:r>
      <w:r>
        <w:fldChar w:fldCharType="begin"/>
      </w:r>
      <w:r>
        <w:instrText xml:space="preserve"> ADDIN ZOTERO_ITEM CSL_CITATION {"citationID":"ccf28493","properties":{"formattedCitation":"[43]","plainCitation":"[43]","dontUpdate":false,"noteIndex":0},"citationItems":[{"id":43,"uris":["http://zotero.org/users/local/items/carvajal2011ache"],"itemData":{"id":43,"type":"article-journal","title":"Interactions of AChE with Abeta aggregates in Alzheimer's brain: therapeutic relevance of IDN 5706","author":[{"family":"Carvajal","given":"Francisco J."},{"family":"Inestrosa","given":"Nibaldo C."}],"citation-key":"carvajal2011ache","issued":{"date-parts":[[2011]]},"container-title":"Frontiers in Molecular Neuroscience","volume":"4","page":"19","DOI":"10.3389/fnmol.2011.00019"}}],"schema":"https://github.com/citation-style-language/schema/raw/master/csl-citation.json"}</w:instrText>
      </w:r>
      <w:r>
        <w:fldChar w:fldCharType="separate"/>
      </w:r>
      <w:r>
        <w:t>[43]</w:t>
      </w:r>
      <w:r>
        <w:fldChar w:fldCharType="end"/>
      </w:r>
      <w:r>
        <w:t xml:space="preserve">. A peptide that remains at that surface can lower the nucleation barrier for endogenous Aβ. Folded AChE would then present a peptide-coated PAS on which Aβ oligomers can co-assemble, which accounts for the greater hippocampal damage of AChE–Aβ particles relative to free fibrils </w:t>
      </w:r>
      <w:r>
        <w:fldChar w:fldCharType="begin"/>
      </w:r>
      <w:r>
        <w:instrText xml:space="preserve"> ADDIN ZOTERO_ITEM CSL_CITATION {"citationID":"f3437b8d","properties":{"formattedCitation":"[45]","plainCitation":"[45]","dontUpdate":false,"noteIndex":0},"citationItems":[{"id":45,"uris":["http://zotero.org/users/local/items/dinamarca2010ache"],"itemData":{"id":45,"type":"article-journal","title":"Amyloid-beta-acetylcholinesterase complexes potentiate neurodegenerative changes induced by the Abeta peptide. Implications for the pathogenesis of Alzheimer's disease","author":[{"family":"Dinamarca","given":"Margarita C."},{"family":"Sagal","given":"Juan P."},{"family":"Quintanilla","given":"Rodrigo A."},{"family":"Godoy","given":"Juan A."},{"family":"Arrazola","given":"Macarena S."},{"family":"Inestrosa","given":"Nibaldo C."}],"citation-key":"dinamarca2010ache","issued":{"date-parts":[[2010]]},"container-title":"Molecular Neurodegeneration","volume":"5","page":"4","DOI":"10.1186/1750-1326-5-4"}}],"schema":"https://github.com/citation-style-language/schema/raw/master/csl-citation.json"}</w:instrText>
      </w:r>
      <w:r>
        <w:fldChar w:fldCharType="separate"/>
      </w:r>
      <w:r>
        <w:t>[45]</w:t>
      </w:r>
      <w:r>
        <w:fldChar w:fldCharType="end"/>
      </w:r>
      <w:r>
        <w:t xml:space="preserve">. PAS-directed small molecules block AChE-induced aggregation </w:t>
      </w:r>
      <w:r>
        <w:fldChar w:fldCharType="begin"/>
      </w:r>
      <w:r>
        <w:instrText xml:space="preserve"> ADDIN ZOTERO_ITEM CSL_CITATION {"citationID":"2bdff34e","properties":{"formattedCitation":"[6]","plainCitation":"[6]","dontUpdate":false,"noteIndex":0},"citationItems":[{"id":6,"uris":["http://zotero.org/users/local/items/bartolini2003pas"],"itemData":{"id":6,"type":"article-journal","title":"$\\beta$-Amyloid aggregation induced by human acetylcholinesterase: inhibition studies","author":[{"family":"Bartolini","given":"Manuela"},{"family":"Bertucci","given":"Carlo"},{"family":"Cavrini","given":"Vanni"},{"family":"Andrisano","given":"Vincenza"}],"citation-key":"bartolini2003pas","issued":{"date-parts":[[2003]]},"container-title":"Biochemical Pharmacology","volume":"65","issue":"3","page":"407-416","DOI":"10.1016/s0006-2952(02)01514-9"}}],"schema":"https://github.com/citation-style-language/schema/raw/master/csl-citation.json"}</w:instrText>
      </w:r>
      <w:r>
        <w:fldChar w:fldCharType="separate"/>
      </w:r>
      <w:r>
        <w:t>[6]</w:t>
      </w:r>
      <w:r>
        <w:fldChar w:fldCharType="end"/>
      </w:r>
      <w:r>
        <w:t xml:space="preserve">; those ligands inhibit the chaperone surface. The AChE–Aβ literature describes a peptide ligand that uses the same surface as a nucleation site </w:t>
      </w:r>
      <w:r>
        <w:fldChar w:fldCharType="begin"/>
      </w:r>
      <w:r>
        <w:instrText xml:space="preserve"> ADDIN ZOTERO_ITEM CSL_CITATION {"citationID":"ed21f369","properties":{"formattedCitation":"[4,20,21]","plainCitation":"[4,20,21]","dontUpdate":false,"noteIndex":0},"citationItems":[{"id":4,"uris":["http://zotero.org/users/local/items/inestrosa1996ache"],"itemData":{"id":4,"type":"article-journal","title":"Acetylcholinesterase accelerates assembly of amyloid-$\\beta$-peptides into Alzheimer's fibrils: possible role of the peripheral site of the enzyme","author":[{"family":"Inestrosa","given":"Nibaldo C."},{"family":"Alvarez","given":"Alejandra"},{"family":"Pérez","given":"Carlos A."},{"family":"Moreno","given":"Rodrigo D."},{"family":"Vicente","given":"Marcelo"},{"family":"Linker","given":"Claudio"},{"family":"Casanueva","given":"Olivia I."},{"family":"Soto","given":"Claudio"},{"family":"Garrido","given":"Jorge"}],"citation-key":"inestrosa1996ache","issued":{"date-parts":[[1996]]},"container-title":"Neuron","volume":"16","issue":"4","page":"881-891","DOI":"10.1016/s0896-6273(00)80108-7"}},{"id":20,"uris":["http://zotero.org/users/local/items/lushchekina2017amd"],"itemData":{"id":20,"type":"article-journal","title":"Role of acetylcholinesterase in $\\beta$-amyloid aggregation studied by accelerated molecular dynamics","author":[{"family":"Lushchekina","given":"Sofya V."},{"family":"Kots","given":"Ekaterina D."},{"family":"Novichkova","given":"Dana A."},{"family":"Petrov","given":"Konstantin A."},{"family":"Masson","given":"Patrick"}],"citation-key":"lushchekina2017amd","issued":{"date-parts":[[2017]]},"container-title":"BioNanoScience","volume":"7","page":"396-402","DOI":"10.1007/s12668-016-0375-x"}},{"id":21,"uris":["http://zotero.org/users/local/items/atanasova2020md"],"itemData":{"id":21,"type":"article-journal","title":"Molecular dynamics simulations of acetylcholinesterase -- beta-amyloid peptide complex","author":[{"family":"Atanasova","given":"Mariana"},{"family":"Dimitrov","given":"Ivan"},{"family":"Ivanov","given":"Stefan"}],"citation-key":"atanasova2020md","issued":{"date-parts":[[2020]]},"container-title":"Cybernetics and Information Technologies","volume":"20","issue":"6","page":"140-154","DOI":"10.2478/cait-2020-0068"}}],"schema":"https://github.com/citation-style-language/schema/raw/master/csl-citation.json"}</w:instrText>
      </w:r>
      <w:r>
        <w:fldChar w:fldCharType="separate"/>
      </w:r>
      <w:r>
        <w:t>[4,20,21]</w:t>
      </w:r>
      <w:r>
        <w:fldChar w:fldCharType="end"/>
      </w:r>
      <w:r>
        <w:t>. An oral heptapeptide that stays at PAS belongs with that peptide class. The four steps remain a hypothesis: this study does not measure acetylcholine hydrolysis or Aβ aggregation.</w:t>
      </w:r>
    </w:p>
    <w:p>
      <w:pPr>
        <w:pStyle w:val="7"/>
      </w:pPr>
      <w:r>
        <w:t xml:space="preserve">PAS pharmacology in AChE has mostly been small molecules. PAS ligands reduce AChE-induced aggregation without requiring catalytic-site occupancy </w:t>
      </w:r>
      <w:r>
        <w:fldChar w:fldCharType="begin"/>
      </w:r>
      <w:r>
        <w:instrText xml:space="preserve"> ADDIN ZOTERO_ITEM CSL_CITATION {"citationID":"2cfc4c28","properties":{"formattedCitation":"[6]","plainCitation":"[6]","dontUpdate":false,"noteIndex":0},"citationItems":[{"id":6,"uris":["http://zotero.org/users/local/items/bartolini2003pas"],"itemData":{"id":6,"type":"article-journal","title":"$\\beta$-Amyloid aggregation induced by human acetylcholinesterase: inhibition studies","author":[{"family":"Bartolini","given":"Manuela"},{"family":"Bertucci","given":"Carlo"},{"family":"Cavrini","given":"Vanni"},{"family":"Andrisano","given":"Vincenza"}],"citation-key":"bartolini2003pas","issued":{"date-parts":[[2003]]},"container-title":"Biochemical Pharmacology","volume":"65","issue":"3","page":"407-416","DOI":"10.1016/s0006-2952(02)01514-9"}}],"schema":"https://github.com/citation-style-language/schema/raw/master/csl-citation.json"}</w:instrText>
      </w:r>
      <w:r>
        <w:fldChar w:fldCharType="separate"/>
      </w:r>
      <w:r>
        <w:t>[6]</w:t>
      </w:r>
      <w:r>
        <w:fldChar w:fldCharType="end"/>
      </w:r>
      <w:r>
        <w:t xml:space="preserve">. Donepezil in 4EY6 spans PAS Trp286 to the catalytic anionic site, a dual-binding template mapped on Torpedo AChE </w:t>
      </w:r>
      <w:r>
        <w:fldChar w:fldCharType="begin"/>
      </w:r>
      <w:r>
        <w:instrText xml:space="preserve"> ADDIN ZOTERO_ITEM CSL_CITATION {"citationID":"1c8144e3","properties":{"formattedCitation":"[22–23]","plainCitation":"[22–23]","dontUpdate":false,"noteIndex":0},"citationItems":[{"id":22,"uris":["http://zotero.org/users/local/items/cheung2012ache"],"itemData":{"id":22,"type":"article-journal","title":"Structures of human acetylcholinesterase in complex with pharmacologically important ligands","author":[{"family":"Cheung","given":"Jean"},{"family":"Rudolph","given":"Michael J."},{"family":"Burshteyn","given":"Fabian"},{"family":"Cassidy","given":"Matthew S."},{"family":"Gary","given":"Edwin N."},{"family":"Love","given":"James"},{"family":"Franklin","given":"Michael C."},{"family":"Height","given":"Jonathan J."}],"citation-key":"cheung2012ache","issued":{"date-parts":[[2012]]},"container-title":"Journal of Medicinal Chemistry","volume":"55","issue":"23","page":"10282-10286","DOI":"10.1021/jm300871x"}},{"id":23,"uris":["http://zotero.org/users/local/items/kryger1999e2020"],"itemData":{"id":23,"type":"article-journal","title":"Structure of acetylcholinesterase complexed with E2020 (Aricept): implications for the design of new anti-Alzheimer drugs","author":[{"family":"Kryger","given":"Gilad"},{"family":"Silman","given":"Israel"},{"family":"Sussman","given":"Joel L."}],"citation-key":"kryger1999e2020","issued":{"date-parts":[[1999]]},"container-title":"Structure","volume":"7","issue":"3","page":"297-307","DOI":"10.1016/s0969-2126(99)80040-9"}}],"schema":"https://github.com/citation-style-language/schema/raw/master/csl-citation.json"}</w:instrText>
      </w:r>
      <w:r>
        <w:fldChar w:fldCharType="separate"/>
      </w:r>
      <w:r>
        <w:t>[22–23]</w:t>
      </w:r>
      <w:r>
        <w:fldChar w:fldCharType="end"/>
      </w:r>
      <w:r>
        <w:t xml:space="preserve">. That surface has been treated as a design handle for ligands that modulate heterologous protein associations, including Aβ </w:t>
      </w:r>
      <w:r>
        <w:fldChar w:fldCharType="begin"/>
      </w:r>
      <w:r>
        <w:instrText xml:space="preserve"> ADDIN ZOTERO_ITEM CSL_CITATION {"citationID":"6300f3c3","properties":{"formattedCitation":"[46]","plainCitation":"[46]","dontUpdate":false,"noteIndex":0},"citationItems":[{"id":46,"uris":["http://zotero.org/users/local/items/johnson2006pas"],"itemData":{"id":46,"type":"article-journal","title":"The peripheral anionic site of acetylcholinesterase: structure, functions and potential role in rational drug design","author":[{"family":"Johnson","given":"Glynis"},{"family":"Moore","given":"Samuel W."}],"citation-key":"johnson2006pas","issued":{"date-parts":[[2006]]},"container-title":"Current Pharmaceutical Design","volume":"12","issue":"2","page":"217-225","DOI":"10.2174/138161206775193127"}}],"schema":"https://github.com/citation-style-language/schema/raw/master/csl-citation.json"}</w:instrText>
      </w:r>
      <w:r>
        <w:fldChar w:fldCharType="separate"/>
      </w:r>
      <w:r>
        <w:t>[46]</w:t>
      </w:r>
      <w:r>
        <w:fldChar w:fldCharType="end"/>
      </w:r>
      <w:r>
        <w:t xml:space="preserve">. Dual-binding inhibitors were designed to occupy PAS and the catalytic anionic site at once, with the therapeutic aim of slowing both acetylcholine hydrolysis and PAS-templated Aβ assembly </w:t>
      </w:r>
      <w:r>
        <w:fldChar w:fldCharType="begin"/>
      </w:r>
      <w:r>
        <w:instrText xml:space="preserve"> ADDIN ZOTERO_ITEM CSL_CITATION {"citationID":"c90c9eb3","properties":{"formattedCitation":"[44,46]","plainCitation":"[44,46]","dontUpdate":false,"noteIndex":0},"citationItems":[{"id":44,"uris":["http://zotero.org/users/local/items/inestrosa2008ache"],"itemData":{"id":44,"type":"article-journal","title":"Amyloid-cholinesterase interactions","author":[{"family":"Inestrosa","given":"Nibaldo C."},{"family":"Dinamarca","given":"Margarita C."},{"family":"Alvarez","given":"Alejandra"}],"citation-key":"inestrosa2008ache","issued":{"date-parts":[[2008]]},"container-title":"The FEBS Journal","volume":"275","issue":"4","page":"625-632","DOI":"10.1111/j.1742-4658.2007.06238.x"}},{"id":46,"uris":["http://zotero.org/users/local/items/johnson2006pas"],"itemData":{"id":46,"type":"article-journal","title":"The peripheral anionic site of acetylcholinesterase: structure, functions and potential role in rational drug design","author":[{"family":"Johnson","given":"Glynis"},{"family":"Moore","given":"Samuel W."}],"citation-key":"johnson2006pas","issued":{"date-parts":[[2006]]},"container-title":"Current Pharmaceutical Design","volume":"12","issue":"2","page":"217-225","DOI":"10.2174/138161206775193127"}}],"schema":"https://github.com/citation-style-language/schema/raw/master/csl-citation.json"}</w:instrText>
      </w:r>
      <w:r>
        <w:fldChar w:fldCharType="separate"/>
      </w:r>
      <w:r>
        <w:t>[44,46]</w:t>
      </w:r>
      <w:r>
        <w:fldChar w:fldCharType="end"/>
      </w:r>
      <w:r>
        <w:t>. Short cationic peptides cover a larger patch than those ligands. An oral heptapeptide that covers only the rim cannot be scored against that dual-binding template. FLLHTTR and YLSLLQR remain at the rim in the present poses. ALLLHRC does not, even though all three scored in a favourable docking window. The oral peptides are computational candidates at a functional surface that already has experimental support.</w:t>
      </w:r>
    </w:p>
    <w:p>
      <w:pPr>
        <w:pStyle w:val="7"/>
      </w:pPr>
      <w:r>
        <w:t>The twelve strings come from getorf prediction, UniDL4BioPep scoring and catalogue matching on PRJNA678453 MAGs. That pipeline does not prove that every candidate is expressed in the oral niche or that an intact peptide reaches host tissue. Docking reports a pose under one scoring function and one AChE crystal frame; the score is not an experimental Kd. Each MD system is a single 100-ns trajectory, which cannot map association and dissociation. Repeat runs, hydrogen-bond occupancy tables and interface-area breakdowns were not the basis of the present claims. No peptide–AChE binding assay, no AChE activity assay and no Aβ aggregation assay were performed. In-vivo exposure, plasma stability and barrier crossing remain unknown. FLLHTTR and YLSLLQR supply the strongest computational case for predicted PAS contacts that persist on this window. The four-step cascade above is the working hypothesis: an oral micropeptide that remains at PAS can form a lasting complex, restrict gorge access and coat the documented chaperone surface. Later assays of peptide–AChE binding, AChE catalysis and Aβ aggregation, together with expression and exposure data, are required to test that cascade.</w:t>
      </w:r>
    </w:p>
    <w:p>
      <w:pPr>
        <w:pStyle w:val="3"/>
        <w:keepNext/>
      </w:pPr>
      <w:r>
        <w:t>Conclusions</w:t>
      </w:r>
    </w:p>
    <w:p>
      <w:pPr>
        <w:pStyle w:val="7"/>
      </w:pPr>
      <w:r>
        <w:t>Twelve 7–9-aa peptides from a periodontitis-labelled oral smORF library dock to human AChE. FLLHTTR, YLSLLQR and ALLLHRC remain on the surface for 100 ns without unfolding the enzyme. FLLHTTR forms the densest PAS hydrogen-bond net; YLSLLQR is the only complex that buries solvent-accessible surface. The calculations support a possible mechanism in which oral pathogenic peptides occupy AChE, hinder acetylcholine access, and co-nucleate Aβ on the same PAS.</w:t>
      </w:r>
    </w:p>
    <w:p>
      <w:pPr>
        <w:pStyle w:val="3"/>
        <w:keepNext/>
      </w:pPr>
      <w:r>
        <w:t>References</w:t>
      </w:r>
    </w:p>
    <w:p>
      <w:pPr>
        <w:pStyle w:val="13"/>
        <w:ind w:left="360" w:hanging="360"/>
      </w:pPr>
      <w:r>
        <w:fldChar w:fldCharType="begin"/>
      </w:r>
      <w:r>
        <w:instrText xml:space="preserve"> ADDIN ZOTERO_BIBL {"uncited":[],"omitted":[],"custom":[]} CSL_BIBLIOGRAPHY</w:instrText>
      </w:r>
      <w:r>
        <w:fldChar w:fldCharType="separate"/>
      </w:r>
      <w:r>
        <w:rPr>
          <w:sz w:val="24"/>
          <w:szCs w:val="24"/>
        </w:rPr>
        <w:t xml:space="preserve">1. Scheltens P, De Strooper B, Kivipelto M, et al. Alzheimer’s disease. </w:t>
      </w:r>
      <w:r>
        <w:rPr>
          <w:i/>
          <w:sz w:val="24"/>
          <w:szCs w:val="24"/>
        </w:rPr>
        <w:t>Lancet</w:t>
      </w:r>
      <w:r>
        <w:rPr>
          <w:sz w:val="24"/>
          <w:szCs w:val="24"/>
        </w:rPr>
        <w:t>. 2021;397(10284):1577–1590. doi:10.1016/S0140-6736(20)32205-4.</w:t>
      </w:r>
    </w:p>
    <w:p>
      <w:pPr>
        <w:pStyle w:val="13"/>
        <w:ind w:left="360" w:hanging="360"/>
      </w:pPr>
      <w:r>
        <w:rPr>
          <w:sz w:val="24"/>
          <w:szCs w:val="24"/>
        </w:rPr>
        <w:t xml:space="preserve">2. Selkoe DJ, Hardy J. The amyloid hypothesis of Alzheimer’s disease at 25 years. </w:t>
      </w:r>
      <w:r>
        <w:rPr>
          <w:i/>
          <w:sz w:val="24"/>
          <w:szCs w:val="24"/>
        </w:rPr>
        <w:t>EMBO Mol Med</w:t>
      </w:r>
      <w:r>
        <w:rPr>
          <w:sz w:val="24"/>
          <w:szCs w:val="24"/>
        </w:rPr>
        <w:t>. 2016;8(6):595–608. doi:10.15252/emmm.201606210.</w:t>
      </w:r>
    </w:p>
    <w:p>
      <w:pPr>
        <w:pStyle w:val="13"/>
        <w:ind w:left="360" w:hanging="360"/>
      </w:pPr>
      <w:r>
        <w:rPr>
          <w:sz w:val="24"/>
          <w:szCs w:val="24"/>
        </w:rPr>
        <w:t xml:space="preserve">3. Hampel H, Mesulam MM, Cuello AC, et al. The cholinergic system in the pathophysiology and treatment of Alzheimer’s disease. </w:t>
      </w:r>
      <w:r>
        <w:rPr>
          <w:i/>
          <w:sz w:val="24"/>
          <w:szCs w:val="24"/>
        </w:rPr>
        <w:t>Brain</w:t>
      </w:r>
      <w:r>
        <w:rPr>
          <w:sz w:val="24"/>
          <w:szCs w:val="24"/>
        </w:rPr>
        <w:t>. 2018;141(7):1917–1933. doi:10.1093/brain/awy132.</w:t>
      </w:r>
    </w:p>
    <w:p>
      <w:pPr>
        <w:pStyle w:val="13"/>
        <w:ind w:left="360" w:hanging="360"/>
      </w:pPr>
      <w:r>
        <w:rPr>
          <w:sz w:val="24"/>
          <w:szCs w:val="24"/>
        </w:rPr>
        <w:t xml:space="preserve">4. Inestrosa NC, Alvarez A, Pérez CA, et al. Acetylcholinesterase accelerates assembly of amyloid-β-peptides into Alzheimer’s fibrils. </w:t>
      </w:r>
      <w:r>
        <w:rPr>
          <w:i/>
          <w:sz w:val="24"/>
          <w:szCs w:val="24"/>
        </w:rPr>
        <w:t>Neuron</w:t>
      </w:r>
      <w:r>
        <w:rPr>
          <w:sz w:val="24"/>
          <w:szCs w:val="24"/>
        </w:rPr>
        <w:t>. 1996;16(4):881–891. doi:10.1016/s0896-6273(00)80108-7.</w:t>
      </w:r>
    </w:p>
    <w:p>
      <w:pPr>
        <w:pStyle w:val="13"/>
        <w:ind w:left="360" w:hanging="360"/>
      </w:pPr>
      <w:r>
        <w:rPr>
          <w:sz w:val="24"/>
          <w:szCs w:val="24"/>
        </w:rPr>
        <w:t xml:space="preserve">5. De Ferrari GV, Canales MA, Shin I, et al. A structural motif of acetylcholinesterase that promotes amyloid β-peptide fibril formation. </w:t>
      </w:r>
      <w:r>
        <w:rPr>
          <w:i/>
          <w:sz w:val="24"/>
          <w:szCs w:val="24"/>
        </w:rPr>
        <w:t>Biochemistry</w:t>
      </w:r>
      <w:r>
        <w:rPr>
          <w:sz w:val="24"/>
          <w:szCs w:val="24"/>
        </w:rPr>
        <w:t>. 2001;40(35):10447–10457. doi:10.1021/bi0101392.</w:t>
      </w:r>
    </w:p>
    <w:p>
      <w:pPr>
        <w:pStyle w:val="13"/>
        <w:ind w:left="360" w:hanging="360"/>
      </w:pPr>
      <w:r>
        <w:rPr>
          <w:sz w:val="24"/>
          <w:szCs w:val="24"/>
        </w:rPr>
        <w:t xml:space="preserve">6. Bartolini M, Bertucci C, Cavrini V, Andrisano V. β-Amyloid aggregation induced by human acetylcholinesterase: inhibition studies. </w:t>
      </w:r>
      <w:r>
        <w:rPr>
          <w:i/>
          <w:sz w:val="24"/>
          <w:szCs w:val="24"/>
        </w:rPr>
        <w:t>Biochem Pharmacol</w:t>
      </w:r>
      <w:r>
        <w:rPr>
          <w:sz w:val="24"/>
          <w:szCs w:val="24"/>
        </w:rPr>
        <w:t>. 2003;65(3):407–416. doi:10.1016/s0006-2952(02)01514-9.</w:t>
      </w:r>
    </w:p>
    <w:p>
      <w:pPr>
        <w:pStyle w:val="13"/>
        <w:ind w:left="360" w:hanging="360"/>
      </w:pPr>
      <w:r>
        <w:rPr>
          <w:sz w:val="24"/>
          <w:szCs w:val="24"/>
        </w:rPr>
        <w:t xml:space="preserve">7. Chalmers JC, Hernandez-Kapila YL. The role of the oral microbiome, host response, and periodontal disease treatment in Alzheimer’s disease: a primer. </w:t>
      </w:r>
      <w:r>
        <w:rPr>
          <w:i/>
          <w:sz w:val="24"/>
          <w:szCs w:val="24"/>
        </w:rPr>
        <w:t>Periodontol 2000</w:t>
      </w:r>
      <w:r>
        <w:rPr>
          <w:sz w:val="24"/>
          <w:szCs w:val="24"/>
        </w:rPr>
        <w:t>. 2025;98(1):220–227. doi:10.1111/prd.12631.</w:t>
      </w:r>
    </w:p>
    <w:p>
      <w:pPr>
        <w:pStyle w:val="13"/>
        <w:ind w:left="360" w:hanging="360"/>
      </w:pPr>
      <w:r>
        <w:rPr>
          <w:sz w:val="24"/>
          <w:szCs w:val="24"/>
        </w:rPr>
        <w:t xml:space="preserve">8. Belstrøm D, Constancias F, Drautz-Moses DI, et al. Periodontitis associates with species-specific gene expression of the oral microbiota. </w:t>
      </w:r>
      <w:r>
        <w:rPr>
          <w:i/>
          <w:sz w:val="24"/>
          <w:szCs w:val="24"/>
        </w:rPr>
        <w:t>npj Biofilms Microbiomes</w:t>
      </w:r>
      <w:r>
        <w:rPr>
          <w:sz w:val="24"/>
          <w:szCs w:val="24"/>
        </w:rPr>
        <w:t>. 2021;7:76. doi:10.1038/s41522-021-00247-y.</w:t>
      </w:r>
    </w:p>
    <w:p>
      <w:pPr>
        <w:pStyle w:val="13"/>
        <w:ind w:left="360" w:hanging="360"/>
      </w:pPr>
      <w:r>
        <w:rPr>
          <w:sz w:val="24"/>
          <w:szCs w:val="24"/>
        </w:rPr>
        <w:t xml:space="preserve">9. Larvin H, Gao C, Kang J, et al. The impact of study factors in the association of periodontal disease and cognitive disorders. </w:t>
      </w:r>
      <w:r>
        <w:rPr>
          <w:i/>
          <w:sz w:val="24"/>
          <w:szCs w:val="24"/>
        </w:rPr>
        <w:t>Age Ageing</w:t>
      </w:r>
      <w:r>
        <w:rPr>
          <w:sz w:val="24"/>
          <w:szCs w:val="24"/>
        </w:rPr>
        <w:t>. 2023;52(2):afad015. doi:10.1093/ageing/afad015.</w:t>
      </w:r>
    </w:p>
    <w:p>
      <w:pPr>
        <w:pStyle w:val="13"/>
        <w:ind w:left="360" w:hanging="360"/>
      </w:pPr>
      <w:r>
        <w:rPr>
          <w:sz w:val="24"/>
          <w:szCs w:val="24"/>
        </w:rPr>
        <w:t xml:space="preserve">10. Ide M, Harris M, Stevens A, et al. Periodontitis and cognitive decline in Alzheimer’s disease. </w:t>
      </w:r>
      <w:r>
        <w:rPr>
          <w:i/>
          <w:sz w:val="24"/>
          <w:szCs w:val="24"/>
        </w:rPr>
        <w:t>PLoS One</w:t>
      </w:r>
      <w:r>
        <w:rPr>
          <w:sz w:val="24"/>
          <w:szCs w:val="24"/>
        </w:rPr>
        <w:t>. 2016;11(3):e0151081. doi:10.1371/journal.pone.0151081.</w:t>
      </w:r>
    </w:p>
    <w:p>
      <w:pPr>
        <w:pStyle w:val="13"/>
        <w:ind w:left="360" w:hanging="360"/>
      </w:pPr>
      <w:r>
        <w:rPr>
          <w:sz w:val="24"/>
          <w:szCs w:val="24"/>
        </w:rPr>
        <w:t xml:space="preserve">11. Hu C, Li H, Huang L, et al. Periodontal disease and risk of Alzheimer’s disease: a two-sample Mendelian randomization. </w:t>
      </w:r>
      <w:r>
        <w:rPr>
          <w:i/>
          <w:sz w:val="24"/>
          <w:szCs w:val="24"/>
        </w:rPr>
        <w:t>Brain Behav</w:t>
      </w:r>
      <w:r>
        <w:rPr>
          <w:sz w:val="24"/>
          <w:szCs w:val="24"/>
        </w:rPr>
        <w:t>. 2024;14(4):e3486. doi:10.1002/brb3.3486.</w:t>
      </w:r>
    </w:p>
    <w:p>
      <w:pPr>
        <w:pStyle w:val="13"/>
        <w:ind w:left="360" w:hanging="360"/>
      </w:pPr>
      <w:r>
        <w:rPr>
          <w:sz w:val="24"/>
          <w:szCs w:val="24"/>
        </w:rPr>
        <w:t xml:space="preserve">12. Guo Y, Nguyen KA, Potempa J. Dichotomy of gingipains action as virulence factors. </w:t>
      </w:r>
      <w:r>
        <w:rPr>
          <w:i/>
          <w:sz w:val="24"/>
          <w:szCs w:val="24"/>
        </w:rPr>
        <w:t>Periodontol 2000</w:t>
      </w:r>
      <w:r>
        <w:rPr>
          <w:sz w:val="24"/>
          <w:szCs w:val="24"/>
        </w:rPr>
        <w:t>. 2010;54(1):15–44. doi:10.1111/j.1600-0757.2010.00377.x.</w:t>
      </w:r>
    </w:p>
    <w:p>
      <w:pPr>
        <w:pStyle w:val="13"/>
        <w:ind w:left="360" w:hanging="360"/>
      </w:pPr>
      <w:r>
        <w:rPr>
          <w:sz w:val="24"/>
          <w:szCs w:val="24"/>
        </w:rPr>
        <w:t xml:space="preserve">13. Ho MH, Chen CH, Goodwin JS, et al. Functional advantages of </w:t>
      </w:r>
      <w:r>
        <w:rPr>
          <w:i/>
          <w:sz w:val="24"/>
          <w:szCs w:val="24"/>
        </w:rPr>
        <w:t>Porphyromonas gingivalis</w:t>
      </w:r>
      <w:r>
        <w:rPr>
          <w:sz w:val="24"/>
          <w:szCs w:val="24"/>
        </w:rPr>
        <w:t xml:space="preserve"> vesicles. </w:t>
      </w:r>
      <w:r>
        <w:rPr>
          <w:i/>
          <w:sz w:val="24"/>
          <w:szCs w:val="24"/>
        </w:rPr>
        <w:t>PLoS One</w:t>
      </w:r>
      <w:r>
        <w:rPr>
          <w:sz w:val="24"/>
          <w:szCs w:val="24"/>
        </w:rPr>
        <w:t>. 2015;10(4):e0123448. doi:10.1371/journal.pone.0123448.</w:t>
      </w:r>
    </w:p>
    <w:p>
      <w:pPr>
        <w:pStyle w:val="13"/>
        <w:ind w:left="360" w:hanging="360"/>
      </w:pPr>
      <w:r>
        <w:rPr>
          <w:sz w:val="24"/>
          <w:szCs w:val="24"/>
        </w:rPr>
        <w:t xml:space="preserve">14. Dominy SS, Lynch C, Ermini F, et al. </w:t>
      </w:r>
      <w:r>
        <w:rPr>
          <w:i/>
          <w:sz w:val="24"/>
          <w:szCs w:val="24"/>
        </w:rPr>
        <w:t>Porphyromonas gingivalis</w:t>
      </w:r>
      <w:r>
        <w:rPr>
          <w:sz w:val="24"/>
          <w:szCs w:val="24"/>
        </w:rPr>
        <w:t xml:space="preserve"> in Alzheimer’s disease brains. </w:t>
      </w:r>
      <w:r>
        <w:rPr>
          <w:i/>
          <w:sz w:val="24"/>
          <w:szCs w:val="24"/>
        </w:rPr>
        <w:t>Sci Adv</w:t>
      </w:r>
      <w:r>
        <w:rPr>
          <w:sz w:val="24"/>
          <w:szCs w:val="24"/>
        </w:rPr>
        <w:t>. 2019;5(1):eaau3333. doi:10.1126/sciadv.aau3333.</w:t>
      </w:r>
    </w:p>
    <w:p>
      <w:pPr>
        <w:pStyle w:val="13"/>
        <w:ind w:left="360" w:hanging="360"/>
      </w:pPr>
      <w:r>
        <w:rPr>
          <w:sz w:val="24"/>
          <w:szCs w:val="24"/>
        </w:rPr>
        <w:t xml:space="preserve">15. Ilievski V, Zuchowska PK, Green SJ, et al. Chronic oral application of a periodontal pathogen results in brain inflammation, neurodegeneration and amyloid beta production in wild type mice. </w:t>
      </w:r>
      <w:r>
        <w:rPr>
          <w:i/>
          <w:sz w:val="24"/>
          <w:szCs w:val="24"/>
        </w:rPr>
        <w:t>PLoS One</w:t>
      </w:r>
      <w:r>
        <w:rPr>
          <w:sz w:val="24"/>
          <w:szCs w:val="24"/>
        </w:rPr>
        <w:t>. 2018;13(10):e0204941. doi:10.1371/journal.pone.0204941.</w:t>
      </w:r>
    </w:p>
    <w:p>
      <w:pPr>
        <w:pStyle w:val="13"/>
        <w:ind w:left="360" w:hanging="360"/>
      </w:pPr>
      <w:r>
        <w:rPr>
          <w:sz w:val="24"/>
          <w:szCs w:val="24"/>
        </w:rPr>
        <w:t xml:space="preserve">16. Sberro H, Fremin BJ, Zlitni S, et al. Large-scale analyses of human microbiomes reveal thousands of small, novel genes. </w:t>
      </w:r>
      <w:r>
        <w:rPr>
          <w:i/>
          <w:sz w:val="24"/>
          <w:szCs w:val="24"/>
        </w:rPr>
        <w:t>Cell</w:t>
      </w:r>
      <w:r>
        <w:rPr>
          <w:sz w:val="24"/>
          <w:szCs w:val="24"/>
        </w:rPr>
        <w:t>. 2019;178(5):1245–1259.e14. doi:10.1016/j.cell.2019.07.016.</w:t>
      </w:r>
    </w:p>
    <w:p>
      <w:pPr>
        <w:pStyle w:val="13"/>
        <w:ind w:left="360" w:hanging="360"/>
      </w:pPr>
      <w:r>
        <w:rPr>
          <w:sz w:val="24"/>
          <w:szCs w:val="24"/>
        </w:rPr>
        <w:t xml:space="preserve">17. Durrant MG, Bhatt AS. Automated prediction and annotation of small open reading frames in microbial genomes. </w:t>
      </w:r>
      <w:r>
        <w:rPr>
          <w:i/>
          <w:sz w:val="24"/>
          <w:szCs w:val="24"/>
        </w:rPr>
        <w:t>Cell Host Microbe</w:t>
      </w:r>
      <w:r>
        <w:rPr>
          <w:sz w:val="24"/>
          <w:szCs w:val="24"/>
        </w:rPr>
        <w:t>. 2021;29(1):121–131.e4. doi:10.1016/j.chom.2020.11.002.</w:t>
      </w:r>
    </w:p>
    <w:p>
      <w:pPr>
        <w:pStyle w:val="13"/>
        <w:ind w:left="360" w:hanging="360"/>
      </w:pPr>
      <w:r>
        <w:rPr>
          <w:sz w:val="24"/>
          <w:szCs w:val="24"/>
        </w:rPr>
        <w:t xml:space="preserve">18. Torres MDT, Brooks EF, Cesaro A, et al. Mining human microbiomes reveals an untapped source of peptide antibiotics. </w:t>
      </w:r>
      <w:r>
        <w:rPr>
          <w:i/>
          <w:sz w:val="24"/>
          <w:szCs w:val="24"/>
        </w:rPr>
        <w:t>Cell</w:t>
      </w:r>
      <w:r>
        <w:rPr>
          <w:sz w:val="24"/>
          <w:szCs w:val="24"/>
        </w:rPr>
        <w:t>. 2024;187(19):5453–5467.e15. doi:10.1016/j.cell.2024.07.027.</w:t>
      </w:r>
    </w:p>
    <w:p>
      <w:pPr>
        <w:pStyle w:val="13"/>
        <w:ind w:left="360" w:hanging="360"/>
      </w:pPr>
      <w:r>
        <w:rPr>
          <w:sz w:val="24"/>
          <w:szCs w:val="24"/>
        </w:rPr>
        <w:t xml:space="preserve">19. Du Z, Ding X, Xu Y, Li Y. UniDL4BioPep: a universal deep learning architecture for binary classification in peptide bioactivity. </w:t>
      </w:r>
      <w:r>
        <w:rPr>
          <w:i/>
          <w:sz w:val="24"/>
          <w:szCs w:val="24"/>
        </w:rPr>
        <w:t>Brief Bioinform</w:t>
      </w:r>
      <w:r>
        <w:rPr>
          <w:sz w:val="24"/>
          <w:szCs w:val="24"/>
        </w:rPr>
        <w:t>. 2023;24(3):bbad135. doi:10.1093/bib/bbad135.</w:t>
      </w:r>
    </w:p>
    <w:p>
      <w:pPr>
        <w:pStyle w:val="13"/>
        <w:ind w:left="360" w:hanging="360"/>
      </w:pPr>
      <w:r>
        <w:rPr>
          <w:sz w:val="24"/>
          <w:szCs w:val="24"/>
        </w:rPr>
        <w:t xml:space="preserve">20. Lushchekina SV, Kots ED, Novichkova DA, Petrov KA, Masson P. Role of acetylcholinesterase in β-amyloid aggregation studied by accelerated molecular dynamics. </w:t>
      </w:r>
      <w:r>
        <w:rPr>
          <w:i/>
          <w:sz w:val="24"/>
          <w:szCs w:val="24"/>
        </w:rPr>
        <w:t>BioNanoScience</w:t>
      </w:r>
      <w:r>
        <w:rPr>
          <w:sz w:val="24"/>
          <w:szCs w:val="24"/>
        </w:rPr>
        <w:t>. 2017;7(2):396–402. doi:10.1007/s12668-016-0375-x.</w:t>
      </w:r>
    </w:p>
    <w:p>
      <w:pPr>
        <w:pStyle w:val="13"/>
        <w:ind w:left="360" w:hanging="360"/>
      </w:pPr>
      <w:r>
        <w:rPr>
          <w:sz w:val="24"/>
          <w:szCs w:val="24"/>
        </w:rPr>
        <w:t xml:space="preserve">21. Atanasova M, Dimitrov I, Ivanov S. Molecular dynamics simulations of acetylcholinesterase–beta-amyloid peptide complex. </w:t>
      </w:r>
      <w:r>
        <w:rPr>
          <w:i/>
          <w:sz w:val="24"/>
          <w:szCs w:val="24"/>
        </w:rPr>
        <w:t>Cybern Inf Technol</w:t>
      </w:r>
      <w:r>
        <w:rPr>
          <w:sz w:val="24"/>
          <w:szCs w:val="24"/>
        </w:rPr>
        <w:t>. 2020;20(6):140–154. doi:10.2478/cait-2020-0068.</w:t>
      </w:r>
    </w:p>
    <w:p>
      <w:pPr>
        <w:pStyle w:val="13"/>
        <w:ind w:left="360" w:hanging="360"/>
      </w:pPr>
      <w:r>
        <w:rPr>
          <w:sz w:val="24"/>
          <w:szCs w:val="24"/>
        </w:rPr>
        <w:t xml:space="preserve">22. Cheung J, Rudolph MJ, Burshteyn F, et al. Structures of human acetylcholinesterase in complex with pharmacologically important ligands. </w:t>
      </w:r>
      <w:r>
        <w:rPr>
          <w:i/>
          <w:sz w:val="24"/>
          <w:szCs w:val="24"/>
        </w:rPr>
        <w:t>J Med Chem</w:t>
      </w:r>
      <w:r>
        <w:rPr>
          <w:sz w:val="24"/>
          <w:szCs w:val="24"/>
        </w:rPr>
        <w:t>. 2012;55(23):10282–10286. doi:10.1021/jm300871x.</w:t>
      </w:r>
    </w:p>
    <w:p>
      <w:pPr>
        <w:pStyle w:val="13"/>
        <w:ind w:left="360" w:hanging="360"/>
      </w:pPr>
      <w:r>
        <w:rPr>
          <w:sz w:val="24"/>
          <w:szCs w:val="24"/>
        </w:rPr>
        <w:t xml:space="preserve">23. Kryger G, Silman I, Sussman JL. Structure of acetylcholinesterase complexed with E2020 (Aricept): implications for drug design. </w:t>
      </w:r>
      <w:r>
        <w:rPr>
          <w:i/>
          <w:sz w:val="24"/>
          <w:szCs w:val="24"/>
        </w:rPr>
        <w:t>Structure</w:t>
      </w:r>
      <w:r>
        <w:rPr>
          <w:sz w:val="24"/>
          <w:szCs w:val="24"/>
        </w:rPr>
        <w:t>. 1999;7(3):297–307. doi:10.1016/s0969-2126(99)80040-9.</w:t>
      </w:r>
    </w:p>
    <w:p>
      <w:pPr>
        <w:pStyle w:val="13"/>
        <w:ind w:left="360" w:hanging="360"/>
      </w:pPr>
      <w:r>
        <w:rPr>
          <w:sz w:val="24"/>
          <w:szCs w:val="24"/>
        </w:rPr>
        <w:t xml:space="preserve">24. Rice P, Longden I, Bleasby A. EMBOSS: the European Molecular Biology Open Software Suite. </w:t>
      </w:r>
      <w:r>
        <w:rPr>
          <w:i/>
          <w:sz w:val="24"/>
          <w:szCs w:val="24"/>
        </w:rPr>
        <w:t>Trends Genet</w:t>
      </w:r>
      <w:r>
        <w:rPr>
          <w:sz w:val="24"/>
          <w:szCs w:val="24"/>
        </w:rPr>
        <w:t>. 2000;16(6):276–277. doi:10.1016/S0168-9525(00)02024-2.</w:t>
      </w:r>
    </w:p>
    <w:p>
      <w:pPr>
        <w:pStyle w:val="13"/>
        <w:ind w:left="360" w:hanging="360"/>
      </w:pPr>
      <w:r>
        <w:rPr>
          <w:sz w:val="24"/>
          <w:szCs w:val="24"/>
        </w:rPr>
        <w:t xml:space="preserve">25. Gu Y, Chen P, Wang B, et al. Prediction of blood-brain barrier penetrating peptides based on data augmentation with Augur. </w:t>
      </w:r>
      <w:r>
        <w:rPr>
          <w:i/>
          <w:sz w:val="24"/>
          <w:szCs w:val="24"/>
        </w:rPr>
        <w:t>BMC Biol</w:t>
      </w:r>
      <w:r>
        <w:rPr>
          <w:sz w:val="24"/>
          <w:szCs w:val="24"/>
        </w:rPr>
        <w:t>. 2024;22:86. doi:10.1186/s12915-024-01883-4.</w:t>
      </w:r>
    </w:p>
    <w:p>
      <w:pPr>
        <w:pStyle w:val="13"/>
        <w:ind w:left="360" w:hanging="360"/>
      </w:pPr>
      <w:r>
        <w:rPr>
          <w:sz w:val="24"/>
          <w:szCs w:val="24"/>
        </w:rPr>
        <w:t xml:space="preserve">26. Chen T, Yu WH, Izard J, et al. The Human Oral Microbiome Database: a web accessible resource for investigating oral microbe taxonomic and genomic information. </w:t>
      </w:r>
      <w:r>
        <w:rPr>
          <w:i/>
          <w:sz w:val="24"/>
          <w:szCs w:val="24"/>
        </w:rPr>
        <w:t>Database (Oxford)</w:t>
      </w:r>
      <w:r>
        <w:rPr>
          <w:sz w:val="24"/>
          <w:szCs w:val="24"/>
        </w:rPr>
        <w:t>. 2010;2010:baq013. doi:10.1093/database/baq013.</w:t>
      </w:r>
    </w:p>
    <w:p>
      <w:pPr>
        <w:pStyle w:val="13"/>
        <w:ind w:left="360" w:hanging="360"/>
      </w:pPr>
      <w:r>
        <w:rPr>
          <w:sz w:val="24"/>
          <w:szCs w:val="24"/>
        </w:rPr>
        <w:t xml:space="preserve">27. Escapa IF, Chen T, Huang Y, et al. New insights into human nostril microbiome from the expanded Human Oral Microbiome Database (eHOMD). </w:t>
      </w:r>
      <w:r>
        <w:rPr>
          <w:i/>
          <w:sz w:val="24"/>
          <w:szCs w:val="24"/>
        </w:rPr>
        <w:t>mSystems</w:t>
      </w:r>
      <w:r>
        <w:rPr>
          <w:sz w:val="24"/>
          <w:szCs w:val="24"/>
        </w:rPr>
        <w:t>. 2018;3(3):e00187-18. doi:10.1128/mSystems.00187-18.</w:t>
      </w:r>
    </w:p>
    <w:p>
      <w:pPr>
        <w:pStyle w:val="13"/>
        <w:ind w:left="360" w:hanging="360"/>
      </w:pPr>
      <w:r>
        <w:rPr>
          <w:sz w:val="24"/>
          <w:szCs w:val="24"/>
        </w:rPr>
        <w:t xml:space="preserve">28. Belstrøm D, Jersie-Christensen RR, Lyon D, et al. Metaproteomics of saliva identifies human protein markers specific for individuals with periodontitis and dental caries compared to orally healthy controls. </w:t>
      </w:r>
      <w:r>
        <w:rPr>
          <w:i/>
          <w:sz w:val="24"/>
          <w:szCs w:val="24"/>
        </w:rPr>
        <w:t>PeerJ</w:t>
      </w:r>
      <w:r>
        <w:rPr>
          <w:sz w:val="24"/>
          <w:szCs w:val="24"/>
        </w:rPr>
        <w:t>. 2016;4:e2433. doi:10.7717/peerj.2433.</w:t>
      </w:r>
    </w:p>
    <w:p>
      <w:pPr>
        <w:pStyle w:val="13"/>
        <w:ind w:left="360" w:hanging="360"/>
      </w:pPr>
      <w:r>
        <w:rPr>
          <w:sz w:val="24"/>
          <w:szCs w:val="24"/>
        </w:rPr>
        <w:t xml:space="preserve">29. Jiang X, Zhang Y, Wang H, et al. In-depth metaproteomics analysis of oral microbiome for lung cancer. </w:t>
      </w:r>
      <w:r>
        <w:rPr>
          <w:i/>
          <w:sz w:val="24"/>
          <w:szCs w:val="24"/>
        </w:rPr>
        <w:t>Research (Wash D C)</w:t>
      </w:r>
      <w:r>
        <w:rPr>
          <w:sz w:val="24"/>
          <w:szCs w:val="24"/>
        </w:rPr>
        <w:t>. 2022;2022:9781578. doi:10.34133/2022/9781578.</w:t>
      </w:r>
    </w:p>
    <w:p>
      <w:pPr>
        <w:pStyle w:val="13"/>
        <w:ind w:left="360" w:hanging="360"/>
      </w:pPr>
      <w:r>
        <w:rPr>
          <w:sz w:val="24"/>
          <w:szCs w:val="24"/>
        </w:rPr>
        <w:t xml:space="preserve">30. Yuan J, Cao Q, Chen M, et al. OSaMPle workflow for salivary metaproteomics analysis reveals dysbiosis in inflammatory bowel disease patients. </w:t>
      </w:r>
      <w:r>
        <w:rPr>
          <w:i/>
          <w:sz w:val="24"/>
          <w:szCs w:val="24"/>
        </w:rPr>
        <w:t>npj Biofilms Microbiomes</w:t>
      </w:r>
      <w:r>
        <w:rPr>
          <w:sz w:val="24"/>
          <w:szCs w:val="24"/>
        </w:rPr>
        <w:t>. 2025;11:63. doi:10.1038/s41522-025-00692-z.</w:t>
      </w:r>
    </w:p>
    <w:p>
      <w:pPr>
        <w:pStyle w:val="13"/>
        <w:ind w:left="360" w:hanging="360"/>
      </w:pPr>
      <w:r>
        <w:rPr>
          <w:sz w:val="24"/>
          <w:szCs w:val="24"/>
        </w:rPr>
        <w:t xml:space="preserve">31. Rathore AS, Jain S, Choudhury S, Raghava GPS. A large language model for predicting neurotoxic peptides and neurotoxins. </w:t>
      </w:r>
      <w:r>
        <w:rPr>
          <w:i/>
          <w:sz w:val="24"/>
          <w:szCs w:val="24"/>
        </w:rPr>
        <w:t>Protein Sci</w:t>
      </w:r>
      <w:r>
        <w:rPr>
          <w:sz w:val="24"/>
          <w:szCs w:val="24"/>
        </w:rPr>
        <w:t>. 2025;34(8):e70200. doi:10.1002/pro.70200.</w:t>
      </w:r>
    </w:p>
    <w:p>
      <w:pPr>
        <w:pStyle w:val="13"/>
        <w:ind w:left="360" w:hanging="360"/>
      </w:pPr>
      <w:r>
        <w:rPr>
          <w:sz w:val="24"/>
          <w:szCs w:val="24"/>
        </w:rPr>
        <w:t xml:space="preserve">32. Aptekmann AA, Buongiorno J, Giovannelli D, et al. mebipred: identifying metal-binding potential in protein sequence. </w:t>
      </w:r>
      <w:r>
        <w:rPr>
          <w:i/>
          <w:sz w:val="24"/>
          <w:szCs w:val="24"/>
        </w:rPr>
        <w:t>Bioinformatics</w:t>
      </w:r>
      <w:r>
        <w:rPr>
          <w:sz w:val="24"/>
          <w:szCs w:val="24"/>
        </w:rPr>
        <w:t>. 2022;38(14):3532–3540. doi:10.1093/bioinformatics/btac358.</w:t>
      </w:r>
    </w:p>
    <w:p>
      <w:pPr>
        <w:pStyle w:val="13"/>
        <w:ind w:left="360" w:hanging="360"/>
      </w:pPr>
      <w:r>
        <w:rPr>
          <w:sz w:val="24"/>
          <w:szCs w:val="24"/>
        </w:rPr>
        <w:t xml:space="preserve">33. Olsen TH, Yesiltas B, Marin FI, et al. AnOxPePred: using deep learning for the prediction of antioxidative properties of peptides. </w:t>
      </w:r>
      <w:r>
        <w:rPr>
          <w:i/>
          <w:sz w:val="24"/>
          <w:szCs w:val="24"/>
        </w:rPr>
        <w:t>Sci Rep</w:t>
      </w:r>
      <w:r>
        <w:rPr>
          <w:sz w:val="24"/>
          <w:szCs w:val="24"/>
        </w:rPr>
        <w:t>. 2020;10:21471. doi:10.1038/s41598-020-78319-w.</w:t>
      </w:r>
    </w:p>
    <w:p>
      <w:pPr>
        <w:pStyle w:val="13"/>
        <w:ind w:left="360" w:hanging="360"/>
      </w:pPr>
      <w:r>
        <w:rPr>
          <w:sz w:val="24"/>
          <w:szCs w:val="24"/>
        </w:rPr>
        <w:t xml:space="preserve">34. Trott O, Olson AJ. AutoDock Vina: improving the speed and accuracy of docking with a new scoring function. </w:t>
      </w:r>
      <w:r>
        <w:rPr>
          <w:i/>
          <w:sz w:val="24"/>
          <w:szCs w:val="24"/>
        </w:rPr>
        <w:t>J Comput Chem</w:t>
      </w:r>
      <w:r>
        <w:rPr>
          <w:sz w:val="24"/>
          <w:szCs w:val="24"/>
        </w:rPr>
        <w:t>. 2010;31(2):455–461. doi:10.1002/jcc.21334.</w:t>
      </w:r>
    </w:p>
    <w:p>
      <w:pPr>
        <w:pStyle w:val="13"/>
        <w:ind w:left="360" w:hanging="360"/>
      </w:pPr>
      <w:r>
        <w:rPr>
          <w:sz w:val="24"/>
          <w:szCs w:val="24"/>
        </w:rPr>
        <w:t xml:space="preserve">35. Eberhardt J, Santos-Martins D, Tillack AF, Forli S. AutoDock Vina 1.2.0: new docking methods, expanded force field, and Python bindings. </w:t>
      </w:r>
      <w:r>
        <w:rPr>
          <w:i/>
          <w:sz w:val="24"/>
          <w:szCs w:val="24"/>
        </w:rPr>
        <w:t>J Chem Inf Model</w:t>
      </w:r>
      <w:r>
        <w:rPr>
          <w:sz w:val="24"/>
          <w:szCs w:val="24"/>
        </w:rPr>
        <w:t>. 2021;61(8):3891–3898. doi:10.1021/acs.jcim.1c00203.</w:t>
      </w:r>
    </w:p>
    <w:p>
      <w:pPr>
        <w:pStyle w:val="13"/>
        <w:ind w:left="360" w:hanging="360"/>
      </w:pPr>
      <w:r>
        <w:rPr>
          <w:sz w:val="24"/>
          <w:szCs w:val="24"/>
        </w:rPr>
        <w:t xml:space="preserve">36. Abraham MJ, Murtola T, Schulz R, et al. GROMACS: high performance molecular simulations through multi-level parallelism from laptops to supercomputers. </w:t>
      </w:r>
      <w:r>
        <w:rPr>
          <w:i/>
          <w:sz w:val="24"/>
          <w:szCs w:val="24"/>
        </w:rPr>
        <w:t>SoftwareX</w:t>
      </w:r>
      <w:r>
        <w:rPr>
          <w:sz w:val="24"/>
          <w:szCs w:val="24"/>
        </w:rPr>
        <w:t>. 2015;1–2:19–25. doi:10.1016/j.softx.2015.06.001.</w:t>
      </w:r>
    </w:p>
    <w:p>
      <w:pPr>
        <w:pStyle w:val="13"/>
        <w:ind w:left="360" w:hanging="360"/>
      </w:pPr>
      <w:r>
        <w:rPr>
          <w:sz w:val="24"/>
          <w:szCs w:val="24"/>
        </w:rPr>
        <w:t xml:space="preserve">37. Lindorff-Larsen K, Piana S, Palmo K, et al. Improved side-chain torsion potentials for the Amber ff99SB protein force field. </w:t>
      </w:r>
      <w:r>
        <w:rPr>
          <w:i/>
          <w:sz w:val="24"/>
          <w:szCs w:val="24"/>
        </w:rPr>
        <w:t>Proteins</w:t>
      </w:r>
      <w:r>
        <w:rPr>
          <w:sz w:val="24"/>
          <w:szCs w:val="24"/>
        </w:rPr>
        <w:t>. 2010;78(8):1950–1958. doi:10.1002/prot.22711.</w:t>
      </w:r>
    </w:p>
    <w:p>
      <w:pPr>
        <w:pStyle w:val="13"/>
        <w:ind w:left="360" w:hanging="360"/>
      </w:pPr>
      <w:r>
        <w:rPr>
          <w:sz w:val="24"/>
          <w:szCs w:val="24"/>
        </w:rPr>
        <w:t xml:space="preserve">38. Alvarez A, Alarcón R, Opazo C, Campos EO, Muñoz FJ, Calderón FH, Dajas F, Gentry MK, Doctor BP, De Mello FG, Inestrosa NC. Stable complexes involving acetylcholinesterase and amyloid-β peptide change the biochemical properties of the enzyme and increase the neurotoxicity of Alzheimer’s fibrils. </w:t>
      </w:r>
      <w:r>
        <w:rPr>
          <w:i/>
          <w:sz w:val="24"/>
          <w:szCs w:val="24"/>
        </w:rPr>
        <w:t>J Neurosci</w:t>
      </w:r>
      <w:r>
        <w:rPr>
          <w:sz w:val="24"/>
          <w:szCs w:val="24"/>
        </w:rPr>
        <w:t>. 1998;18(9):3213–3223. doi:10.1523/JNEUROSCI.18-09-03213.1998.</w:t>
      </w:r>
    </w:p>
    <w:p>
      <w:pPr>
        <w:pStyle w:val="13"/>
        <w:ind w:left="360" w:hanging="360"/>
      </w:pPr>
      <w:r>
        <w:rPr>
          <w:sz w:val="24"/>
          <w:szCs w:val="24"/>
        </w:rPr>
        <w:t xml:space="preserve">39. Alvarez A, Opazo C, Alarcón R, Garrido J, Inestrosa NC. Acetylcholinesterase promotes the aggregation of amyloid-β-peptide fragments by forming a complex with the growing fibrils. </w:t>
      </w:r>
      <w:r>
        <w:rPr>
          <w:i/>
          <w:sz w:val="24"/>
          <w:szCs w:val="24"/>
        </w:rPr>
        <w:t>J Mol Biol</w:t>
      </w:r>
      <w:r>
        <w:rPr>
          <w:sz w:val="24"/>
          <w:szCs w:val="24"/>
        </w:rPr>
        <w:t>. 1997;272(3):348–361. doi:10.1006/jmbi.1997.1245.</w:t>
      </w:r>
    </w:p>
    <w:p>
      <w:pPr>
        <w:pStyle w:val="13"/>
        <w:ind w:left="360" w:hanging="360"/>
      </w:pPr>
      <w:r>
        <w:rPr>
          <w:sz w:val="24"/>
          <w:szCs w:val="24"/>
        </w:rPr>
        <w:t xml:space="preserve">40. Reyes AE, Perez DR, Alvarez A, Garrido J, Gentry MK, Doctor BP, Inestrosa NC. A monoclonal antibody against acetylcholinesterase inhibits the formation of amyloid fibrils induced by the enzyme. </w:t>
      </w:r>
      <w:r>
        <w:rPr>
          <w:i/>
          <w:sz w:val="24"/>
          <w:szCs w:val="24"/>
        </w:rPr>
        <w:t>Biochem Biophys Res Commun</w:t>
      </w:r>
      <w:r>
        <w:rPr>
          <w:sz w:val="24"/>
          <w:szCs w:val="24"/>
        </w:rPr>
        <w:t>. 1997;232(3):652–655. doi:10.1006/bbrc.1997.6357.</w:t>
      </w:r>
    </w:p>
    <w:p>
      <w:pPr>
        <w:pStyle w:val="13"/>
        <w:ind w:left="360" w:hanging="360"/>
      </w:pPr>
      <w:r>
        <w:rPr>
          <w:sz w:val="24"/>
          <w:szCs w:val="24"/>
        </w:rPr>
        <w:t xml:space="preserve">41. Rees T, Hammond PI, Soreq H, Younkin S, Brimijoin S. Acetylcholinesterase promotes β-amyloid plaques in cerebral cortex. </w:t>
      </w:r>
      <w:r>
        <w:rPr>
          <w:i/>
          <w:sz w:val="24"/>
          <w:szCs w:val="24"/>
        </w:rPr>
        <w:t>Neurobiol Aging</w:t>
      </w:r>
      <w:r>
        <w:rPr>
          <w:sz w:val="24"/>
          <w:szCs w:val="24"/>
        </w:rPr>
        <w:t>. 2003;24(6):777–787. doi:10.1016/S0197-4580(02)00230-0.</w:t>
      </w:r>
    </w:p>
    <w:p>
      <w:pPr>
        <w:pStyle w:val="13"/>
        <w:ind w:left="360" w:hanging="360"/>
      </w:pPr>
      <w:r>
        <w:rPr>
          <w:sz w:val="24"/>
          <w:szCs w:val="24"/>
        </w:rPr>
        <w:t xml:space="preserve">42. García-Ayllón MS, Small DH, Avila J, Sáez-Valero J. Revisiting the role of acetylcholinesterase in Alzheimer’s disease: cross-talk with P-tau and β-amyloid. </w:t>
      </w:r>
      <w:r>
        <w:rPr>
          <w:i/>
          <w:sz w:val="24"/>
          <w:szCs w:val="24"/>
        </w:rPr>
        <w:t>Front Mol Neurosci</w:t>
      </w:r>
      <w:r>
        <w:rPr>
          <w:sz w:val="24"/>
          <w:szCs w:val="24"/>
        </w:rPr>
        <w:t>. 2011;4:22. doi:10.3389/fnmol.2011.00022.</w:t>
      </w:r>
    </w:p>
    <w:p>
      <w:pPr>
        <w:pStyle w:val="13"/>
        <w:ind w:left="360" w:hanging="360"/>
      </w:pPr>
      <w:r>
        <w:rPr>
          <w:sz w:val="24"/>
          <w:szCs w:val="24"/>
        </w:rPr>
        <w:t xml:space="preserve">43. Carvajal FJ, Inestrosa NC. Interactions of AChE with Aβ aggregates in Alzheimer’s brain: therapeutic relevance of IDN 5706. </w:t>
      </w:r>
      <w:r>
        <w:rPr>
          <w:i/>
          <w:sz w:val="24"/>
          <w:szCs w:val="24"/>
        </w:rPr>
        <w:t>Front Mol Neurosci</w:t>
      </w:r>
      <w:r>
        <w:rPr>
          <w:sz w:val="24"/>
          <w:szCs w:val="24"/>
        </w:rPr>
        <w:t>. 2011;4:19. doi:10.3389/fnmol.2011.00019.</w:t>
      </w:r>
    </w:p>
    <w:p>
      <w:pPr>
        <w:pStyle w:val="13"/>
        <w:ind w:left="360" w:hanging="360"/>
      </w:pPr>
      <w:r>
        <w:rPr>
          <w:sz w:val="24"/>
          <w:szCs w:val="24"/>
        </w:rPr>
        <w:t xml:space="preserve">44. Inestrosa NC, Dinamarca MC, Alvarez A. Amyloid–cholinesterase interactions. </w:t>
      </w:r>
      <w:r>
        <w:rPr>
          <w:i/>
          <w:sz w:val="24"/>
          <w:szCs w:val="24"/>
        </w:rPr>
        <w:t>FEBS J</w:t>
      </w:r>
      <w:r>
        <w:rPr>
          <w:sz w:val="24"/>
          <w:szCs w:val="24"/>
        </w:rPr>
        <w:t>. 2008;275(4):625–632. doi:10.1111/j.1742-4658.2007.06238.x.</w:t>
      </w:r>
    </w:p>
    <w:p>
      <w:pPr>
        <w:pStyle w:val="13"/>
        <w:ind w:left="360" w:hanging="360"/>
      </w:pPr>
      <w:r>
        <w:rPr>
          <w:sz w:val="24"/>
          <w:szCs w:val="24"/>
        </w:rPr>
        <w:t xml:space="preserve">45. Dinamarca MC, Sagal JP, Quintanilla RA, Godoy JA, Arrázola MS, Inestrosa NC. Amyloid-β–acetylcholinesterase complexes potentiate neurodegenerative changes induced by the Aβ peptide. Implications for the pathogenesis of Alzheimer’s disease. </w:t>
      </w:r>
      <w:r>
        <w:rPr>
          <w:i/>
          <w:sz w:val="24"/>
          <w:szCs w:val="24"/>
        </w:rPr>
        <w:t>Mol Neurodegener</w:t>
      </w:r>
      <w:r>
        <w:rPr>
          <w:sz w:val="24"/>
          <w:szCs w:val="24"/>
        </w:rPr>
        <w:t>. 2010;5:4. doi:10.1186/1750-1326-5-4.</w:t>
      </w:r>
    </w:p>
    <w:p>
      <w:pPr>
        <w:pStyle w:val="13"/>
        <w:ind w:left="360" w:hanging="360"/>
      </w:pPr>
      <w:r>
        <w:rPr>
          <w:sz w:val="24"/>
          <w:szCs w:val="24"/>
        </w:rPr>
        <w:t xml:space="preserve">46. Johnson G, Moore SW. The peripheral anionic site of acetylcholinesterase: structure, functions and potential role in rational drug design. </w:t>
      </w:r>
      <w:r>
        <w:rPr>
          <w:i/>
          <w:sz w:val="24"/>
          <w:szCs w:val="24"/>
        </w:rPr>
        <w:t>Curr Pharm Des</w:t>
      </w:r>
      <w:r>
        <w:rPr>
          <w:sz w:val="24"/>
          <w:szCs w:val="24"/>
        </w:rPr>
        <w:t>. 2006;12(2):217–225. doi:10.2174/138161206775193127.</w:t>
      </w:r>
    </w:p>
    <w:p>
      <w:pPr>
        <w:pStyle w:val="13"/>
        <w:ind w:left="360" w:hanging="360"/>
      </w:pPr>
      <w:r>
        <w:rPr>
          <w:sz w:val="24"/>
          <w:szCs w:val="24"/>
        </w:rPr>
        <w:t xml:space="preserve">47. Poole S, Singhrao SK, Kesavalu L, Curtis MA, Crean S. Determining the presence of periodontopathic virulence factors in short-term postmortem Alzheimer’s disease brain tissue. </w:t>
      </w:r>
      <w:r>
        <w:rPr>
          <w:i/>
          <w:sz w:val="24"/>
          <w:szCs w:val="24"/>
        </w:rPr>
        <w:t>J Alzheimers Dis</w:t>
      </w:r>
      <w:r>
        <w:rPr>
          <w:sz w:val="24"/>
          <w:szCs w:val="24"/>
        </w:rPr>
        <w:t>. 2013;36(4):665–677. doi:10.3233/JAD-121918.</w:t>
      </w:r>
    </w:p>
    <w:p>
      <w:pPr>
        <w:pStyle w:val="13"/>
        <w:ind w:left="360" w:hanging="360"/>
      </w:pPr>
      <w:r>
        <w:rPr>
          <w:sz w:val="24"/>
          <w:szCs w:val="24"/>
        </w:rPr>
        <w:t xml:space="preserve">48. Haditsch U, Roth T, Rodriguez L, et al. Alzheimer’s disease-like neurodegeneration in </w:t>
      </w:r>
      <w:r>
        <w:rPr>
          <w:i/>
          <w:sz w:val="24"/>
          <w:szCs w:val="24"/>
        </w:rPr>
        <w:t>Porphyromonas gingivalis</w:t>
      </w:r>
      <w:r>
        <w:rPr>
          <w:sz w:val="24"/>
          <w:szCs w:val="24"/>
        </w:rPr>
        <w:t xml:space="preserve"> infected neurons with persistent expression of active gingipains. </w:t>
      </w:r>
      <w:r>
        <w:rPr>
          <w:i/>
          <w:sz w:val="24"/>
          <w:szCs w:val="24"/>
        </w:rPr>
        <w:t>J Alzheimers Dis</w:t>
      </w:r>
      <w:r>
        <w:rPr>
          <w:sz w:val="24"/>
          <w:szCs w:val="24"/>
        </w:rPr>
        <w:t>. 2020;75(4):1361–1376. doi:10.3233/JAD-200393.</w:t>
      </w:r>
    </w:p>
    <w:p>
      <w:pPr>
        <w:pStyle w:val="13"/>
        <w:ind w:left="360" w:hanging="360"/>
      </w:pPr>
      <w:r>
        <w:rPr>
          <w:sz w:val="24"/>
          <w:szCs w:val="24"/>
        </w:rPr>
        <w:t xml:space="preserve">49. Lei S, Li J, Yu J, et al. </w:t>
      </w:r>
      <w:r>
        <w:rPr>
          <w:i/>
          <w:sz w:val="24"/>
          <w:szCs w:val="24"/>
        </w:rPr>
        <w:t>Porphyromonas gingivalis</w:t>
      </w:r>
      <w:r>
        <w:rPr>
          <w:sz w:val="24"/>
          <w:szCs w:val="24"/>
        </w:rPr>
        <w:t xml:space="preserve"> bacteremia increases the permeability of the blood-brain barrier via the Mfsd2a/Caveolin-1 mediated transcytosis pathway. </w:t>
      </w:r>
      <w:r>
        <w:rPr>
          <w:i/>
          <w:sz w:val="24"/>
          <w:szCs w:val="24"/>
        </w:rPr>
        <w:t>Int J Oral Sci</w:t>
      </w:r>
      <w:r>
        <w:rPr>
          <w:sz w:val="24"/>
          <w:szCs w:val="24"/>
        </w:rPr>
        <w:t>. 2023;15:3. doi:10.1038/s41368-022-00215-y.</w:t>
      </w:r>
    </w:p>
    <w:p>
      <w:pPr>
        <w:pStyle w:val="13"/>
        <w:ind w:left="360" w:hanging="360"/>
      </w:pPr>
      <w:r>
        <w:rPr>
          <w:sz w:val="24"/>
          <w:szCs w:val="24"/>
        </w:rPr>
        <w:t xml:space="preserve">50. Barak D, Kronman C, Ordentlich A, Ariel N, Bromberg A, Marcus D, Lazar A, Velan B, Shafferman A. Acetylcholinesterase peripheral anionic site degeneracy conferred by amino acid arrays sharing a common core. </w:t>
      </w:r>
      <w:r>
        <w:rPr>
          <w:i/>
          <w:sz w:val="24"/>
          <w:szCs w:val="24"/>
        </w:rPr>
        <w:t>J Biol Chem</w:t>
      </w:r>
      <w:r>
        <w:rPr>
          <w:sz w:val="24"/>
          <w:szCs w:val="24"/>
        </w:rPr>
        <w:t>. 1994;269(9):6296–6305. doi:10.1016/S0021-9258(17)37603-X.</w:t>
      </w:r>
    </w:p>
    <w:p>
      <w:pPr>
        <w:pStyle w:val="13"/>
        <w:ind w:left="360" w:hanging="360"/>
      </w:pPr>
      <w:r>
        <w:rPr>
          <w:sz w:val="24"/>
          <w:szCs w:val="24"/>
        </w:rPr>
        <w:t xml:space="preserve">51. Mallender WD, Szegletes T, Rosenberry TL. Acetylthiocholine binds to Asp74 at the peripheral site of human acetylcholinesterase as the first step in the catalytic pathway. </w:t>
      </w:r>
      <w:r>
        <w:rPr>
          <w:i/>
          <w:sz w:val="24"/>
          <w:szCs w:val="24"/>
        </w:rPr>
        <w:t>Biochemistry</w:t>
      </w:r>
      <w:r>
        <w:rPr>
          <w:sz w:val="24"/>
          <w:szCs w:val="24"/>
        </w:rPr>
        <w:t>. 2000;39(26):7753–7763. doi:10.1021/bi000210o.</w:t>
      </w:r>
    </w:p>
    <w:p>
      <w:pPr>
        <w:pStyle w:val="13"/>
        <w:ind w:left="360" w:hanging="360"/>
      </w:pPr>
      <w:r>
        <w:rPr>
          <w:sz w:val="24"/>
          <w:szCs w:val="24"/>
        </w:rPr>
        <w:t xml:space="preserve">52. Sussman JL, Harel M, Frolow F, Oefner C, Goldman A, Toker L, Silman I. Atomic structure of acetylcholinesterase from </w:t>
      </w:r>
      <w:r>
        <w:rPr>
          <w:i/>
          <w:sz w:val="24"/>
          <w:szCs w:val="24"/>
        </w:rPr>
        <w:t>Torpedo californica</w:t>
      </w:r>
      <w:r>
        <w:rPr>
          <w:sz w:val="24"/>
          <w:szCs w:val="24"/>
        </w:rPr>
        <w:t xml:space="preserve">: a prototypic acetylcholine-binding protein. </w:t>
      </w:r>
      <w:r>
        <w:rPr>
          <w:i/>
          <w:sz w:val="24"/>
          <w:szCs w:val="24"/>
        </w:rPr>
        <w:t>Science</w:t>
      </w:r>
      <w:r>
        <w:rPr>
          <w:sz w:val="24"/>
          <w:szCs w:val="24"/>
        </w:rPr>
        <w:t>. 1991;253(5022):872–879. doi:10.1126/science.1678899.</w:t>
      </w:r>
    </w:p>
    <w:p>
      <w:pPr>
        <w:pStyle w:val="13"/>
        <w:ind w:left="360" w:hanging="360"/>
      </w:pPr>
      <w:r>
        <w:rPr>
          <w:sz w:val="24"/>
          <w:szCs w:val="24"/>
        </w:rPr>
        <w:t xml:space="preserve">53. Dvir H, Silman I, Harel M, Rosenberry TL, Sussman JL. Acetylcholinesterase: from 3D structure to function. </w:t>
      </w:r>
      <w:r>
        <w:rPr>
          <w:i/>
          <w:sz w:val="24"/>
          <w:szCs w:val="24"/>
        </w:rPr>
        <w:t>Chem Biol Interact</w:t>
      </w:r>
      <w:r>
        <w:rPr>
          <w:sz w:val="24"/>
          <w:szCs w:val="24"/>
        </w:rPr>
        <w:t>. 2010;187(1-3):10–22. doi:10.1016/j.cbi.2010.01.042.</w:t>
      </w:r>
    </w:p>
    <w:p>
      <w:pPr>
        <w:pStyle w:val="13"/>
        <w:ind w:left="360" w:hanging="360"/>
      </w:pPr>
      <w:r>
        <w:rPr>
          <w:sz w:val="24"/>
          <w:szCs w:val="24"/>
        </w:rPr>
        <w:t xml:space="preserve">54. Bourne Y, Taylor P, Radić Z, Marchot P. Structural insights into ligand interactions at the acetylcholinesterase peripheral anionic site. </w:t>
      </w:r>
      <w:r>
        <w:rPr>
          <w:i/>
          <w:sz w:val="24"/>
          <w:szCs w:val="24"/>
        </w:rPr>
        <w:t>EMBO J</w:t>
      </w:r>
      <w:r>
        <w:rPr>
          <w:sz w:val="24"/>
          <w:szCs w:val="24"/>
        </w:rPr>
        <w:t>. 2003;22(1):1–12. doi:10.1093/emboj/cdg005.</w:t>
      </w:r>
      <w:r>
        <w:fldChar w:fldCharType="end"/>
      </w:r>
    </w:p>
    <w:sectPr>
      <w:pgSz w:w="11906" w:h="16838"/>
      <w:pgMar w:top="1440" w:right="1440" w:bottom="1440" w:left="1440" w:header="600" w:footer="600" w:gutter="0"/>
      <w:cols w:space="720" w:num="1"/>
      <w:docGrid w:linePitch="48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
  <w:rsids>
    <w:rsidRoot w:val="00000000"/>
    <w:rsid w:val="08B66560"/>
    <w:rsid w:val="24406931"/>
    <w:rsid w:val="72A17F74"/>
    <w:rsid w:val="7FA40B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0" w:line="480" w:lineRule="auto"/>
      <w:jc w:val="both"/>
    </w:pPr>
    <w:rPr>
      <w:rFonts w:ascii="Times New Roman" w:hAnsi="Times New Roman" w:eastAsia="宋体" w:cs="Times New Roman"/>
      <w:sz w:val="24"/>
      <w:szCs w:val="24"/>
      <w:lang w:val="en-US" w:eastAsia="zh-CN"/>
    </w:rPr>
  </w:style>
  <w:style w:type="paragraph" w:styleId="2">
    <w:name w:val="heading 1"/>
    <w:basedOn w:val="1"/>
    <w:next w:val="1"/>
    <w:qFormat/>
    <w:uiPriority w:val="0"/>
    <w:pPr>
      <w:keepNext/>
      <w:keepLines/>
      <w:spacing w:before="240" w:after="120"/>
      <w:jc w:val="left"/>
      <w:outlineLvl w:val="0"/>
    </w:pPr>
    <w:rPr>
      <w:rFonts w:ascii="Times New Roman" w:hAnsi="Times New Roman" w:eastAsia="黑体"/>
      <w:b/>
      <w:color w:val="000000"/>
      <w:sz w:val="30"/>
      <w:szCs w:val="30"/>
    </w:rPr>
  </w:style>
  <w:style w:type="paragraph" w:styleId="3">
    <w:name w:val="heading 2"/>
    <w:basedOn w:val="1"/>
    <w:next w:val="1"/>
    <w:qFormat/>
    <w:uiPriority w:val="0"/>
    <w:pPr>
      <w:keepNext/>
      <w:keepLines/>
      <w:spacing w:before="240" w:after="120"/>
      <w:jc w:val="left"/>
      <w:outlineLvl w:val="1"/>
    </w:pPr>
    <w:rPr>
      <w:rFonts w:ascii="Times New Roman" w:hAnsi="Times New Roman" w:eastAsia="黑体"/>
      <w:b/>
      <w:color w:val="000000"/>
      <w:sz w:val="28"/>
      <w:szCs w:val="28"/>
    </w:rPr>
  </w:style>
  <w:style w:type="paragraph" w:styleId="4">
    <w:name w:val="heading 3"/>
    <w:basedOn w:val="1"/>
    <w:next w:val="1"/>
    <w:qFormat/>
    <w:uiPriority w:val="0"/>
    <w:pPr>
      <w:keepNext/>
      <w:keepLines/>
      <w:spacing w:before="180" w:after="60"/>
      <w:outlineLvl w:val="2"/>
    </w:pPr>
    <w:rPr>
      <w:rFonts w:ascii="Times New Roman" w:hAnsi="Times New Roman" w:eastAsia="黑体"/>
      <w:b/>
      <w:i/>
      <w:color w:val="000000"/>
      <w:sz w:val="24"/>
      <w:szCs w:val="24"/>
    </w:rPr>
  </w:style>
  <w:style w:type="paragraph" w:styleId="5">
    <w:name w:val="heading 4"/>
    <w:basedOn w:val="1"/>
    <w:next w:val="1"/>
    <w:qFormat/>
    <w:uiPriority w:val="0"/>
    <w:pPr>
      <w:keepNext/>
      <w:spacing w:before="120" w:after="0"/>
      <w:outlineLvl w:val="3"/>
    </w:pPr>
    <w:rPr>
      <w:i/>
      <w:color w:val="000000"/>
      <w:sz w:val="24"/>
      <w:szCs w:val="24"/>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caption"/>
    <w:basedOn w:val="1"/>
    <w:next w:val="1"/>
    <w:uiPriority w:val="0"/>
    <w:pPr>
      <w:keepNext/>
      <w:spacing w:before="120" w:after="60" w:line="240" w:lineRule="auto"/>
      <w:jc w:val="left"/>
    </w:pPr>
    <w:rPr>
      <w:sz w:val="20"/>
      <w:szCs w:val="20"/>
    </w:rPr>
  </w:style>
  <w:style w:type="paragraph" w:styleId="7">
    <w:name w:val="Body Text"/>
    <w:basedOn w:val="1"/>
    <w:qFormat/>
    <w:uiPriority w:val="0"/>
    <w:pPr>
      <w:widowControl/>
      <w:spacing w:before="0" w:after="0" w:line="480" w:lineRule="auto"/>
      <w:ind w:firstLine="480"/>
      <w:jc w:val="both"/>
    </w:pPr>
    <w:rPr>
      <w:sz w:val="24"/>
      <w:szCs w:val="24"/>
    </w:rPr>
  </w:style>
  <w:style w:type="paragraph" w:customStyle="1" w:styleId="10">
    <w:name w:val="Note"/>
    <w:basedOn w:val="1"/>
    <w:uiPriority w:val="0"/>
    <w:pPr>
      <w:spacing w:after="0" w:line="480" w:lineRule="auto"/>
    </w:pPr>
    <w:rPr>
      <w:i/>
      <w:sz w:val="24"/>
      <w:szCs w:val="24"/>
    </w:rPr>
  </w:style>
  <w:style w:type="paragraph" w:customStyle="1" w:styleId="11">
    <w:name w:val="Keywords"/>
    <w:basedOn w:val="1"/>
    <w:uiPriority w:val="0"/>
    <w:pPr>
      <w:spacing w:after="120" w:line="480" w:lineRule="auto"/>
    </w:pPr>
    <w:rPr>
      <w:sz w:val="24"/>
      <w:szCs w:val="24"/>
    </w:rPr>
  </w:style>
  <w:style w:type="paragraph" w:customStyle="1" w:styleId="12">
    <w:name w:val="Figure"/>
    <w:basedOn w:val="1"/>
    <w:uiPriority w:val="0"/>
  </w:style>
  <w:style w:type="paragraph" w:customStyle="1" w:styleId="13">
    <w:name w:val="Reference"/>
    <w:basedOn w:val="1"/>
    <w:uiPriority w:val="0"/>
    <w:pPr>
      <w:spacing w:after="0" w:line="480" w:lineRule="auto"/>
      <w:jc w:val="left"/>
    </w:pPr>
    <w:rPr>
      <w:sz w:val="24"/>
      <w:szCs w:val="24"/>
    </w:rPr>
  </w:style>
  <w:style w:type="paragraph" w:styleId="14">
    <w:name w:val="List Paragraph"/>
    <w:basedOn w:val="1"/>
    <w:uiPriority w:val="0"/>
    <w:pPr>
      <w:spacing w:after="0" w:line="480" w:lineRule="auto"/>
    </w:pPr>
  </w:style>
  <w:style w:type="paragraph" w:customStyle="1" w:styleId="15">
    <w:name w:val="Table Text"/>
    <w:basedOn w:val="1"/>
    <w:uiPriority w:val="0"/>
    <w:pPr>
      <w:spacing w:before="0" w:after="0" w:line="240" w:lineRule="auto"/>
      <w:jc w:val="left"/>
    </w:pPr>
    <w:rPr>
      <w:sz w:val="20"/>
      <w:szCs w:val="20"/>
    </w:rPr>
  </w:style>
  <w:style w:type="table" w:customStyle="1" w:styleId="16">
    <w:name w:val="Three-Line Table"/>
    <w:uiPriority w:val="0"/>
    <w:tblPr>
      <w:tblBorders>
        <w:top w:val="single" w:color="000000" w:sz="12" w:space="0"/>
        <w:bottom w:val="single" w:color="000000" w:sz="12"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TotalTime>65</TotalTime>
  <ScaleCrop>false</ScaleCrop>
  <LinksUpToDate>false</LinksUpToDate>
  <Application>WPS Office_11.8.2.12344_F1E327BC-269C-435d-A152-05C5408002CA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2026-08-23T00:00:00Z</dcterms:created>
  <dc:creator>文少</dc:creator>
  <cp:lastModifiedBy>文少</cp:lastModifiedBy>
  <dcterms:modified xsi:type="dcterms:W3CDTF">2026-10-12T02:33:18Z</dcterms:modified>
  <dc:title>English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2052-11.8.2.12344</vt:lpwstr>
  </property>
  <property fmtid="{D5CDD505-2E9C-101B-9397-08002B2CF9AE}" pid="3" name="ICV">
    <vt:lpwstr>AE36664B6B234EB398182BE9DDE2C391</vt:lpwstr>
  </property>
</Properties>
</file>