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scored with UniDL4BioPep, docked as twelve 7–9-residue peptides into human acetylcholinesterase (AChE), and followed by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and also accelerates Aβ assembly. Inestrosa et al. showed that the enzyme speeds fibril growth through the PAS and that AChE–Aβ particles are more toxic than free peptide </w:t>
      </w:r>
      <w:r>
        <w:t>[4]</w:t>
      </w:r>
      <w:r>
        <w:t xml:space="preserve">. A short hydrophobic PAS motif is sufficient for that chaperone effect </w:t>
      </w:r>
      <w:r>
        <w:t>[5]</w:t>
      </w:r>
      <w:r>
        <w:t xml:space="preserve">. PAS-directed ligands suppress AChE-induced aggregation in biochemical assays </w:t>
      </w:r>
      <w:r>
        <w:t>[6]</w:t>
      </w:r>
      <w:r>
        <w:t xml:space="preserve">. Reviews of AChE in AD place the same peripheral site in cross-talk with Aβ and phospho-tau, and plaque-associated AChE remains sensitive to PAS blockade </w:t>
      </w:r>
      <w:r>
        <w:t>[38–39]</w:t>
      </w:r>
      <w:r>
        <w:t xml:space="preserve">. Those experiments identify the PAS as a structural hinge between cholinergic failure and amyloid deposition </w:t>
      </w:r>
      <w:r>
        <w:t>[2–3]</w:t>
      </w:r>
      <w:r>
        <w:t>. The present docking and 100-ns trajectories test whether periodontitis-derived micropeptides can occupy that site.</w:t>
      </w:r>
    </w:p>
    <w:p>
      <w:pPr>
        <w:pStyle w:val="BodyText"/>
      </w:pPr>
      <w:r>
        <w:t xml:space="preserve">An oral exposure path is already documented at the organism and protease level. Poole et al. detected periodontopathic virulence factors in short-term postmortem AD brain </w:t>
      </w:r>
      <w:r>
        <w:t>[40]</w:t>
      </w:r>
      <w:r>
        <w:t xml:space="preserve">. Dominy et al. reported </w:t>
      </w:r>
      <w:r>
        <w:rPr>
          <w:i/>
        </w:rPr>
        <w:t>P. gingivalis</w:t>
      </w:r>
      <w:r>
        <w:t xml:space="preserve"> and gingipains in AD brains and showed that oral infection in mice raises brain Aβ1–42 </w:t>
      </w:r>
      <w:r>
        <w:t>[14]</w:t>
      </w:r>
      <w:r>
        <w:t xml:space="preserve">. Haditsch et al. found AD-like neurodegeneration in </w:t>
      </w:r>
      <w:r>
        <w:rPr>
          <w:i/>
        </w:rPr>
        <w:t>P. gingivalis</w:t>
      </w:r>
      <w:r>
        <w:t xml:space="preserve">-infected neurons that keep active gingipains </w:t>
      </w:r>
      <w:r>
        <w:t>[41]</w:t>
      </w:r>
      <w:r>
        <w:t xml:space="preserve">. Ilievski et al. produced neuroinflammation and Aβ-related changes after repeated oral application of a periodontal pathogen in wild-type mice </w:t>
      </w:r>
      <w:r>
        <w:t>[15]</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They do not assign the twelve peptides to </w:t>
      </w:r>
      <w:r>
        <w:rPr>
          <w:i/>
        </w:rPr>
        <w:t>P. gingivalis</w:t>
      </w:r>
      <w:r>
        <w:t xml:space="preserve"> or prove transcytosis </w:t>
      </w:r>
      <w:r>
        <w:t>[7–8,25]</w:t>
      </w:r>
      <w:r>
        <w:t>.</w:t>
      </w:r>
    </w:p>
    <w:p>
      <w:pPr>
        <w:pStyle w:val="BodyText"/>
      </w:pPr>
      <w:r>
        <w:t xml:space="preserve">Deep-learning peptide mining supplies the filter stack used here. Torres et al. scored millions of translated microbiome open reading frames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w:t>
      </w:r>
      <w:r>
        <w:t>[31–33]</w:t>
      </w:r>
      <w:r>
        <w:t xml:space="preserve">. Catalogue matches to HOMD, eHOMD and salivary metaproteomes support prior observation of a string, as in other oral peptide studies </w:t>
      </w:r>
      <w:r>
        <w:t>[16,26–30]</w:t>
      </w:r>
      <w:r>
        <w:t>. Serial scores remain triage.</w:t>
      </w:r>
    </w:p>
    <w:p>
      <w:pPr>
        <w:pStyle w:val="BodyText"/>
      </w:pPr>
      <w:r>
        <w:t xml:space="preserve">Human AChE (PDB 4EY6) gives an experimental frame for the gorge and PAS </w:t>
      </w:r>
      <w:r>
        <w:t>[22]</w:t>
      </w:r>
      <w:r>
        <w:t xml:space="preserve">, following the aromatic-gorge map on </w:t>
      </w:r>
      <w:r>
        <w:rPr>
          <w:i/>
        </w:rPr>
        <w:t>Torpedo</w:t>
      </w:r>
      <w:r>
        <w:t xml:space="preserve"> AChE </w:t>
      </w:r>
      <w:r>
        <w:t>[23]</w:t>
      </w:r>
      <w:r>
        <w:t xml:space="preserve">. AutoDock Vina is a first-pass ranking engine </w:t>
      </w:r>
      <w:r>
        <w:t>[34–35]</w:t>
      </w:r>
      <w:r>
        <w:t xml:space="preserve">. Best poses of FLLHTTR, YLSLLQR and LLHPLRL contact the PAS residues that Inestrosa and De Ferrari implicated in Aβ assembly. HLLTLKKHV reaches Phe346 in the 344–361 zone where Atanasova et al. kept Aβ for 1 μs </w:t>
      </w:r>
      <w:r>
        <w:t>[21]</w:t>
      </w:r>
      <w:r>
        <w:t>. That geometry is the PAS Inestrosa identified as pro-fibrillar.</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The same occupancy pattern appears here on a 100-ns window. FLLHTTR and YLSLLQR stay more compact than apo AChE; FLLHTTR holds a dense hydrogen-bond net (7.03 ± 1.28); YLSLLQR is the only complex that buries solvent-accessible surface. Lower complex RMSD than apo has been read as local rigidity after binding. That reading matches Lushchekina’s surface-bound, non-dissociating complex.</w:t>
      </w:r>
    </w:p>
    <w:p>
      <w:pPr>
        <w:pStyle w:val="BodyText"/>
      </w:pPr>
      <w:r>
        <w:t xml:space="preserve">Four linked steps then follow from the cited PAS literature. First, PAS recognition: occupancy of Asp74, Tyr72, Trp286 and Tyr341 places a heterologous peptide at the gorge mouth that feeds the catalytic triad </w:t>
      </w:r>
      <w:r>
        <w:t>[3,22]</w:t>
      </w:r>
      <w:r>
        <w:t xml:space="preserve">. Second, a lasting enzyme–peptide complex: intermolecular hydrogen bonds persist, as in the AChE–Aβ trajectories of Lushchekina and Atanasova. Third, restricted acetylcholine access: physical blockage at the 20-Å gorge entrance can hinder substrate even while the catalytic core remains folded. Fourth, pathological chaperone activity: because the PAS is a documented pro-fibrillar site </w:t>
      </w:r>
      <w:r>
        <w:t>[4–5,39]</w:t>
      </w:r>
      <w:r>
        <w:t>, a peptide that remains there can lower the nucleation barrier for endogenous Aβ. Folded AChE would then present a peptide-coated PAS on which Aβ oligomers can co-assemble.</w:t>
      </w:r>
    </w:p>
    <w:p>
      <w:pPr>
        <w:pStyle w:val="BodyText"/>
      </w:pPr>
      <w:r>
        <w:t xml:space="preserve">PAS pharmacology in AChE has mostly been small molecules. Bartolini’s PAS ligands reduced AChE-induced aggregation without requiring catalytic-site occupancy </w:t>
      </w:r>
      <w:r>
        <w:t>[6]</w:t>
      </w:r>
      <w:r>
        <w:t xml:space="preserve">. García-Ayllón and Carvajal treat plaque-associated AChE as a therapeutic handle </w:t>
      </w:r>
      <w:r>
        <w:t>[38–39]</w:t>
      </w:r>
      <w:r>
        <w:t>. Short cationic peptides occupy a larger surface than those ligands; the present poses therefore test whether an oral heptapeptide can sit on the same aromatic cluster.</w:t>
      </w:r>
    </w:p>
    <w:p>
      <w:pPr>
        <w:pStyle w:val="BodyText"/>
      </w:pPr>
      <w:r>
        <w:t>The literature examples above support a bounded structural hypothesis: short, cationic, leucine-rich oral micropeptides predicted from PRJNA678453 MAGs can occupy the experimentally mapped Aβ-binding PAS and remain there on a 100-ns timescale. They do not replace a binding assay or an Aβ-aggregation experiment.</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39.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40.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41.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