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eastAsia="黑体"/>
          <w:b/>
          <w:sz w:val="32"/>
        </w:rPr>
        <w:t>乙酰胆碱酯酶-β-淀粉样肽复合物的分子动力学模拟</w:t>
      </w:r>
    </w:p>
    <w:p/>
    <w:p>
      <w:pPr>
        <w:spacing w:line="360" w:lineRule="auto"/>
        <w:jc w:val="center"/>
      </w:pPr>
      <w:r>
        <w:rPr>
          <w:rFonts w:ascii="Times New Roman" w:hAnsi="Times New Roman" w:eastAsia="宋体"/>
          <w:b w:val="0"/>
          <w:sz w:val="22"/>
        </w:rPr>
        <w:t>Mariana Atanasova¹, Ivan Dimitrov¹, Stefan Ivanov¹,²</w:t>
      </w:r>
    </w:p>
    <w:p>
      <w:pPr>
        <w:spacing w:line="360" w:lineRule="auto"/>
        <w:jc w:val="center"/>
      </w:pPr>
      <w:r>
        <w:rPr>
          <w:rFonts w:ascii="Times New Roman" w:hAnsi="Times New Roman" w:eastAsia="宋体"/>
          <w:b w:val="0"/>
          <w:sz w:val="20"/>
        </w:rPr>
        <w:t>¹ 索非亚医科大学药学院，保加利亚 索非亚</w:t>
      </w:r>
    </w:p>
    <w:p>
      <w:pPr>
        <w:spacing w:line="360" w:lineRule="auto"/>
        <w:jc w:val="center"/>
      </w:pPr>
      <w:r>
        <w:rPr>
          <w:rFonts w:ascii="Times New Roman" w:hAnsi="Times New Roman" w:eastAsia="宋体"/>
          <w:b w:val="0"/>
          <w:sz w:val="20"/>
        </w:rPr>
        <w:t>² 生物科学与生物技术研究所，马里兰大学，美国 马里兰州 罗克维尔 20850</w:t>
      </w:r>
    </w:p>
    <w:p/>
    <w:p>
      <w:pPr>
        <w:spacing w:line="360" w:lineRule="auto"/>
      </w:pPr>
      <w:r>
        <w:rPr>
          <w:rFonts w:ascii="Times New Roman" w:hAnsi="Times New Roman" w:eastAsia="宋体"/>
          <w:b w:val="0"/>
          <w:sz w:val="20"/>
        </w:rPr>
        <w:t>E-mails: matanasova@pharmfac.mu-sofia.bg, idimitrov@pharmfac.mu-sofia.bg, sivanov@ddg-pharmfac.net</w:t>
      </w:r>
    </w:p>
    <w:p>
      <w:pPr>
        <w:spacing w:line="360" w:lineRule="auto"/>
      </w:pPr>
      <w:r>
        <w:rPr>
          <w:rFonts w:ascii="Times New Roman" w:hAnsi="Times New Roman" w:eastAsia="宋体"/>
          <w:b w:val="0"/>
        </w:rPr>
        <w:t>摘要： 阿尔茨海默病（Alzheimer’s Disease, AD）是一种后果严重且致死性高的神经退行性疾病。该病的病理标志之一是形成不可溶的细胞间β-淀粉样蛋白（Aβ）斑块。乙酰胆碱酯酶（Acetylcholinesterase, AChE）能够促进并加速有毒性Aβ原纤维的聚集，使其逐渐转化为斑块。外周阴离子位点（Peripheral Anionic Site, PAS）是AChE结合峡部的一部分，是参与Aβ聚集的成核中心之一。在本研究中，将Aβ肽对接至PAS，并通过1 μs（1000 ns）的分子动力学模拟研究了所形成复合物的稳定性。模拟过程中复合物保持稳定。除PAS之外，Aβ肽还与AChE形成了若干额外接触。Aβ在AChE表面的主要驻留区域为344-361区段。该区域毗邻PAS，但距离足够远，不会被双位点结合的AChE抑制剂产生空间位阻。</w:t>
      </w:r>
    </w:p>
    <w:p>
      <w:pPr>
        <w:spacing w:line="360" w:lineRule="auto"/>
      </w:pPr>
      <w:r>
        <w:rPr>
          <w:rFonts w:ascii="Times New Roman" w:hAnsi="Times New Roman" w:eastAsia="宋体"/>
          <w:b w:val="0"/>
        </w:rPr>
        <w:t>关键词： 阿尔茨海默病；β-淀粉样蛋白（Aβ）；乙酰胆碱酯酶（AChE）；外周阴离子位点（PAS）；Aβ聚集；老年斑；淀粉样纤维；神经退行性疾病；分子动力学。</w:t>
      </w:r>
    </w:p>
    <w:p>
      <w:pPr>
        <w:pStyle w:val="Heading1"/>
      </w:pPr>
      <w:r>
        <w:rPr>
          <w:rFonts w:ascii="Times New Roman" w:hAnsi="Times New Roman" w:eastAsia="黑体"/>
          <w:b/>
        </w:rPr>
        <w:t>1. 引言</w:t>
      </w:r>
    </w:p>
    <w:p>
      <w:pPr>
        <w:spacing w:line="360" w:lineRule="auto"/>
      </w:pPr>
      <w:r>
        <w:rPr>
          <w:rFonts w:ascii="Times New Roman" w:hAnsi="Times New Roman" w:eastAsia="宋体"/>
          <w:b w:val="0"/>
        </w:rPr>
        <w:t>淀粉样变性蛋白是一类会发生构象变化从而导致淀粉样纤维形成并引发疾病的蛋白质[1]。已知的此类蛋白包括老年系统性淀粉样变性和家族性淀粉样多发性神经病变I型中的转甲状腺素蛋白、海绵状脑病中的朊病毒、II型糖尿病中的胰岛淀粉样多肽以及阿尔茨海默病（AD）中的β-淀粉样（Aβ）肽[1]。许多神经退行性疾病的共同特征是淀粉样变性，即异常蛋白聚集形成不溶性细胞外纤维[2]。AD是影响数千万老年人的最广泛流行的痴呆症，是一种进行性和不可逆性疾病[3]。其特征为渐进性记忆丧失和认知功能障碍。AD的两种形式——由某些特定基因突变引起的家族性，以及占绝大多数、病因不明且散发出现的非家族性[4]——具有共同的神经病理学特征。这些特征包括由β-淀粉样肽和其他蛋白沉积形成的细胞外老年斑（Senile Plaques, SPs）以及脑内异常磷酸化tau蛋白形成的细胞内神经原纤维缠结[5]。SPs的主要蛋白是Aβ肽，它在细胞内由β-和γ-分泌酶在淀粉样前体蛋白（Amyloid Precursor Protein, APP）内依次蛋白水解产生[6-8]。由于γ-分泌酶作用的差异，衍生出多种不同长度的Aβ异构体[9, 10]。其中，长度为1-39、1-40、1-41、1-42及1-43的肽已被鉴定为淀粉样沉积物的主要成分[11]。淀粉样变性过程伴随着Aβ肽二级结构的活跃变化，即无致病性的可溶性α-螺旋构象转变为能够组装成不溶性淀粉样纤维的β-折叠结构[11-14]。这些构象状态由肽单体本身、寡聚体密度以及导致淀粉样变性的事件序列所维持[15]。目前认为纤维化是一个成核依赖性过程，在某种程度上类似于结晶，可被不同的物理化学因素改变，并可因“种子”的存在而被促进[11, 12]。在已报道的与老年斑相关的几种大分子中，如载脂蛋白E、α1-抗胰凝乳蛋白酶、α2-巨球蛋白、结合珠蛋白、层粘连蛋白、补体因子、簇集蛋白、多配体聚糖和乙酰胆碱酯酶（AChE）[16-22]，载脂蛋白E、α1-抗胰凝乳蛋白酶和AChE被鉴定为“Aβ病理性伴侣分子”，因为它们具有促进淀粉样变性的能力[17, 19, 23, 24]。</w:t>
      </w:r>
    </w:p>
    <w:p>
      <w:pPr>
        <w:spacing w:line="360" w:lineRule="auto"/>
      </w:pPr>
      <w:r>
        <w:rPr>
          <w:rFonts w:ascii="Times New Roman" w:hAnsi="Times New Roman" w:eastAsia="宋体"/>
          <w:b w:val="0"/>
        </w:rPr>
        <w:t>AChE（EC 3.1.1.7）因其双重功能——经典的催化或胆碱能功能以及在中枢和周围神经系统中表现出的非胆碱能功能——而备受关注[25-27]。其催化功能与神经递质乙酰胆碱（Acetylcholine, ACh）的快速水解有关，将其分解为胆碱和乙酸，从而终止胆碱能传递[28]。目前，AD的对症治疗基于该酶的胆碱能活性。通过对AChE进行可控性抑制，提高通常在AD患者中耗竭的乙酰胆碱水平，从而改善胆碱能突触传递，导致认知功能改善。与该酶在AD发生发展中可能作用相关的非胆碱能表现引起了大量研究兴趣[18, 29]。AChE已在淀粉样变性前的弥漫性沉积物、成熟的SPs和脑血管中被发现[12, 30]。如上所述，AChE在淀粉样形成过程中充当“伴侣分子”，促进Aβ的组装并增强Aβ的缔合、沉积和纤维形成[23, 24, 31, 32]。此外，研究发现AChE-Aβ复合物比单独聚集的Aβ具有更强的毒性[33]。外周阴离子位点（PAS）由芳香族氨基酸组成，位于AChE结合峡部的入口，已被确认为结合淀粉样β肽的结构基序[32]。这一发现促使了许多双位点结合AChE抑制剂的开发——即同时结合酶活性位点和PAS的配体[34]。一项关于Aβ与AChE的分子对接研究揭示了该酶的几个潜在结合区域，包括PAS[35]。另一个N端AChE7-20基序也被发现参与Aβ的聚集和沉积[36, 37]。最近，为了研究该酶的整个表面及聚集机制，对由人源AChE和10个Aβ肽组成的体系进行了200 ns的最先进的加速分子动力学（MD）模拟[38]。证实了AChE能够吸引Aβ并形成稳定复合物。已鉴定出AChE表面的15个接触位点，包括先前描述的N端区域和PAS。</w:t>
      </w:r>
    </w:p>
    <w:p>
      <w:pPr>
        <w:spacing w:line="360" w:lineRule="auto"/>
      </w:pPr>
      <w:r>
        <w:rPr>
          <w:rFonts w:ascii="Times New Roman" w:hAnsi="Times New Roman" w:eastAsia="宋体"/>
          <w:b w:val="0"/>
        </w:rPr>
        <w:t>在本研究中，我们通过经典的全原子分子动力学模拟，对单个对接在AChE的PAS上的Aβ肽复合物的稳定性进行了1 μs（1000 ns）的研究，并鉴定了Aβ在AChE表面的主要驻留区域。</w:t>
      </w:r>
    </w:p>
    <w:p>
      <w:pPr>
        <w:pStyle w:val="Heading1"/>
      </w:pPr>
      <w:r>
        <w:rPr>
          <w:rFonts w:ascii="Times New Roman" w:hAnsi="Times New Roman" w:eastAsia="黑体"/>
          <w:b/>
        </w:rPr>
        <w:t>2. 研究方法</w:t>
      </w:r>
    </w:p>
    <w:p>
      <w:pPr>
        <w:pStyle w:val="Heading2"/>
      </w:pPr>
      <w:r>
        <w:rPr>
          <w:rFonts w:ascii="Times New Roman" w:hAnsi="Times New Roman" w:eastAsia="黑体"/>
          <w:b/>
        </w:rPr>
        <w:t>2.1. 分子对接</w:t>
      </w:r>
    </w:p>
    <w:p>
      <w:pPr>
        <w:spacing w:line="360" w:lineRule="auto"/>
      </w:pPr>
      <w:r>
        <w:rPr>
          <w:rFonts w:ascii="Times New Roman" w:hAnsi="Times New Roman" w:eastAsia="宋体"/>
          <w:b w:val="0"/>
        </w:rPr>
        <w:t>采用人重组AChE的晶体结构（rhAChE，PDB ID：4ey6，分辨率R = 2.40 Å）[39]和Aβ肽的NMR结构（PDB ID：1aml）[40]作为分子对接研究的输入结构。从AChE的结合位点中移除了加兰他敏分子以及所有水分子。分子对接在RosettaDock在线服务器上进行[41]。将Aβ肽随机放置在AChE的PAS附近。</w:t>
      </w:r>
    </w:p>
    <w:p>
      <w:pPr>
        <w:pStyle w:val="Heading2"/>
      </w:pPr>
      <w:r>
        <w:rPr>
          <w:rFonts w:ascii="Times New Roman" w:hAnsi="Times New Roman" w:eastAsia="黑体"/>
          <w:b/>
        </w:rPr>
        <w:t>2.2. 体系构建</w:t>
      </w:r>
    </w:p>
    <w:p>
      <w:pPr>
        <w:spacing w:line="360" w:lineRule="auto"/>
      </w:pPr>
      <w:r>
        <w:rPr>
          <w:rFonts w:ascii="Times New Roman" w:hAnsi="Times New Roman" w:eastAsia="宋体"/>
          <w:b w:val="0"/>
        </w:rPr>
        <w:t>将对接结果中得分最高的AChE与Aβ形成的复合物用于MD模拟。对蛋白链的每一端以及断裂部分的两端（残基259、262、492和495）进行了封端处理。对体系进行质子化，并在截角八面体盒子中使用TIP3P水模型进行溶剂化[42]。通过加入NaCl提供生理盐浓度并确保体系呈电中性。最终体系包含超过76,000个原子。</w:t>
      </w:r>
    </w:p>
    <w:p>
      <w:pPr>
        <w:pStyle w:val="Heading2"/>
      </w:pPr>
      <w:r>
        <w:rPr>
          <w:rFonts w:ascii="Times New Roman" w:hAnsi="Times New Roman" w:eastAsia="黑体"/>
          <w:b/>
        </w:rPr>
        <w:t>2.3. 分子动力学模拟</w:t>
      </w:r>
    </w:p>
    <w:p>
      <w:pPr>
        <w:spacing w:line="360" w:lineRule="auto"/>
      </w:pPr>
      <w:r>
        <w:rPr>
          <w:rFonts w:ascii="Times New Roman" w:hAnsi="Times New Roman" w:eastAsia="宋体"/>
          <w:b w:val="0"/>
        </w:rPr>
        <w:t>首先，对溶剂化体系进行2000步能量最小化，对蛋白和肽的重原子施加3 kcal/mol·Å²的谐波约束。随后，在施加相同约束的条件下，将体系在1 ns内从0 K加热至300 K，继而在约束下进行1 ns的恒压密度平衡。然后，在无任何约束条件下对体系进行1 ns的平衡。平衡后的体系在恒定温度（300 K）和压力（1 bar）下进行1000 ns的产物动力学模拟，分别采用Langevin控温器[43]和Berendsen控压棒[44]控制。体系模拟采用ff14SB力场[45]，并应用周期性边界条件。范德华相互作用和静电相互作用的截断值均为12.0 Å；超出真实空间截断的长程静电相互作用采用粒子网格Ewald（Particle-Mesh Ewald, PME）方法进行评估[46]。</w:t>
        <w:br/>
        <w:br/>
        <w:t>在加热、密度平衡、预平衡和产物动力学过程中，使用SHAKE算法[47]约束与氢原子相连的共价键，从而允许2 fs的时间步长；仅在能量最小化过程中不对与氢相连的键进行约束。在产物动力学过程中，每0.2 ns保存一帧，共计每条轨迹5000帧，用于后续分析。轨迹分析采用cpptraj V4.14.0进行[48]。使用Gromacs的rdf工具生成肽周围的径向分布函数（Radial Distribution Functions, RDFs）。</w:t>
      </w:r>
    </w:p>
    <w:p>
      <w:pPr>
        <w:pStyle w:val="Heading1"/>
      </w:pPr>
      <w:r>
        <w:rPr>
          <w:rFonts w:ascii="Times New Roman" w:hAnsi="Times New Roman" w:eastAsia="黑体"/>
          <w:b/>
        </w:rPr>
        <w:t>3. 结果与讨论</w:t>
      </w:r>
    </w:p>
    <w:p>
      <w:pPr>
        <w:spacing w:line="360" w:lineRule="auto"/>
      </w:pPr>
      <w:r>
        <w:rPr>
          <w:rFonts w:ascii="Times New Roman" w:hAnsi="Times New Roman" w:eastAsia="宋体"/>
          <w:b w:val="0"/>
        </w:rPr>
        <w:t>由RosettaDock预测的AChE-Aβ复合物的最佳打分构象如图1A（附录）所示。肽位于AChE结合峡部的边缘，其N端通过Aβ的Phe4与PAS的Trp286之间的π-π堆积结合在PAS中。该模型被用作1000 ns分子动力学模拟的起始结构，采用方法部分所述的方案。Phe4与Trp286之间的π-π堆积在预平衡阶段丢失，但Aβ的C端在最初的100 ns内仍结合在PAS上。在88.6 ns的快照中，两个分子之间形成了四个氢键（图1B，附录）。它们分别位于Asp1与Tyr341、Asp23与Ser355、Gly25与Arg364以及Ser26与Arg364之间。Phe4与His287之间发生π-π堆积。Val39与Ala357之间形成疏水相互作用。随后，C端从PAS逃逸（图1C，附录）。在418.8 ns的快照中，肽在Asp1与Glu351、Asp1与Leu353、Glu3与Asn350、Glu22与Ser355以及Ser26与Arg364之间形成五个氢键。Phe4与Val365之间发生一个疏水相互作用。肽在AChE表面的该区域占据约350 ns，随后再次移动至PAS附近（图1D，附录）。在525.8 ns的复合物中，形成了六个氢键：分别位于Asp1与Glu351、Glu3与Asn350、His14与Phe346、Glu15与Ser347、Glu15与Asp349以及Gly9与Gly345之间。His14与Gly345之间还有一个疏水接触。肽占据该区域直至模拟结束，并频繁向PAS移动，在702 ns至963 ns之间占据PAS（图1E，附录）。在711.4 ns的快照中，Aβ与AChE之间形成了七个氢键。它们分别位于Asp1与Glu351、Asp1与Leu353、Ala2与Glu358、Glu3与Asn350、His14与Phe346、Gln15与Ser347以及Gln15与Asp349之间。Phe4与Ala361之间出现一个疏水接触。</w:t>
      </w:r>
    </w:p>
    <w:p>
      <w:pPr>
        <w:pStyle w:val="Heading2"/>
      </w:pPr>
      <w:r>
        <w:rPr>
          <w:rFonts w:ascii="Times New Roman" w:hAnsi="Times New Roman" w:eastAsia="黑体"/>
          <w:b/>
        </w:rPr>
        <w:t>3.1. 复合物稳定性</w:t>
      </w:r>
    </w:p>
    <w:p>
      <w:pPr>
        <w:spacing w:line="360" w:lineRule="auto"/>
      </w:pPr>
      <w:r>
        <w:rPr>
          <w:rFonts w:ascii="Times New Roman" w:hAnsi="Times New Roman" w:eastAsia="宋体"/>
          <w:b w:val="0"/>
        </w:rPr>
        <w:t>复合物以及两个单体分子骨架C原子（bb）均方根偏差（RMSD）随时间的平均值如图1所示。最初，复合物在100 ns和300 ns处经历两次构象转变，并在约550 ns后趋于稳定。第一次转变发生在约100 ns处，bb RMSD变化较小（~1 Å）（图1A）。第二次转变始于约400 ns，bb RMSD变化较大（~2.5 Å）。</w:t>
      </w:r>
    </w:p>
    <w:p>
      <w:pPr>
        <w:spacing w:line="360" w:lineRule="auto"/>
      </w:pPr>
      <w:r>
        <w:rPr>
          <w:rFonts w:ascii="Times New Roman" w:hAnsi="Times New Roman" w:eastAsia="宋体"/>
          <w:b w:val="0"/>
        </w:rPr>
        <w:t>AChE的结构在MD模拟过程中保持稳定。平均bb RMSD变化在2 Å以下（图1C）。毫不意外的是，小肽分子在移动以最佳适应AChE表面时，bb RMSD变化最大（图1E）。</w:t>
      </w:r>
    </w:p>
    <w:p>
      <w:pPr>
        <w:spacing w:line="360" w:lineRule="auto"/>
      </w:pPr>
      <w:r>
        <w:rPr>
          <w:rFonts w:ascii="Times New Roman" w:hAnsi="Times New Roman" w:eastAsia="宋体"/>
          <w:b w:val="0"/>
        </w:rPr>
        <w:t>AChE的骨架均方根涨落（bb RMSF）表明该酶在大多数时间内相当稳定（图1）。涨落最大的残基属于373至384位置之间的无序区域、255和486位置附近的封端链断裂处以及C端（图1B和D）。相比之下，Aβ的所有残基均高度涨落，RMSF值在4-14 Å范围内（图1F）。其中，N端最为刚性——RMSF高达6 Å。</w:t>
      </w:r>
    </w:p>
    <w:p>
      <w:pPr>
        <w:spacing w:line="360" w:lineRule="auto"/>
      </w:pPr>
      <w:r>
        <w:rPr>
          <w:rFonts w:ascii="Times New Roman" w:hAnsi="Times New Roman" w:eastAsia="宋体"/>
          <w:b w:val="0"/>
        </w:rPr>
        <w:t>Aβ围绕AChE的径向分布函数（RDF）如图2A所示。RDF估算了在距另一分子给定距离处找到给定分子或基团的概率，而非在本体溶剂中找到的概率，此时其值为1。高于1的值表明给定分子在距另一分子给定距离处比在溶剂中更可能被找到。Aβ围绕AChE的RDF表明，Aβ在3 Å距离内围绕AChE存在的可能性高于在溶剂中。此外，为了证明该结果的可靠性，我们将产物动力学轨迹分成四等份，并分别估算每一份的RDF（图2B）。四条RDF曲线具有相同形状——Aβ存在于距AChE 3 Å距离范围内。</w:t>
      </w:r>
    </w:p>
    <w:p>
      <w:pPr>
        <w:spacing w:line="360" w:lineRule="auto"/>
      </w:pPr>
      <w:r>
        <w:rPr>
          <w:rFonts w:ascii="Times New Roman" w:hAnsi="Times New Roman" w:eastAsia="宋体"/>
          <w:b w:val="0"/>
          <w:sz w:val="18"/>
        </w:rPr>
        <w:t>图1. AChE与Aβ总体（A和B）、AChE（C和D）以及Aβ（E和F）的骨架C原子RMSD（左侧图）和RMSF（右侧图）</w:t>
      </w:r>
    </w:p>
    <w:p>
      <w:pPr>
        <w:spacing w:line="360" w:lineRule="auto"/>
      </w:pPr>
      <w:r>
        <w:rPr>
          <w:rFonts w:ascii="Times New Roman" w:hAnsi="Times New Roman" w:eastAsia="宋体"/>
          <w:b w:val="0"/>
          <w:sz w:val="18"/>
        </w:rPr>
        <w:t>图2. 整个MD模拟过程中（A）以及四个等时间区间内（B）Aβ围绕AChE的径向分布函数（RDF）。</w:t>
      </w:r>
    </w:p>
    <w:p>
      <w:pPr>
        <w:pStyle w:val="Heading2"/>
      </w:pPr>
      <w:r>
        <w:rPr>
          <w:rFonts w:ascii="Times New Roman" w:hAnsi="Times New Roman" w:eastAsia="黑体"/>
          <w:b/>
        </w:rPr>
        <w:t>3.2. 溶剂可及表面积与二级结构</w:t>
      </w:r>
    </w:p>
    <w:p>
      <w:pPr>
        <w:spacing w:line="360" w:lineRule="auto"/>
      </w:pPr>
      <w:r>
        <w:rPr>
          <w:rFonts w:ascii="Times New Roman" w:hAnsi="Times New Roman" w:eastAsia="宋体"/>
          <w:b w:val="0"/>
        </w:rPr>
        <w:t>采用Weise, Shenkin和Still的LCPO算法（线性成对重叠组合算法）[49]，每10帧计算一次Aβ-AChE复合物的溶剂可及表面积（Solvent-Accessible-Surface-Area, SASA），总计5000帧。每100 ns的平均值及SASA的收敛情况如图3所示。在最初的300 ns内SASA发生波动，随后呈下降趋势。SASA的降低对应于MD模拟结束时更为紧密的复合物。</w:t>
      </w:r>
    </w:p>
    <w:p>
      <w:pPr>
        <w:spacing w:line="360" w:lineRule="auto"/>
      </w:pPr>
      <w:r>
        <w:rPr>
          <w:rFonts w:ascii="Times New Roman" w:hAnsi="Times New Roman" w:eastAsia="宋体"/>
          <w:b w:val="0"/>
          <w:sz w:val="18"/>
        </w:rPr>
        <w:t>图3. SASA的平均值（A）及收敛性（B）随时间的函数</w:t>
      </w:r>
    </w:p>
    <w:p>
      <w:pPr>
        <w:spacing w:line="360" w:lineRule="auto"/>
      </w:pPr>
      <w:r>
        <w:rPr>
          <w:rFonts w:ascii="Times New Roman" w:hAnsi="Times New Roman" w:eastAsia="宋体"/>
          <w:b w:val="0"/>
        </w:rPr>
        <w:t>Aβ肽中二级结构倾向的演变表明，在最初的50 ns内β-转角是最常见的结构，随后螺旋倾向（包括3-10螺旋）占据主导直至750 ns，最后螺旋与β-转角趋于相等（图4）。弯曲（bend）倾向在模拟的前半段几乎恒定，在500至700 ns之间趋于下降，而在最后300 ns内略有上升。</w:t>
      </w:r>
    </w:p>
    <w:p>
      <w:pPr>
        <w:spacing w:line="360" w:lineRule="auto"/>
      </w:pPr>
      <w:r>
        <w:rPr>
          <w:rFonts w:ascii="Times New Roman" w:hAnsi="Times New Roman" w:eastAsia="宋体"/>
          <w:b w:val="0"/>
          <w:sz w:val="18"/>
        </w:rPr>
        <w:t>图4. 1 μs产物动力学过程中，每50 ns统计的Aβ肽的螺旋、β-转角和弯曲倾向</w:t>
      </w:r>
    </w:p>
    <w:p>
      <w:pPr>
        <w:pStyle w:val="Heading2"/>
      </w:pPr>
      <w:r>
        <w:rPr>
          <w:rFonts w:ascii="Times New Roman" w:hAnsi="Times New Roman" w:eastAsia="黑体"/>
          <w:b/>
        </w:rPr>
        <w:t>3.3. 非天然接触与AChE和Aβ之间的氢键</w:t>
      </w:r>
    </w:p>
    <w:p>
      <w:pPr>
        <w:spacing w:line="360" w:lineRule="auto"/>
      </w:pPr>
      <w:r>
        <w:rPr>
          <w:rFonts w:ascii="Times New Roman" w:hAnsi="Times New Roman" w:eastAsia="宋体"/>
          <w:b w:val="0"/>
        </w:rPr>
        <w:t>在Amber中，天然接触被定义为在给定参考结构或轨迹第一帧快照中能够找到的接触[50]。距离在7 Å以内的一对原子之间的所有其他接触被定义为非天然接触。Aβ残基与AChE的接触数在5000帧上的平均值如图5A所示。存在几个起锚定作用的Aβ残基。它们是N端的前四个残基（Asp1、Ala2、Glu3和Phe4）以及His14/Gln15这一对，每个残基与酶形成约100个及以上的接触。</w:t>
      </w:r>
    </w:p>
    <w:p>
      <w:pPr>
        <w:spacing w:line="360" w:lineRule="auto"/>
      </w:pPr>
      <w:r>
        <w:rPr>
          <w:rFonts w:ascii="Times New Roman" w:hAnsi="Times New Roman" w:eastAsia="宋体"/>
          <w:b w:val="0"/>
        </w:rPr>
        <w:t>与AChE形成最多接触数的Aβ残基是Asp1（133个接触）和Phe4（130个接触），其次是Glu3、His14、Gln15（超过100个接触）。Ala2和Glu11分别与AChE形成93和74个接触。残基Ser26、Arg5、Glu22、Lys28、Val18、Gly9、Asn27、Gly25、Tyr10、Asp23、Phe19、Asp7和His6形成10至50个接触。其余Aβ残基与酶形成少量或无接触。在产物阶段Aβ分子内形成的分子内接触数令人瞩目（图5B）。这些相互作用稳定了肽的二级结构。Aβ与AChE之间以及Aβ内部最频繁的非天然接触列于表1（附录）。最频繁的接触被定义为在1000 ns产物动力学过程中形成超过10次的接触。肽的前四个残基——Asp1、Ala2、Glu3和Phe4——与AChE的344至361残基形成接触，而His14和Gln15更倾向于结合Leu76、Trp77和344-349残基（图1，附录）。大多数AChE接触残基与已报道数据一致，因为它们属于酶表面上Aβ结合的位点之一[38]。此外，发现了新的接触残基，如Pro344、Asp349、Leu353、Ile534、Leu360、Ala361和Asp372，补充了已知接触（表1，附录）。另外，发现了一个新的与Aβ肽相互作用的AChE接触区域，由Leu76和Trp77组成。在Aβ分子内部，最活跃的是His6，与10个Aβ残基形成接触，其次是Ile31、Phe5和Met35。</w:t>
      </w:r>
    </w:p>
    <w:p>
      <w:pPr>
        <w:spacing w:line="360" w:lineRule="auto"/>
      </w:pPr>
      <w:r>
        <w:rPr>
          <w:rFonts w:ascii="Times New Roman" w:hAnsi="Times New Roman" w:eastAsia="宋体"/>
          <w:b w:val="0"/>
          <w:sz w:val="18"/>
        </w:rPr>
        <w:t>图5. 1000 ns产物动力学过程中统计的Aβ与AChE之间（A）以及Aβ内部（B）的非天然接触数。</w:t>
      </w:r>
    </w:p>
    <w:p>
      <w:pPr>
        <w:spacing w:line="360" w:lineRule="auto"/>
      </w:pPr>
      <w:r>
        <w:rPr>
          <w:rFonts w:ascii="Times New Roman" w:hAnsi="Times New Roman" w:eastAsia="宋体"/>
          <w:b w:val="0"/>
        </w:rPr>
        <w:t>在产物阶段，Aβ与AChE之间形成的氢键总数为164个，而Aβ内部的氢键数为57,383个。这种巨大差异（350倍）是由于Aβ基于多重氢键的稳定二级结构所致。</w:t>
      </w:r>
    </w:p>
    <w:p>
      <w:pPr>
        <w:pStyle w:val="Heading2"/>
      </w:pPr>
      <w:r>
        <w:rPr>
          <w:rFonts w:ascii="Times New Roman" w:hAnsi="Times New Roman" w:eastAsia="黑体"/>
          <w:b/>
        </w:rPr>
        <w:t>3.4. 水介导的桥连相互作用</w:t>
      </w:r>
    </w:p>
    <w:p>
      <w:pPr>
        <w:spacing w:line="360" w:lineRule="auto"/>
      </w:pPr>
      <w:r>
        <w:rPr>
          <w:rFonts w:ascii="Times New Roman" w:hAnsi="Times New Roman" w:eastAsia="宋体"/>
          <w:b w:val="0"/>
        </w:rPr>
        <w:t>桥连水分子是指在5000帧产物动力学中至少有一帧同时与Aβ和AChE结合的水分子。我们假设每个桥连是单一、连续的相互作用，且给定水分子可以形成多个桥连相互作用[51]。在1 μs MD模拟过程中，每个Aβ残基形成的桥连水分子数和桥连相互作用数如图6所示。氢键的距离截断值为3 Å，角度截断值为135°。显而易见，桥连数大于桥连分子数。轨迹处理显示有数千个水分子参与至少一个桥连相互作用。参与桥连相互作用最多的Aβ残基是Glu11、Glu3、Ala2、Asp1、Glu22、Ser26、Lys28、Arg5、Gln15和His14，其相互作用超过500次（表2，附录）。绝大多数桥连相互作用为短寿命，持续时间不超过0.2 ns。持续时间最长的相互作用由Gly25形成，分别为2.2、2.4和4.2 ns，占该残基总桥连相互作用的41%，其次是Phe19占33%、His14占27%和Glu3占22%。</w:t>
      </w:r>
    </w:p>
    <w:p>
      <w:pPr>
        <w:spacing w:line="360" w:lineRule="auto"/>
      </w:pPr>
      <w:r>
        <w:rPr>
          <w:rFonts w:ascii="Times New Roman" w:hAnsi="Times New Roman" w:eastAsia="宋体"/>
          <w:b w:val="0"/>
          <w:sz w:val="18"/>
        </w:rPr>
        <w:t>图6. 1000 ns产物动力学过程中Aβ与AChE之间形成的桥连数和桥连水分子数</w:t>
      </w:r>
    </w:p>
    <w:p>
      <w:pPr>
        <w:pStyle w:val="Heading1"/>
      </w:pPr>
      <w:r>
        <w:rPr>
          <w:rFonts w:ascii="Times New Roman" w:hAnsi="Times New Roman" w:eastAsia="黑体"/>
          <w:b/>
        </w:rPr>
        <w:t>4. 结论</w:t>
      </w:r>
    </w:p>
    <w:p>
      <w:pPr>
        <w:spacing w:line="360" w:lineRule="auto"/>
      </w:pPr>
      <w:r>
        <w:rPr>
          <w:rFonts w:ascii="Times New Roman" w:hAnsi="Times New Roman" w:eastAsia="宋体"/>
          <w:b w:val="0"/>
        </w:rPr>
        <w:t>本研究中对Aβ-AChE复合物进行的MD模拟表明，该复合物在1 μs模拟时间内保持稳定，并在两个分子之间呈现出几种不同的结合模式。Aβ围绕PAS移动并占据AChE表面的三个不同区域。结合通过氢键、π-π堆积和疏水相互作用实现。大多数氢键由桥连水分子介导。Aβ在AChE表面的主要驻留区域为344-361区域。该区域毗邻PAS，但距离足够远，不会被双位点结合的AChE抑制剂产生空间位阻。Aβ-AChE复合物的稳定性与实验中在淀粉样变性前沉积物和成熟老年斑中检测到的AChE分子高度一致。据我们所知，本研究描述并分析了迄今为止最长的Aβ-AChE复合物MD模拟。</w:t>
      </w:r>
    </w:p>
    <w:p/>
    <w:p>
      <w:pPr>
        <w:spacing w:line="360" w:lineRule="auto"/>
      </w:pPr>
      <w:r>
        <w:rPr>
          <w:rFonts w:ascii="Times New Roman" w:hAnsi="Times New Roman" w:eastAsia="宋体"/>
          <w:b/>
        </w:rPr>
        <w:t>附录：图1和表1-2（原文图表位置保留）</w:t>
      </w:r>
    </w:p>
    <w:p>
      <w:pPr>
        <w:spacing w:line="360" w:lineRule="auto"/>
      </w:pPr>
      <w:r>
        <w:rPr>
          <w:rFonts w:ascii="Times New Roman" w:hAnsi="Times New Roman" w:eastAsia="宋体"/>
          <w:b w:val="0"/>
          <w:sz w:val="18"/>
        </w:rPr>
        <w:t>图1A. RosettaDock预测的复合物最佳构象；图1B-E分别为88.6 ns、418.8 ns、525.8 ns和711.4 ns时的相互作用快照，显示氢键（虚线）、π-π堆积及疏水接触。</w:t>
      </w:r>
    </w:p>
    <w:p>
      <w:pPr>
        <w:spacing w:line="360" w:lineRule="auto"/>
      </w:pPr>
      <w:r>
        <w:rPr>
          <w:rFonts w:ascii="Times New Roman" w:hAnsi="Times New Roman" w:eastAsia="宋体"/>
          <w:b w:val="0"/>
          <w:sz w:val="18"/>
        </w:rPr>
        <w:t>表1. Aβ与AChE之间最频繁的非天然接触（&gt;10次）及Aβ内部接触统计。</w:t>
      </w:r>
    </w:p>
    <w:p>
      <w:pPr>
        <w:spacing w:line="360" w:lineRule="auto"/>
      </w:pPr>
      <w:r>
        <w:rPr>
          <w:rFonts w:ascii="Times New Roman" w:hAnsi="Times New Roman" w:eastAsia="宋体"/>
          <w:b w:val="0"/>
          <w:sz w:val="18"/>
        </w:rPr>
        <w:t>表2. Aβ各残基参与的水桥连相互作用统计及持续时间分布。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