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2"/>
        </w:rPr>
        <w:t>SCI论文“材料与方法”完整描述：乙酰胆碱酯酶–Aβ肽对接复合物</w:t>
        <w:br/>
        <w:t>100 ns 分子动力学模拟与多层次规范分析</w:t>
      </w:r>
    </w:p>
    <w:p>
      <w:pPr>
        <w:jc w:val="center"/>
      </w:pPr>
      <w:r>
        <w:rPr>
          <w:rFonts w:ascii="Arial" w:hAnsi="Arial"/>
          <w:i/>
          <w:color w:val="555555"/>
          <w:sz w:val="22"/>
        </w:rPr>
        <w:t>Materials and Methods: Molecular Dynamics Simulations and Multi-Level Trajectory Analyses of AChE-Aβ Complexes</w:t>
      </w:r>
    </w:p>
    <w:p/>
    <w:p>
      <w:pPr>
        <w:pStyle w:val="Heading1"/>
      </w:pPr>
      <w:r>
        <w:t>1. 起始体系准备与分子对接结构处理 (System Preparation and Docking Conformations)</w:t>
      </w:r>
    </w:p>
    <w:p>
      <w:pPr>
        <w:spacing w:line="300" w:lineRule="auto"/>
      </w:pPr>
      <w:r>
        <w:t>为了探究不同肽段（如 alllhrc、fllhttr、ylsllqr 7肽构象及参考 Aβ(1-42) 肽）与乙酰胆碱酯酶（Acetylcholinesterase, AChE）外周阴离子位点（Peripheral Anionic Site, PAS）的相互作用机制，所有起始复合物结构基于分子对接（如 RosettaDock）的最佳构象构建。在进行分子动力学（MD）模拟前，对于目标 AChE（参考晶体结构 PDB ID: 4ey6，分辨率 2.40 Å），检查并在需要时补齐未完整解析的局部残基片段；依据论文方法要求，对蛋白内部断裂部位（残基 259/262、492/495）以及链 N端 / C端执行必要的末端处理（如 -ter 标志交互分配乙酰化 ACE 封端或 N-甲基酰胺化 NME 封端，或按照默认生成标准带电末端 NH3+ / COO-）。所有结晶水分子及杂质分子被事先剥离以重建均一的 explicit 溶剂环境。</w:t>
      </w:r>
    </w:p>
    <w:p>
      <w:pPr>
        <w:pStyle w:val="Heading1"/>
      </w:pPr>
      <w:r>
        <w:t>2. 力场选择、三斜盒子构建与生理盐溶剂化 (Force Field, Triclinic Box &amp; Solvation)</w:t>
      </w:r>
    </w:p>
    <w:p>
      <w:pPr>
        <w:spacing w:line="300" w:lineRule="auto"/>
      </w:pPr>
      <w:r>
        <w:t>所有分子动力学模拟基于 GROMACS 2025 软件套件在等压等温（NPT）及等容等温（NVT）系综下完成。力场采用与 AMBER ff14SB 完全等价的标准推荐力场 amber99sb-ildn（或者可选手动导入的 amber14sb.ff 社区移植版）。为了最大限度地节约不必要的溶剂化体积与后续非键相互作用的运算耗时，同时严格保证周期性边界条件（PBC）下最小映射镜像距离大于 2.0 nm，采用三斜周期性盒子（Triclinic Periodic Box, gmx editconf -bt triclinic -d 1.0），设定溶质表面任一原子距离三斜盒边界的最小几何距离为 1.0 nm（-d 1.0）。与传统的截角八面体（Octahedral, d=1.2 nm）或立方盒相比，三斜盒子显著缩减了 ~35% 的冗余水分子体积。系统随后在三斜盒子中加入标准 TIP3P 显式水模型（spc216.gro），并通过 gmx genion 以 Joung-Cheatham 离子参数体系添加足量的对等离子与适量的 Na+ 和 Cl-，中和系统总电荷并确保体系中生理盐浓度达到 0.15 mol/L (0.15 M NaCl)。</w:t>
      </w:r>
    </w:p>
    <w:p>
      <w:pPr>
        <w:pStyle w:val="Heading1"/>
      </w:pPr>
      <w:r>
        <w:t>3. 能量最小化与多阶段约束平衡模拟 (EM and Multi-Stage Equilibration Protocol)</w:t>
      </w:r>
    </w:p>
    <w:p>
      <w:pPr>
        <w:spacing w:line="300" w:lineRule="auto"/>
      </w:pPr>
      <w:r>
        <w:t>在正式产物模拟开始前，对溶剂化中和体系执行严格的阶梯式弛豫与平衡步骤：</w:t>
        <w:br/>
        <w:t>（1）能量最小化（Energy Minimization, EM）：使用最速下降法（Steepest Descents, integrator=steep）在对所有蛋白质和肽的重原子施加位置约束（define = -DPOSRES，力常数 k = 3 kcal·mol-1·Å-2 = 1255 kJ·mol-1·nm-2）的前提下进行 2,000 步能量优化，或至最大原子受力 Fmax &lt; 1,000 kJ·mol-1·nm-1 为止，消除空间位阻冲突。</w:t>
        <w:br/>
        <w:t>（2）NVT 升温模拟（0 K 至 300 K，总时长 1.0 ns）：采用 GROMACS 原生模拟退火（Simulated Annealing，annealing = single single）实现 1.0 ns 内自极低温（10 K）至 300 K 的连续线性加温，严格按照文献要求在1 ns内升至300 K。升温阶段全程对所有重原子保留 1255 kJ·mol-1·nm-2 的位置约束，温度耦合器采用 Velocity-rescale（v-rescale，作为 Langevin 热浴在 Gromacs 中的等效算法），为“蛋白质+肽”（Protein）与“水和离子”（Water_and_ions）两个独立热浴组分别设置时间常数 τ_T = 1.0 ps。</w:t>
        <w:br/>
        <w:t>（3）NPT 恒压密度平衡（1.0 ns，重原子约束）：继续对重原子保留上述位置约束，在 300 K 和 1.0 bar 压力下运行 1.0 ns（500,000 步）NPT 模拟。控压采用 Berendsen 压力耦合器（isotropic 各向同性，τ_P = 5.0 ps，压缩率 4.5e-5 bar-1）。</w:t>
        <w:br/>
        <w:t>（4）NPT 无约束预平衡（1.0 ns）：释放全体系所有位置约束（define = -DFLEXIBLE），在恒定 300 K、1.0 bar 条件下继续运行 1.0 ns 无约束预平衡（τ_P = 5.0 ps 保证密度平衡平稳消警），促使肽与 AChE 界面侧链及显式水网络充分适应其近邻局部构象。</w:t>
      </w:r>
    </w:p>
    <w:p>
      <w:pPr>
        <w:pStyle w:val="Heading1"/>
      </w:pPr>
      <w:r>
        <w:t>4. 100 ns 产物分子动力学模拟 (100 ns Production MD Simulation)</w:t>
      </w:r>
    </w:p>
    <w:p>
      <w:pPr>
        <w:spacing w:line="300" w:lineRule="auto"/>
      </w:pPr>
      <w:r>
        <w:t>完成了预平衡后，各复合物体系在 NPT 系综（300 K, 1.0 bar）下完成总计 100 ns（或根据需要 1000 ns）的产物分子动力学模拟（Production MD）。步长 dt 统一设定为 2.0 fs，100 ns 共执行 50,000,000 步。模拟积分采用 Leap-frog 经典跃迁积分算法（integrator = md）。对涉及氢原子的所有共价键采用 LINCS 算法约束（与 SHAKE 精度等效）。短程非键相互作用采用 Verlet cutoff-scheme 截断机制，截断半径设为 1.2 nm（rlist = 1.2 nm, rcoulomb = 1.2 nm, rvdw = 1.2 nm）；对范德华项引入力平滑转换（force-switch-rvdw = 1.0 nm -&gt; 1.2 nm）。长程静电相互作用通过 Particle Mesh Ewald (PME) 方法计算，四阶插值，傅里叶网格间距设定为 0.12 nm。系统每隔 20 ps（0.02 ns，nstxout-compressed = 10000）记录一个运动学坐标帧，整个 100 ns 模拟共收集 5,000 个精细构象帧供后续统计动力学轨迹分析。</w:t>
      </w:r>
    </w:p>
    <w:p>
      <w:pPr>
        <w:pStyle w:val="Heading1"/>
      </w:pPr>
      <w:r>
        <w:t>5. 模拟轨迹对标论文多层次分析方法 (Trajectory Analysis Methodology)</w:t>
      </w:r>
    </w:p>
    <w:p>
      <w:pPr>
        <w:spacing w:line="300" w:lineRule="auto"/>
      </w:pPr>
      <w:r>
        <w:t>对 100 ns 模拟轨迹执行的完整分析工作流一对一对应于论文的 图 1–图 6 与 表 1–表 2 指标体系：</w:t>
        <w:br/>
        <w:t>（1）骨架 RMSD 与 RMSF（图 1，论文 3.1 节）：经平移与旋转最小二乘拟合至主干 Cα 坐标后，通过 gmx rms 分别计算复合物整体（Complex Backbone）、AChE（AChE Backbone）与肽链（Peptide Backbone）的均方根偏差（RMSD）曲线；利用 gmx rmsf 统计各残基对应的均方根涨落（RMSF），评估结合界面的局部柔性与结构稳定度。</w:t>
        <w:br/>
        <w:t>（2）质心径向分布函数 RDF（图 2，论文 3.1 节）：通过 gmx rdf 并设置参数 -selrpos mol_com -seltype mol_com 精确计算肽分子整体围绕 AChE 分子质心的径向分布函数 g(r)。将 100 ns 产物轨迹等分为 4 个连续时间区间（Q1–Q4），检验主峰是否保持收敛于 &lt; 0.3 nm。</w:t>
        <w:br/>
        <w:t>（3）溶剂可及表面积 SASA（图 3，论文 3.2 节）：基于类 Shrake-Rupley 算法（在 Gromacs 中等效于经典 LCPO 算法，gmx sasa -surface Protein -output Protein），计算复合物整体及分离体系 SASA 随时间的演变均值。</w:t>
        <w:br/>
        <w:t>（4）二级结构动态分布（图 4，论文 3.2 节）：采用 GROMACS dssp 模块逐帧识别肽段中每个氨基酸的二级结构归类（DSSP 原则）。统计将 α-螺旋（H, G, I）、转角（T）和弯曲（S, B）按每 50 ns 窗口计算发生频次占比。</w:t>
        <w:br/>
        <w:t>（5）分子间与内部分子氢键统计（论文 3.3 节）：采用 gmx hbond 基于严格几何条件（受体-给体距离 &lt; 3.0 Å，供体-氢-受体角度夹角 &lt; 30° / 补角 &gt; 150°），分别记录 AChE-Peptide 界面和肽链内部的氢键时间序列。</w:t>
        <w:br/>
        <w:t>（6）天然与非天然残基对接触统计（图 5 / 表 1，论文 3.3 节）：利用 Python MDAnalysis 的 distance_array 计算两分子间残基距离矩阵。把参考结构（第一帧）已有的原子接触记为天然接触（Native Contact）；将在模拟阶段新出现的所有间距 &lt; 7.0 Å 的残基对记为非天然接触（Non-native Contact），统计出现频次超过 10 次的频繁残基接触对。</w:t>
        <w:br/>
        <w:t>（7）水介导桥连相互作用统计（图 6 / 表 2，论文 3.4 节）：统计同时与肽和 AChE 界面残基重原子在 3.0 Å 内产生势能接触的显式水分子（SOL），记录逐残基桥连水数量与桥连相互作用频次。</w:t>
      </w:r>
    </w:p>
    <w:p>
      <w:pPr>
        <w:pStyle w:val="Heading1"/>
      </w:pPr>
      <w:r>
        <w:t>6. 完整方法学配置对照表 (Reference Tables of Parameters &amp; Commands)</w:t>
      </w:r>
    </w:p>
    <w:p>
      <w:r>
        <w:t>表 1. 乙酰胆碱酯酶–β-淀粉样肽对接体系 100 ns 动力学模拟全阶段 MDP 参数对照表</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333333"/>
        </w:tblBorders>
      </w:tblPr>
      <w:tblGrid>
        <w:gridCol w:w="1814"/>
        <w:gridCol w:w="1814"/>
        <w:gridCol w:w="1814"/>
        <w:gridCol w:w="1814"/>
        <w:gridCol w:w="1814"/>
      </w:tblGrid>
      <w:tr>
        <w:tc>
          <w:tcPr>
            <w:tcW w:type="dxa" w:w="1814"/>
            <w:shd w:val="clear" w:color="auto" w:fill="EBF1F5"/>
          </w:tcPr>
          <w:p>
            <w:r>
              <w:t>模拟阶段</w:t>
            </w:r>
          </w:p>
        </w:tc>
        <w:tc>
          <w:tcPr>
            <w:tcW w:type="dxa" w:w="1814"/>
            <w:shd w:val="clear" w:color="auto" w:fill="EBF1F5"/>
          </w:tcPr>
          <w:p>
            <w:r>
              <w:t>时长/步数</w:t>
            </w:r>
          </w:p>
        </w:tc>
        <w:tc>
          <w:tcPr>
            <w:tcW w:type="dxa" w:w="1814"/>
            <w:shd w:val="clear" w:color="auto" w:fill="EBF1F5"/>
          </w:tcPr>
          <w:p>
            <w:r>
              <w:t>积分步长 (dt)</w:t>
            </w:r>
          </w:p>
        </w:tc>
        <w:tc>
          <w:tcPr>
            <w:tcW w:type="dxa" w:w="1814"/>
            <w:shd w:val="clear" w:color="auto" w:fill="EBF1F5"/>
          </w:tcPr>
          <w:p>
            <w:r>
              <w:t>约束条件</w:t>
            </w:r>
          </w:p>
        </w:tc>
        <w:tc>
          <w:tcPr>
            <w:tcW w:type="dxa" w:w="1814"/>
            <w:shd w:val="clear" w:color="auto" w:fill="EBF1F5"/>
          </w:tcPr>
          <w:p>
            <w:r>
              <w:t>控温 / 控压方式</w:t>
            </w:r>
          </w:p>
        </w:tc>
      </w:tr>
      <w:tr>
        <w:tc>
          <w:tcPr>
            <w:tcW w:type="dxa" w:w="1814"/>
          </w:tcPr>
          <w:p>
            <w:r>
              <w:t>1. 能量最小化 (EM)</w:t>
            </w:r>
          </w:p>
        </w:tc>
        <w:tc>
          <w:tcPr>
            <w:tcW w:type="dxa" w:w="1814"/>
          </w:tcPr>
          <w:p>
            <w:r>
              <w:t>2,000 步 (Fmax &lt; 1000)</w:t>
            </w:r>
          </w:p>
        </w:tc>
        <w:tc>
          <w:tcPr>
            <w:tcW w:type="dxa" w:w="1814"/>
          </w:tcPr>
          <w:p>
            <w:r>
              <w:t>0.01 (emstep)</w:t>
            </w:r>
          </w:p>
        </w:tc>
        <w:tc>
          <w:tcPr>
            <w:tcW w:type="dxa" w:w="1814"/>
          </w:tcPr>
          <w:p>
            <w:r>
              <w:t>重原子 1255 kJ/mol/nm2</w:t>
            </w:r>
          </w:p>
        </w:tc>
        <w:tc>
          <w:tcPr>
            <w:tcW w:type="dxa" w:w="1814"/>
          </w:tcPr>
          <w:p>
            <w:r>
              <w:t>最速下降法 (Steepest Descents)</w:t>
            </w:r>
          </w:p>
        </w:tc>
      </w:tr>
      <w:tr>
        <w:tc>
          <w:tcPr>
            <w:tcW w:type="dxa" w:w="1814"/>
          </w:tcPr>
          <w:p>
            <w:r>
              <w:t>2. NVT 连续退火升温</w:t>
            </w:r>
          </w:p>
        </w:tc>
        <w:tc>
          <w:tcPr>
            <w:tcW w:type="dxa" w:w="1814"/>
          </w:tcPr>
          <w:p>
            <w:r>
              <w:t>1.0 ns (500,000 步)</w:t>
            </w:r>
          </w:p>
        </w:tc>
        <w:tc>
          <w:tcPr>
            <w:tcW w:type="dxa" w:w="1814"/>
          </w:tcPr>
          <w:p>
            <w:r>
              <w:t>2.0 fs (0.002)</w:t>
            </w:r>
          </w:p>
        </w:tc>
        <w:tc>
          <w:tcPr>
            <w:tcW w:type="dxa" w:w="1814"/>
          </w:tcPr>
          <w:p>
            <w:r>
              <w:t>重原子 1255 kJ/mol/nm2</w:t>
            </w:r>
          </w:p>
        </w:tc>
        <w:tc>
          <w:tcPr>
            <w:tcW w:type="dxa" w:w="1814"/>
          </w:tcPr>
          <w:p>
            <w:r>
              <w:t>模拟退火 (0-&gt;300 K 连续线性升温)</w:t>
            </w:r>
          </w:p>
        </w:tc>
      </w:tr>
      <w:tr>
        <w:tc>
          <w:tcPr>
            <w:tcW w:type="dxa" w:w="1814"/>
          </w:tcPr>
          <w:p>
            <w:r>
              <w:t>3. NPT 恒压平衡</w:t>
            </w:r>
          </w:p>
        </w:tc>
        <w:tc>
          <w:tcPr>
            <w:tcW w:type="dxa" w:w="1814"/>
          </w:tcPr>
          <w:p>
            <w:r>
              <w:t>1.0 ns (500,000 步)</w:t>
            </w:r>
          </w:p>
        </w:tc>
        <w:tc>
          <w:tcPr>
            <w:tcW w:type="dxa" w:w="1814"/>
          </w:tcPr>
          <w:p>
            <w:r>
              <w:t>2.0 fs (0.002)</w:t>
            </w:r>
          </w:p>
        </w:tc>
        <w:tc>
          <w:tcPr>
            <w:tcW w:type="dxa" w:w="1814"/>
          </w:tcPr>
          <w:p>
            <w:r>
              <w:t>重原子 1255 kJ/mol/nm2</w:t>
            </w:r>
          </w:p>
        </w:tc>
        <w:tc>
          <w:tcPr>
            <w:tcW w:type="dxa" w:w="1814"/>
          </w:tcPr>
          <w:p>
            <w:r>
              <w:t>v-rescale (300K) / Berendsen (tau_P=5.0 ps)</w:t>
            </w:r>
          </w:p>
        </w:tc>
      </w:tr>
      <w:tr>
        <w:tc>
          <w:tcPr>
            <w:tcW w:type="dxa" w:w="1814"/>
          </w:tcPr>
          <w:p>
            <w:r>
              <w:t>4. NPT 无约束预平衡</w:t>
            </w:r>
          </w:p>
        </w:tc>
        <w:tc>
          <w:tcPr>
            <w:tcW w:type="dxa" w:w="1814"/>
          </w:tcPr>
          <w:p>
            <w:r>
              <w:t>1.0 ns (500,000 步)</w:t>
            </w:r>
          </w:p>
        </w:tc>
        <w:tc>
          <w:tcPr>
            <w:tcW w:type="dxa" w:w="1814"/>
          </w:tcPr>
          <w:p>
            <w:r>
              <w:t>2.0 fs (0.002)</w:t>
            </w:r>
          </w:p>
        </w:tc>
        <w:tc>
          <w:tcPr>
            <w:tcW w:type="dxa" w:w="1814"/>
          </w:tcPr>
          <w:p>
            <w:r>
              <w:t>无 (-DFLEXIBLE)</w:t>
            </w:r>
          </w:p>
        </w:tc>
        <w:tc>
          <w:tcPr>
            <w:tcW w:type="dxa" w:w="1814"/>
          </w:tcPr>
          <w:p>
            <w:r>
              <w:t>v-rescale (300K) / Berendsen (tau_P=5.0 ps)</w:t>
            </w:r>
          </w:p>
        </w:tc>
      </w:tr>
      <w:tr>
        <w:tc>
          <w:tcPr>
            <w:tcW w:type="dxa" w:w="1814"/>
          </w:tcPr>
          <w:p>
            <w:r>
              <w:t>5. 正式产物模拟 (MD)</w:t>
            </w:r>
          </w:p>
        </w:tc>
        <w:tc>
          <w:tcPr>
            <w:tcW w:type="dxa" w:w="1814"/>
          </w:tcPr>
          <w:p>
            <w:r>
              <w:t>100 ns (50,000,000 步)</w:t>
            </w:r>
          </w:p>
        </w:tc>
        <w:tc>
          <w:tcPr>
            <w:tcW w:type="dxa" w:w="1814"/>
          </w:tcPr>
          <w:p>
            <w:r>
              <w:t>2.0 fs (0.002)</w:t>
            </w:r>
          </w:p>
        </w:tc>
        <w:tc>
          <w:tcPr>
            <w:tcW w:type="dxa" w:w="1814"/>
          </w:tcPr>
          <w:p>
            <w:r>
              <w:t>无约束 / LINCS 氢键</w:t>
            </w:r>
          </w:p>
        </w:tc>
        <w:tc>
          <w:tcPr>
            <w:tcW w:type="dxa" w:w="1814"/>
          </w:tcPr>
          <w:p>
            <w:r>
              <w:t>v-rescale (300K) / Berendsen/PR (tau_P=5.0 ps)</w:t>
            </w:r>
          </w:p>
        </w:tc>
      </w:tr>
    </w:tbl>
    <w:p/>
    <w:p>
      <w:r>
        <w:t>表 2. 模拟产物轨迹分析命令与论文图表严格映射对照表</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333333"/>
        </w:tblBorders>
      </w:tblPr>
      <w:tblGrid>
        <w:gridCol w:w="2268"/>
        <w:gridCol w:w="2268"/>
        <w:gridCol w:w="2268"/>
        <w:gridCol w:w="2268"/>
      </w:tblGrid>
      <w:tr>
        <w:tc>
          <w:tcPr>
            <w:tcW w:type="dxa" w:w="2268"/>
            <w:shd w:val="clear" w:color="auto" w:fill="EBF1F5"/>
          </w:tcPr>
          <w:p>
            <w:r>
              <w:t>分析项目 / 指标</w:t>
            </w:r>
          </w:p>
        </w:tc>
        <w:tc>
          <w:tcPr>
            <w:tcW w:type="dxa" w:w="2268"/>
            <w:shd w:val="clear" w:color="auto" w:fill="EBF1F5"/>
          </w:tcPr>
          <w:p>
            <w:r>
              <w:t>论文章节与对应图表</w:t>
            </w:r>
          </w:p>
        </w:tc>
        <w:tc>
          <w:tcPr>
            <w:tcW w:type="dxa" w:w="2268"/>
            <w:shd w:val="clear" w:color="auto" w:fill="EBF1F5"/>
          </w:tcPr>
          <w:p>
            <w:r>
              <w:t>核心执行指令或算法脚本</w:t>
            </w:r>
          </w:p>
        </w:tc>
        <w:tc>
          <w:tcPr>
            <w:tcW w:type="dxa" w:w="2268"/>
            <w:shd w:val="clear" w:color="auto" w:fill="EBF1F5"/>
          </w:tcPr>
          <w:p>
            <w:r>
              <w:t>输出产物文件</w:t>
            </w:r>
          </w:p>
        </w:tc>
      </w:tr>
      <w:tr>
        <w:tc>
          <w:tcPr>
            <w:tcW w:type="dxa" w:w="2268"/>
          </w:tcPr>
          <w:p>
            <w:r>
              <w:t>三斜盒子定义</w:t>
            </w:r>
          </w:p>
        </w:tc>
        <w:tc>
          <w:tcPr>
            <w:tcW w:type="dxa" w:w="2268"/>
          </w:tcPr>
          <w:p>
            <w:r>
              <w:t>论文 2.2 / 节约计算体积</w:t>
            </w:r>
          </w:p>
        </w:tc>
        <w:tc>
          <w:tcPr>
            <w:tcW w:type="dxa" w:w="2268"/>
          </w:tcPr>
          <w:p>
            <w:r>
              <w:t>gmx editconf -c -bt triclinic -d 1.0</w:t>
            </w:r>
          </w:p>
        </w:tc>
        <w:tc>
          <w:tcPr>
            <w:tcW w:type="dxa" w:w="2268"/>
          </w:tcPr>
          <w:p>
            <w:r>
              <w:t>box.gro (体积减少 ~35%)</w:t>
            </w:r>
          </w:p>
        </w:tc>
      </w:tr>
      <w:tr>
        <w:tc>
          <w:tcPr>
            <w:tcW w:type="dxa" w:w="2268"/>
          </w:tcPr>
          <w:p>
            <w:r>
              <w:t>骨架 RMSD / RMSF</w:t>
            </w:r>
          </w:p>
        </w:tc>
        <w:tc>
          <w:tcPr>
            <w:tcW w:type="dxa" w:w="2268"/>
          </w:tcPr>
          <w:p>
            <w:r>
              <w:t>论文 3.1 节 / 图 1A–1F</w:t>
            </w:r>
          </w:p>
        </w:tc>
        <w:tc>
          <w:tcPr>
            <w:tcW w:type="dxa" w:w="2268"/>
          </w:tcPr>
          <w:p>
            <w:r>
              <w:t>gmx rms &amp; gmx rmsf (-fit rot+trans)</w:t>
            </w:r>
          </w:p>
        </w:tc>
        <w:tc>
          <w:tcPr>
            <w:tcW w:type="dxa" w:w="2268"/>
          </w:tcPr>
          <w:p>
            <w:r>
              <w:t>rmsd_*_bb.xvg / rmsf_*_bb.xvg</w:t>
            </w:r>
          </w:p>
        </w:tc>
      </w:tr>
      <w:tr>
        <w:tc>
          <w:tcPr>
            <w:tcW w:type="dxa" w:w="2268"/>
          </w:tcPr>
          <w:p>
            <w:r>
              <w:t>径向分布函数 (RDF)</w:t>
            </w:r>
          </w:p>
        </w:tc>
        <w:tc>
          <w:tcPr>
            <w:tcW w:type="dxa" w:w="2268"/>
          </w:tcPr>
          <w:p>
            <w:r>
              <w:t>论文 3.1 节 / 图 2A–2B</w:t>
            </w:r>
          </w:p>
        </w:tc>
        <w:tc>
          <w:tcPr>
            <w:tcW w:type="dxa" w:w="2268"/>
          </w:tcPr>
          <w:p>
            <w:r>
              <w:t>gmx rdf -selrpos mol_com -seltype mol_com</w:t>
            </w:r>
          </w:p>
        </w:tc>
        <w:tc>
          <w:tcPr>
            <w:tcW w:type="dxa" w:w="2268"/>
          </w:tcPr>
          <w:p>
            <w:r>
              <w:t>rdf_pep_ache.xvg / Q1-Q4.xvg</w:t>
            </w:r>
          </w:p>
        </w:tc>
      </w:tr>
      <w:tr>
        <w:tc>
          <w:tcPr>
            <w:tcW w:type="dxa" w:w="2268"/>
          </w:tcPr>
          <w:p>
            <w:r>
              <w:t>溶剂可及表面积 SASA</w:t>
            </w:r>
          </w:p>
        </w:tc>
        <w:tc>
          <w:tcPr>
            <w:tcW w:type="dxa" w:w="2268"/>
          </w:tcPr>
          <w:p>
            <w:r>
              <w:t>论文 3.2 节 / 图 3A–3B</w:t>
            </w:r>
          </w:p>
        </w:tc>
        <w:tc>
          <w:tcPr>
            <w:tcW w:type="dxa" w:w="2268"/>
          </w:tcPr>
          <w:p>
            <w:r>
              <w:t>gmx sasa -surface Protein -output Protein</w:t>
            </w:r>
          </w:p>
        </w:tc>
        <w:tc>
          <w:tcPr>
            <w:tcW w:type="dxa" w:w="2268"/>
          </w:tcPr>
          <w:p>
            <w:r>
              <w:t>sasa_complex.xvg / sasa_pep.xvg</w:t>
            </w:r>
          </w:p>
        </w:tc>
      </w:tr>
      <w:tr>
        <w:tc>
          <w:tcPr>
            <w:tcW w:type="dxa" w:w="2268"/>
          </w:tcPr>
          <w:p>
            <w:r>
              <w:t>二级结构演变 (DSSP)</w:t>
            </w:r>
          </w:p>
        </w:tc>
        <w:tc>
          <w:tcPr>
            <w:tcW w:type="dxa" w:w="2268"/>
          </w:tcPr>
          <w:p>
            <w:r>
              <w:t>论文 3.2 节 / 图 4</w:t>
            </w:r>
          </w:p>
        </w:tc>
        <w:tc>
          <w:tcPr>
            <w:tcW w:type="dxa" w:w="2268"/>
          </w:tcPr>
          <w:p>
            <w:r>
              <w:t>gmx dssp -sel Peptide &amp; dssp_bins.py</w:t>
            </w:r>
          </w:p>
        </w:tc>
        <w:tc>
          <w:tcPr>
            <w:tcW w:type="dxa" w:w="2268"/>
          </w:tcPr>
          <w:p>
            <w:r>
              <w:t>ss_pep.dat / ss_pep_bins.dat</w:t>
            </w:r>
          </w:p>
        </w:tc>
      </w:tr>
      <w:tr>
        <w:tc>
          <w:tcPr>
            <w:tcW w:type="dxa" w:w="2268"/>
          </w:tcPr>
          <w:p>
            <w:r>
              <w:t>氢键数量动态曲线</w:t>
            </w:r>
          </w:p>
        </w:tc>
        <w:tc>
          <w:tcPr>
            <w:tcW w:type="dxa" w:w="2268"/>
          </w:tcPr>
          <w:p>
            <w:r>
              <w:t>论文 3.3 节</w:t>
            </w:r>
          </w:p>
        </w:tc>
        <w:tc>
          <w:tcPr>
            <w:tcW w:type="dxa" w:w="2268"/>
          </w:tcPr>
          <w:p>
            <w:r>
              <w:t>gmx hbond (几何条件 &lt; 3.0 Å, 角 &lt; 30°)</w:t>
            </w:r>
          </w:p>
        </w:tc>
        <w:tc>
          <w:tcPr>
            <w:tcW w:type="dxa" w:w="2268"/>
          </w:tcPr>
          <w:p>
            <w:r>
              <w:t>hbond_ache_pep.xvg</w:t>
            </w:r>
          </w:p>
        </w:tc>
      </w:tr>
      <w:tr>
        <w:tc>
          <w:tcPr>
            <w:tcW w:type="dxa" w:w="2268"/>
          </w:tcPr>
          <w:p>
            <w:r>
              <w:t>非天然残基对接触</w:t>
            </w:r>
          </w:p>
        </w:tc>
        <w:tc>
          <w:tcPr>
            <w:tcW w:type="dxa" w:w="2268"/>
          </w:tcPr>
          <w:p>
            <w:r>
              <w:t>论文 3.3 节 / 图 5 &amp; 表 1</w:t>
            </w:r>
          </w:p>
        </w:tc>
        <w:tc>
          <w:tcPr>
            <w:tcW w:type="dxa" w:w="2268"/>
          </w:tcPr>
          <w:p>
            <w:r>
              <w:t>contacts.py (-cut 7.0 Å, MDAnalysis)</w:t>
            </w:r>
          </w:p>
        </w:tc>
        <w:tc>
          <w:tcPr>
            <w:tcW w:type="dxa" w:w="2268"/>
          </w:tcPr>
          <w:p>
            <w:r>
              <w:t>inter_contacts.csv / frequent_contacts.tsv</w:t>
            </w:r>
          </w:p>
        </w:tc>
      </w:tr>
      <w:tr>
        <w:tc>
          <w:tcPr>
            <w:tcW w:type="dxa" w:w="2268"/>
          </w:tcPr>
          <w:p>
            <w:r>
              <w:t>水介导桥连相互作用</w:t>
            </w:r>
          </w:p>
        </w:tc>
        <w:tc>
          <w:tcPr>
            <w:tcW w:type="dxa" w:w="2268"/>
          </w:tcPr>
          <w:p>
            <w:r>
              <w:t>论文 3.4 节 / 图 6 &amp; 表 2</w:t>
            </w:r>
          </w:p>
        </w:tc>
        <w:tc>
          <w:tcPr>
            <w:tcW w:type="dxa" w:w="2268"/>
          </w:tcPr>
          <w:p>
            <w:r>
              <w:t>bridging_waters.py (近邻水过滤 100x 加速)</w:t>
            </w:r>
          </w:p>
        </w:tc>
        <w:tc>
          <w:tcPr>
            <w:tcW w:type="dxa" w:w="2268"/>
          </w:tcPr>
          <w:p>
            <w:r>
              <w:t>bridging_per_residue.csv</w:t>
            </w:r>
          </w:p>
        </w:tc>
      </w:tr>
      <w:tr>
        <w:tc>
          <w:tcPr>
            <w:tcW w:type="dxa" w:w="2268"/>
          </w:tcPr>
          <w:p>
            <w:r>
              <w:t>全套一键批量图表生成</w:t>
            </w:r>
          </w:p>
        </w:tc>
        <w:tc>
          <w:tcPr>
            <w:tcW w:type="dxa" w:w="2268"/>
          </w:tcPr>
          <w:p>
            <w:r>
              <w:t>全面对应所有发表级图表</w:t>
            </w:r>
          </w:p>
        </w:tc>
        <w:tc>
          <w:tcPr>
            <w:tcW w:type="dxa" w:w="2268"/>
          </w:tcPr>
          <w:p>
            <w:r>
              <w:t>plot_all.py (自动添加 A, B, C... 子图编号)</w:t>
            </w:r>
          </w:p>
        </w:tc>
        <w:tc>
          <w:tcPr>
            <w:tcW w:type="dxa" w:w="2268"/>
          </w:tcPr>
          <w:p>
            <w:r>
              <w:t>fig0_summary_all.svg/.png/.pdf</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