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1F4E79"/>
          <w:sz w:val="56"/>
        </w:rPr>
        <w:t>全球外贸资讯日报</w:t>
      </w:r>
    </w:p>
    <w:p>
      <w:pPr>
        <w:jc w:val="center"/>
      </w:pPr>
      <w:r>
        <w:rPr>
          <w:rFonts w:ascii="Arial" w:hAnsi="Arial" w:eastAsia="Arial"/>
          <w:color w:val="5A5A5A"/>
          <w:sz w:val="26"/>
        </w:rPr>
        <w:t>生成日期：2026年05月26日</w:t>
      </w:r>
    </w:p>
    <w:p>
      <w:r>
        <w:br w:type="page"/>
      </w:r>
    </w:p>
    <w:p>
      <w:pPr>
        <w:pStyle w:val="Heading1"/>
      </w:pPr>
      <w:r>
        <w:t>执行摘要</w:t>
      </w:r>
    </w:p>
    <w:p>
      <w:r>
        <w:rPr>
          <w:rFonts w:ascii="Arial" w:hAnsi="Arial" w:eastAsia="Arial"/>
        </w:rPr>
        <w:t>近5天全球外贸主线集中在三点：一是美国与中东局势扰动</w:t>
      </w:r>
      <w:r>
        <w:rPr>
          <w:rFonts w:ascii="Arial" w:hAnsi="Arial" w:eastAsia="Arial"/>
          <w:b/>
        </w:rPr>
        <w:t>油价</w:t>
      </w:r>
      <w:r>
        <w:rPr>
          <w:rFonts w:ascii="Arial" w:hAnsi="Arial" w:eastAsia="Arial"/>
        </w:rPr>
        <w:t>、</w:t>
      </w:r>
      <w:r>
        <w:rPr>
          <w:rFonts w:ascii="Arial" w:hAnsi="Arial" w:eastAsia="Arial"/>
          <w:b/>
        </w:rPr>
        <w:t>美元</w:t>
      </w:r>
      <w:r>
        <w:rPr>
          <w:rFonts w:ascii="Arial" w:hAnsi="Arial" w:eastAsia="Arial"/>
        </w:rPr>
        <w:t>和海运风险溢价，企业报价与</w:t>
      </w:r>
      <w:r>
        <w:rPr>
          <w:rFonts w:ascii="Arial" w:hAnsi="Arial" w:eastAsia="Arial"/>
          <w:b/>
        </w:rPr>
        <w:t>锁汇</w:t>
      </w:r>
      <w:r>
        <w:rPr>
          <w:rFonts w:ascii="Arial" w:hAnsi="Arial" w:eastAsia="Arial"/>
        </w:rPr>
        <w:t>窗口明显缩短；二是</w:t>
      </w:r>
      <w:r>
        <w:rPr>
          <w:rFonts w:ascii="Arial" w:hAnsi="Arial" w:eastAsia="Arial"/>
          <w:b/>
        </w:rPr>
        <w:t>关税</w:t>
      </w:r>
      <w:r>
        <w:rPr>
          <w:rFonts w:ascii="Arial" w:hAnsi="Arial" w:eastAsia="Arial"/>
        </w:rPr>
        <w:t>、</w:t>
      </w:r>
      <w:r>
        <w:rPr>
          <w:rFonts w:ascii="Arial" w:hAnsi="Arial" w:eastAsia="Arial"/>
          <w:b/>
        </w:rPr>
        <w:t>制裁</w:t>
      </w:r>
      <w:r>
        <w:rPr>
          <w:rFonts w:ascii="Arial" w:hAnsi="Arial" w:eastAsia="Arial"/>
        </w:rPr>
        <w:t>和碳成本继续抬高合规门槛，欧盟钢铁、瑞士对俄白</w:t>
      </w:r>
      <w:r>
        <w:rPr>
          <w:rFonts w:ascii="Arial" w:hAnsi="Arial" w:eastAsia="Arial"/>
          <w:b/>
        </w:rPr>
        <w:t>制裁</w:t>
      </w:r>
      <w:r>
        <w:rPr>
          <w:rFonts w:ascii="Arial" w:hAnsi="Arial" w:eastAsia="Arial"/>
        </w:rPr>
        <w:t>、英国航运碳成本均需关注；三是亚洲区域</w:t>
      </w:r>
      <w:r>
        <w:rPr>
          <w:rFonts w:ascii="Arial" w:hAnsi="Arial" w:eastAsia="Arial"/>
          <w:b/>
        </w:rPr>
        <w:t>物流</w:t>
      </w:r>
      <w:r>
        <w:rPr>
          <w:rFonts w:ascii="Arial" w:hAnsi="Arial" w:eastAsia="Arial"/>
        </w:rPr>
        <w:t>与运价抬升，旺季前置与替代走廊建设并行。外贸企业应优先管理汇率、能源与运输成本，并复核目的国合规要求。</w:t>
      </w:r>
    </w:p>
    <w:p>
      <w:pPr>
        <w:pStyle w:val="Heading1"/>
      </w:pPr>
      <w:r>
        <w:t>重点新闻分类</w:t>
      </w:r>
    </w:p>
    <w:p>
      <w:pPr>
        <w:pStyle w:val="Heading2"/>
      </w:pPr>
      <w:r>
        <w:t>政策法规</w:t>
      </w:r>
    </w:p>
    <w:p>
      <w:pPr>
        <w:spacing w:before="160" w:after="80"/>
      </w:pPr>
      <w:r>
        <w:rPr>
          <w:rFonts w:ascii="Arial" w:hAnsi="Arial" w:eastAsia="Arial"/>
          <w:b/>
          <w:sz w:val="24"/>
        </w:rPr>
        <w:t>1. APEC贸易部长会议强调维护开放、非歧视的多边贸易体系</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APEC贸易部长会议在韩国济州举行，会议聚焦贸易投资便利化、数字贸易和区域经济合作。各方重申维护以规则为基础、开放、透明和非歧视的多边贸易体系。会议还关注贸易规则与供应链韧性之间的协调。</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对亚太出口企业而言，区域合作信号有利于稳定预期，但企业仍需跟踪成员经济体在数字贸易、原产地和通关便利化方面的后续细则。</w:t>
            </w:r>
          </w:p>
        </w:tc>
      </w:tr>
      <w:tr>
        <w:tc>
          <w:tcPr>
            <w:tcW w:type="dxa" w:w="9406"/>
          </w:tcPr>
          <w:p>
            <w:r/>
            <w:r>
              <w:rPr>
                <w:rFonts w:ascii="Arial" w:hAnsi="Arial" w:eastAsia="Arial"/>
                <w:color w:val="6E6E6E"/>
                <w:sz w:val="20"/>
              </w:rPr>
              <w:t>来源：China Daily；日期：2026-05-24；链接：https://www.chinadaily.com.cn/a/202605/24/WS69284246a310d6866eb2ab90.html</w:t>
            </w:r>
          </w:p>
        </w:tc>
      </w:tr>
    </w:tbl>
    <w:p>
      <w:pPr>
        <w:spacing w:before="160" w:after="80"/>
      </w:pPr>
      <w:r>
        <w:rPr>
          <w:rFonts w:ascii="Arial" w:hAnsi="Arial" w:eastAsia="Arial"/>
          <w:b/>
          <w:sz w:val="24"/>
        </w:rPr>
        <w:t>2. 瑞士扩大针对俄罗斯和白俄罗斯的制裁清单</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瑞士宣布扩大对俄罗斯和白俄罗斯的制裁，并将更多船舶、实体和个人纳入限制范围。相关措施延续欧洲对俄制裁框架，对运输、金融结算和敏感商品贸易形成约束。</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涉及俄罗斯、白俄罗斯及相关第三方转运链条的企业，需要重新核查交易对象、船舶、付款路径和最终用途，避免合规风险外溢。</w:t>
            </w:r>
          </w:p>
        </w:tc>
      </w:tr>
      <w:tr>
        <w:tc>
          <w:tcPr>
            <w:tcW w:type="dxa" w:w="9406"/>
          </w:tcPr>
          <w:p>
            <w:r/>
            <w:r>
              <w:rPr>
                <w:rFonts w:ascii="Arial" w:hAnsi="Arial" w:eastAsia="Arial"/>
                <w:color w:val="6E6E6E"/>
                <w:sz w:val="20"/>
              </w:rPr>
              <w:t>来源：Reuters / MarketScreener；日期：2026-05-22；链接：https://www.marketscreener.com/news/switzerland-expands-sanctions-against-russia-and-belarus-ce7f5adfdf8ef32e</w:t>
            </w:r>
          </w:p>
        </w:tc>
      </w:tr>
    </w:tbl>
    <w:p>
      <w:pPr>
        <w:spacing w:before="160" w:after="80"/>
      </w:pPr>
      <w:r>
        <w:rPr>
          <w:rFonts w:ascii="Arial" w:hAnsi="Arial" w:eastAsia="Arial"/>
          <w:b/>
          <w:sz w:val="24"/>
        </w:rPr>
        <w:t>3. 英国航运业即将纳入UK ETS，海运碳成本上升</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英国排放交易体系将从7月开始覆盖部分海运活动，航运公司和货主面临更明确的碳排放成本。该政策与欧盟航运碳规则共同推动承运人调整燃油、航线和附加费。</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英国相关进出口航线可能出现新的碳成本转嫁，企业在签订长期运价和DDP报价时应增加碳费条款。</w:t>
            </w:r>
          </w:p>
        </w:tc>
      </w:tr>
      <w:tr>
        <w:tc>
          <w:tcPr>
            <w:tcW w:type="dxa" w:w="9406"/>
          </w:tcPr>
          <w:p>
            <w:r/>
            <w:r>
              <w:rPr>
                <w:rFonts w:ascii="Arial" w:hAnsi="Arial" w:eastAsia="Arial"/>
                <w:color w:val="6E6E6E"/>
                <w:sz w:val="20"/>
              </w:rPr>
              <w:t>来源：The Loadstar；日期：2026-05-21；链接：https://theloadstar.com/maritime-to-join-uk-ets-from-july-but-shipping-is-already-cleaning-up/</w:t>
            </w:r>
          </w:p>
        </w:tc>
      </w:tr>
    </w:tbl>
    <w:p>
      <w:pPr>
        <w:spacing w:before="160" w:after="80"/>
      </w:pPr>
      <w:r>
        <w:rPr>
          <w:rFonts w:ascii="Arial" w:hAnsi="Arial" w:eastAsia="Arial"/>
          <w:b/>
          <w:sz w:val="24"/>
        </w:rPr>
        <w:t>4. 欧盟钢铁进口保障措施继续影响相关原材料和制成品流向</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市场继续关注欧盟钢铁进口保障措施及配额安排。钢铁贸易政策在地缘政治和产业保护压力下保持高敏感度，进口商需要关注配额、原产地和转口安排。</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钢材、机械、汽车零部件等行业的采购和报价周期可能受到影响，外贸企业应避免因配额耗尽或转口审查导致交付延误。</w:t>
            </w:r>
          </w:p>
        </w:tc>
      </w:tr>
      <w:tr>
        <w:tc>
          <w:tcPr>
            <w:tcW w:type="dxa" w:w="9406"/>
          </w:tcPr>
          <w:p>
            <w:r/>
            <w:r>
              <w:rPr>
                <w:rFonts w:ascii="Arial" w:hAnsi="Arial" w:eastAsia="Arial"/>
                <w:color w:val="6E6E6E"/>
                <w:sz w:val="20"/>
              </w:rPr>
              <w:t>来源：S&amp;P Global Commodity Insights；日期：2026-05-21；链接：https://www.spglobal.com/commodity-insights/en/news-research/latest-news/metals/052126-eu-steel-safeguards</w:t>
            </w:r>
          </w:p>
        </w:tc>
      </w:tr>
    </w:tbl>
    <w:p>
      <w:pPr>
        <w:pStyle w:val="Heading2"/>
      </w:pPr>
      <w:r>
        <w:t>市场行情</w:t>
      </w:r>
    </w:p>
    <w:p>
      <w:pPr>
        <w:spacing w:before="160" w:after="80"/>
      </w:pPr>
      <w:r>
        <w:rPr>
          <w:rFonts w:ascii="Arial" w:hAnsi="Arial" w:eastAsia="Arial"/>
          <w:b/>
          <w:sz w:val="24"/>
        </w:rPr>
        <w:t>1. 布伦特原油跳涨约4%，霍尔木兹海峡重开前景仍不明朗</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油价在中东局势反复中大幅波动，布伦特原油一度上涨约4%。市场对霍尔木兹海峡通行、美国与伊朗局势和能源供应风险重新定价。</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能源价格上行会推高燃油附加费、生产成本和长途运输成本，化工、塑料、纺织及大宗商品外贸报价需保留调整空间。</w:t>
            </w:r>
          </w:p>
        </w:tc>
      </w:tr>
      <w:tr>
        <w:tc>
          <w:tcPr>
            <w:tcW w:type="dxa" w:w="9406"/>
          </w:tcPr>
          <w:p>
            <w:r/>
            <w:r>
              <w:rPr>
                <w:rFonts w:ascii="Arial" w:hAnsi="Arial" w:eastAsia="Arial"/>
                <w:color w:val="6E6E6E"/>
                <w:sz w:val="20"/>
              </w:rPr>
              <w:t>来源：Reuters / Investing.com；日期：2026-05-26；链接：https://www.investing.com/news/commodities-news/oil-prices-jump-4-as-strait-reopening-prospects-dim-after-trump-posts-iran-warning-4710591</w:t>
            </w:r>
          </w:p>
        </w:tc>
      </w:tr>
    </w:tbl>
    <w:p>
      <w:pPr>
        <w:spacing w:before="160" w:after="80"/>
      </w:pPr>
      <w:r>
        <w:rPr>
          <w:rFonts w:ascii="Arial" w:hAnsi="Arial" w:eastAsia="Arial"/>
          <w:b/>
          <w:sz w:val="24"/>
        </w:rPr>
        <w:t>2. 油价因美伊协议预期一度下跌，市场风险偏好改善</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市场曾因美国和伊朗达成框架性协议、霍尔木兹通道可能重启的消息而下调油价预期。能源价格回落同时带动通胀预期和美元风险偏好变化。</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油价短期反复意味着海运燃油附加费和出口成本难以稳定，企业应避免用单日价格作为长期报价基础。</w:t>
            </w:r>
          </w:p>
        </w:tc>
      </w:tr>
      <w:tr>
        <w:tc>
          <w:tcPr>
            <w:tcW w:type="dxa" w:w="9406"/>
          </w:tcPr>
          <w:p>
            <w:r/>
            <w:r>
              <w:rPr>
                <w:rFonts w:ascii="Arial" w:hAnsi="Arial" w:eastAsia="Arial"/>
                <w:color w:val="6E6E6E"/>
                <w:sz w:val="20"/>
              </w:rPr>
              <w:t>来源：Axios；日期：2026-05-24；链接：https://www.axios.com/2026/05/24/oil-prices-sink-iran-us-deal-strait-hormuz</w:t>
            </w:r>
          </w:p>
        </w:tc>
      </w:tr>
    </w:tbl>
    <w:p>
      <w:pPr>
        <w:spacing w:before="160" w:after="80"/>
      </w:pPr>
      <w:r>
        <w:rPr>
          <w:rFonts w:ascii="Arial" w:hAnsi="Arial" w:eastAsia="Arial"/>
          <w:b/>
          <w:sz w:val="24"/>
        </w:rPr>
        <w:t>3. IEA称全球石油库存下降，能源市场安全垫变薄</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国际能源署数据显示，近期全球石油库存出现下降，反映供应安全垫收窄。库存变化叠加地缘政治风险，使能源市场更容易受突发事件影响。</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库存下降会增强油价对供应中断的敏感性，进出口企业应将燃油、包装材料和能源密集型产品的成本波动纳入合同条款。</w:t>
            </w:r>
          </w:p>
        </w:tc>
      </w:tr>
      <w:tr>
        <w:tc>
          <w:tcPr>
            <w:tcW w:type="dxa" w:w="9406"/>
          </w:tcPr>
          <w:p>
            <w:r/>
            <w:r>
              <w:rPr>
                <w:rFonts w:ascii="Arial" w:hAnsi="Arial" w:eastAsia="Arial"/>
                <w:color w:val="6E6E6E"/>
                <w:sz w:val="20"/>
              </w:rPr>
              <w:t>来源：Supply Chain Digital；日期：2026-05-23；链接：https://supplychaindigital.com/articles/iea-global-oil-inventories-drop-amid-disruption</w:t>
            </w:r>
          </w:p>
        </w:tc>
      </w:tr>
    </w:tbl>
    <w:p>
      <w:pPr>
        <w:spacing w:before="160" w:after="80"/>
      </w:pPr>
      <w:r>
        <w:rPr>
          <w:rFonts w:ascii="Arial" w:hAnsi="Arial" w:eastAsia="Arial"/>
          <w:b/>
          <w:sz w:val="24"/>
        </w:rPr>
        <w:t>4. CMA CGM一季度表现坚挺，但地缘政治扰动压缩利润率</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CMA CGM披露一季度业绩显示，货运需求具有韧性，但地缘政治扰动、航线绕行和成本压力压缩了利润率。承运人仍需在运力部署和价格策略之间平衡。</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海运市场尚未完全回到低波动环境，出口企业在旺季前应更早确认舱位和目的港费用。</w:t>
            </w:r>
          </w:p>
        </w:tc>
      </w:tr>
      <w:tr>
        <w:tc>
          <w:tcPr>
            <w:tcW w:type="dxa" w:w="9406"/>
          </w:tcPr>
          <w:p>
            <w:r/>
            <w:r>
              <w:rPr>
                <w:rFonts w:ascii="Arial" w:hAnsi="Arial" w:eastAsia="Arial"/>
                <w:color w:val="6E6E6E"/>
                <w:sz w:val="20"/>
              </w:rPr>
              <w:t>来源：MarineLink；日期：2026-05-22；链接：https://www.marinelink.com/news/cma-cgm-q-resilient-geopolitical-527155</w:t>
            </w:r>
          </w:p>
        </w:tc>
      </w:tr>
    </w:tbl>
    <w:p>
      <w:pPr>
        <w:pStyle w:val="Heading2"/>
      </w:pPr>
      <w:r>
        <w:t>供应链与物流</w:t>
      </w:r>
    </w:p>
    <w:p>
      <w:pPr>
        <w:spacing w:before="160" w:after="80"/>
      </w:pPr>
      <w:r>
        <w:rPr>
          <w:rFonts w:ascii="Arial" w:hAnsi="Arial" w:eastAsia="Arial"/>
          <w:b/>
          <w:sz w:val="24"/>
        </w:rPr>
        <w:t>1. 旺季前置推动亚洲区内航线需求和运价走高</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亚洲区内航线出现提前旺季迹象，需求增加推升运价。部分货主提前出货以规避后续拥堵、政策不确定性和价格上涨。</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亚洲区内采购和转运成本可能继续上行，依赖东南亚、中国、日韩区域供应链的企业需提前订舱并比较多港口方案。</w:t>
            </w:r>
          </w:p>
        </w:tc>
      </w:tr>
      <w:tr>
        <w:tc>
          <w:tcPr>
            <w:tcW w:type="dxa" w:w="9406"/>
          </w:tcPr>
          <w:p>
            <w:r/>
            <w:r>
              <w:rPr>
                <w:rFonts w:ascii="Arial" w:hAnsi="Arial" w:eastAsia="Arial"/>
                <w:color w:val="6E6E6E"/>
                <w:sz w:val="20"/>
              </w:rPr>
              <w:t>来源：The Loadstar；日期：2026-05-21；链接：https://theloadstar.com/early-peak-sees-demand-and-rates-increase-on-intra-asia-lanes/</w:t>
            </w:r>
          </w:p>
        </w:tc>
      </w:tr>
    </w:tbl>
    <w:p>
      <w:pPr>
        <w:spacing w:before="160" w:after="80"/>
      </w:pPr>
      <w:r>
        <w:rPr>
          <w:rFonts w:ascii="Arial" w:hAnsi="Arial" w:eastAsia="Arial"/>
          <w:b/>
          <w:sz w:val="24"/>
        </w:rPr>
        <w:t>2. 阿联酋-阿曼第二条多式联运走廊启动，增强海湾供应链韧性</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阿联酋和阿曼之间第二条多式联运走廊被用于维持海湾地区供应链运转。该通道结合海运、陆运和铁路方案，为区域货流提供替代路径。</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中东航线不确定性上升时，替代走廊可降低单一路径中断风险，但企业需要评估转运时效、关务衔接和综合物流成本。</w:t>
            </w:r>
          </w:p>
        </w:tc>
      </w:tr>
      <w:tr>
        <w:tc>
          <w:tcPr>
            <w:tcW w:type="dxa" w:w="9406"/>
          </w:tcPr>
          <w:p>
            <w:r/>
            <w:r>
              <w:rPr>
                <w:rFonts w:ascii="Arial" w:hAnsi="Arial" w:eastAsia="Arial"/>
                <w:color w:val="6E6E6E"/>
                <w:sz w:val="20"/>
              </w:rPr>
              <w:t>来源：The Loadstar；日期：2026-05-21；链接：https://theloadstar.com/second-uae-oman-multimodal-corridor-to-keep-gulf-supply-chains-moving/</w:t>
            </w:r>
          </w:p>
        </w:tc>
      </w:tr>
    </w:tbl>
    <w:p>
      <w:pPr>
        <w:spacing w:before="160" w:after="80"/>
      </w:pPr>
      <w:r>
        <w:rPr>
          <w:rFonts w:ascii="Arial" w:hAnsi="Arial" w:eastAsia="Arial"/>
          <w:b/>
          <w:sz w:val="24"/>
        </w:rPr>
        <w:t>3. 红海与中东风险促使货主重新评估长期海运合约</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货主在签订长期海运合约时更加关注绕航、燃油、战争风险和港口拥堵等附加条款。承运人和货代也在调整价格机制，以应对更频繁的突发风险。</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长期合同不再只看基础运价，外贸企业应明确附加费触发条件、免费期、延误责任和替代港安排。</w:t>
            </w:r>
          </w:p>
        </w:tc>
      </w:tr>
      <w:tr>
        <w:tc>
          <w:tcPr>
            <w:tcW w:type="dxa" w:w="9406"/>
          </w:tcPr>
          <w:p>
            <w:r/>
            <w:r>
              <w:rPr>
                <w:rFonts w:ascii="Arial" w:hAnsi="Arial" w:eastAsia="Arial"/>
                <w:color w:val="6E6E6E"/>
                <w:sz w:val="20"/>
              </w:rPr>
              <w:t>来源：The Loadstar；日期：2026-05-21；链接：https://theloadstar.com/shippers-need-to-be-careful-what-they-wish-for-in-long-term-contracts/</w:t>
            </w:r>
          </w:p>
        </w:tc>
      </w:tr>
    </w:tbl>
    <w:p>
      <w:pPr>
        <w:spacing w:before="160" w:after="80"/>
      </w:pPr>
      <w:r>
        <w:rPr>
          <w:rFonts w:ascii="Arial" w:hAnsi="Arial" w:eastAsia="Arial"/>
          <w:b/>
          <w:sz w:val="24"/>
        </w:rPr>
        <w:t>4. 伊朗相关海底电缆风险提醒企业关注数字供应链安全</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报道指出，围绕伊朗周边海底电缆的安全担忧上升。通信基础设施风险虽不直接等同于货运中断，但会影响跨境支付、订单协同和港航数字系统稳定性。</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外贸企业应备份关键单证、支付和物流沟通渠道，避免通信中断影响清关、收汇和客户交付。</w:t>
            </w:r>
          </w:p>
        </w:tc>
      </w:tr>
      <w:tr>
        <w:tc>
          <w:tcPr>
            <w:tcW w:type="dxa" w:w="9406"/>
          </w:tcPr>
          <w:p>
            <w:r/>
            <w:r>
              <w:rPr>
                <w:rFonts w:ascii="Arial" w:hAnsi="Arial" w:eastAsia="Arial"/>
                <w:color w:val="6E6E6E"/>
                <w:sz w:val="20"/>
              </w:rPr>
              <w:t>来源：Le Monde；日期：2026-05-22；链接：https://www.lemonde.fr/en/international/article/2026/05/22/iran-could-disrupt-undersea-cables_6741586_4.html</w:t>
            </w:r>
          </w:p>
        </w:tc>
      </w:tr>
    </w:tbl>
    <w:p>
      <w:pPr>
        <w:pStyle w:val="Heading2"/>
      </w:pPr>
      <w:r>
        <w:t>汇率与金融</w:t>
      </w:r>
    </w:p>
    <w:p>
      <w:pPr>
        <w:spacing w:before="160" w:after="80"/>
      </w:pPr>
      <w:r>
        <w:rPr>
          <w:rFonts w:ascii="Arial" w:hAnsi="Arial" w:eastAsia="Arial"/>
          <w:b/>
          <w:sz w:val="24"/>
        </w:rPr>
        <w:t>1. 美元因霍尔木兹重开希望和中东消息反复而震荡</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美元在亚洲交易时段承压，市场押注霍尔木兹海峡重开和中东局势降温，但新的军事行动又削弱风险偏好。欧元、日元等主要货币同步波动。</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美元波动会直接影响美元计价订单利润，出口企业应提高锁汇纪律，缩短报价有效期，并对大额订单设置汇率调整条款。</w:t>
            </w:r>
          </w:p>
        </w:tc>
      </w:tr>
      <w:tr>
        <w:tc>
          <w:tcPr>
            <w:tcW w:type="dxa" w:w="9406"/>
          </w:tcPr>
          <w:p>
            <w:r/>
            <w:r>
              <w:rPr>
                <w:rFonts w:ascii="Arial" w:hAnsi="Arial" w:eastAsia="Arial"/>
                <w:color w:val="6E6E6E"/>
                <w:sz w:val="20"/>
              </w:rPr>
              <w:t>来源：Reuters / Investing.com；日期：2026-05-26；链接：https://www.investing.com/news/economy-news/dollar-wobbles-as-markets-cling-to-hopes-for-middle-east-peace-deal-4708692</w:t>
            </w:r>
          </w:p>
        </w:tc>
      </w:tr>
    </w:tbl>
    <w:p>
      <w:pPr>
        <w:spacing w:before="160" w:after="80"/>
      </w:pPr>
      <w:r>
        <w:rPr>
          <w:rFonts w:ascii="Arial" w:hAnsi="Arial" w:eastAsia="Arial"/>
          <w:b/>
          <w:sz w:val="24"/>
        </w:rPr>
        <w:t>2. 印度卢比因伊朗协议预期走强，进口商和出口商套保节奏分化</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印度卢比延续反弹，市场关注油价回落和中东局势缓和对印度贸易账的影响。报道称，出口商可在美元反弹时卖出，而进口商可逢低买入美元进行套保。</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印度市场相关订单需同步关注卢比和油价，特别是以美元报价、卢比结算或涉及印度客户账期的业务。</w:t>
            </w:r>
          </w:p>
        </w:tc>
      </w:tr>
      <w:tr>
        <w:tc>
          <w:tcPr>
            <w:tcW w:type="dxa" w:w="9406"/>
          </w:tcPr>
          <w:p>
            <w:r/>
            <w:r>
              <w:rPr>
                <w:rFonts w:ascii="Arial" w:hAnsi="Arial" w:eastAsia="Arial"/>
                <w:color w:val="6E6E6E"/>
                <w:sz w:val="20"/>
              </w:rPr>
              <w:t>来源：Moneycontrol；日期：2026-05-25；链接：https://www.moneycontrol.com/news/currency/currency-check-rupee-opens-higher-extend-gains-on-third-day-13929547.html</w:t>
            </w:r>
          </w:p>
        </w:tc>
      </w:tr>
    </w:tbl>
    <w:p>
      <w:pPr>
        <w:spacing w:before="160" w:after="80"/>
      </w:pPr>
      <w:r>
        <w:rPr>
          <w:rFonts w:ascii="Arial" w:hAnsi="Arial" w:eastAsia="Arial"/>
          <w:b/>
          <w:sz w:val="24"/>
        </w:rPr>
        <w:t>3. 美元曾接近六周高位，日元和印尼盾相关政策受关注</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美元在中东局势和风险偏好摇摆中一度接近六周高位。报道还提及日本干预预期和印尼要求自然资源出口收入存放国有银行等措施。</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资源品出口国的外汇管理政策可能影响结算节奏和资金回流，企业需关注当地外汇监管与客户付款安排。</w:t>
            </w:r>
          </w:p>
        </w:tc>
      </w:tr>
      <w:tr>
        <w:tc>
          <w:tcPr>
            <w:tcW w:type="dxa" w:w="9406"/>
          </w:tcPr>
          <w:p>
            <w:r/>
            <w:r>
              <w:rPr>
                <w:rFonts w:ascii="Arial" w:hAnsi="Arial" w:eastAsia="Arial"/>
                <w:color w:val="6E6E6E"/>
                <w:sz w:val="20"/>
              </w:rPr>
              <w:t>来源：Reuters / MarketScreener；日期：2026-05-22；链接：https://www.marketscreener.com/news/dollar-perched-near-six-week-high-on-uncertainty-over-us-iran-deal-ce7f5adfdb89f52d</w:t>
            </w:r>
          </w:p>
        </w:tc>
      </w:tr>
    </w:tbl>
    <w:p>
      <w:pPr>
        <w:spacing w:before="160" w:after="80"/>
      </w:pPr>
      <w:r>
        <w:rPr>
          <w:rFonts w:ascii="Arial" w:hAnsi="Arial" w:eastAsia="Arial"/>
          <w:b/>
          <w:sz w:val="24"/>
        </w:rPr>
        <w:t>4. 亚洲外汇市场风险偏好改善，人民币中间价表现偏强</w:t>
      </w:r>
    </w:p>
    <w:tbl>
      <w:tblPr>
        <w:tblStyle w:val="TableGrid"/>
        <w:tblW w:type="auto" w:w="0"/>
        <w:tblLook w:firstColumn="1" w:firstRow="1" w:lastColumn="0" w:lastRow="0" w:noHBand="0" w:noVBand="1" w:val="04A0"/>
      </w:tblPr>
      <w:tblGrid>
        <w:gridCol w:w="9406"/>
      </w:tblGrid>
      <w:tr>
        <w:tc>
          <w:tcPr>
            <w:tcW w:type="dxa" w:w="9406"/>
            <w:shd w:fill="F4F8FB"/>
          </w:tcPr>
          <w:p>
            <w:pPr>
              <w:spacing w:line="276" w:lineRule="auto"/>
            </w:pPr>
            <w:r>
              <w:rPr>
                <w:sz w:val="21"/>
              </w:rPr>
            </w:r>
            <w:r>
              <w:rPr>
                <w:rFonts w:ascii="Arial" w:hAnsi="Arial" w:eastAsia="Arial"/>
                <w:b/>
                <w:sz w:val="21"/>
              </w:rPr>
              <w:t>核心内容：</w:t>
            </w:r>
            <w:r>
              <w:rPr>
                <w:rFonts w:ascii="Arial" w:hAnsi="Arial" w:eastAsia="Arial"/>
                <w:sz w:val="21"/>
              </w:rPr>
              <w:t>亚太外汇市场在油价下跌和中东缓和预期下改善。报道称，人民币兑美元中间价达到2023年2月以来较强水平之一，亚洲货币整体受风险偏好支撑。</w:t>
            </w:r>
          </w:p>
        </w:tc>
      </w:tr>
      <w:tr>
        <w:tc>
          <w:tcPr>
            <w:tcW w:type="dxa" w:w="9406"/>
          </w:tcPr>
          <w:p>
            <w:pPr>
              <w:spacing w:line="276" w:lineRule="auto"/>
            </w:pPr>
            <w:r>
              <w:rPr>
                <w:sz w:val="21"/>
              </w:rPr>
            </w:r>
            <w:r>
              <w:rPr>
                <w:rFonts w:ascii="Arial" w:hAnsi="Arial" w:eastAsia="Arial"/>
                <w:b/>
                <w:sz w:val="21"/>
              </w:rPr>
              <w:t>潜在影响：</w:t>
            </w:r>
            <w:r>
              <w:rPr>
                <w:rFonts w:ascii="Arial" w:hAnsi="Arial" w:eastAsia="Arial"/>
                <w:sz w:val="21"/>
              </w:rPr>
              <w:t>人民币偏强会压缩人民币成本、美元收入型出口企业的利润空间，建议结合订单毛利率设置锁汇比例。</w:t>
            </w:r>
          </w:p>
        </w:tc>
      </w:tr>
      <w:tr>
        <w:tc>
          <w:tcPr>
            <w:tcW w:type="dxa" w:w="9406"/>
          </w:tcPr>
          <w:p>
            <w:r/>
            <w:r>
              <w:rPr>
                <w:rFonts w:ascii="Arial" w:hAnsi="Arial" w:eastAsia="Arial"/>
                <w:color w:val="6E6E6E"/>
                <w:sz w:val="20"/>
              </w:rPr>
              <w:t>来源：investingLive；日期：2026-05-25；链接：https://investinglive.com/news/investinglive-asia-pacific-fx-news-wrap-hormuz-deal-hopes-sink-oil-20260525/</w:t>
            </w:r>
          </w:p>
        </w:tc>
      </w:tr>
    </w:tbl>
    <w:p>
      <w:pPr>
        <w:pStyle w:val="Heading1"/>
      </w:pPr>
      <w:r>
        <w:t>市场趋势研判</w:t>
      </w:r>
    </w:p>
    <w:p>
      <w:r>
        <w:rPr>
          <w:rFonts w:ascii="Arial" w:hAnsi="Arial" w:eastAsia="Arial"/>
        </w:rPr>
        <w:t>本周外贸形势偏谨慎：政策合规成本上升，能源与汇率波动仍会传导至报价，亚洲区域物流需求较强。建议出口企业提高报价有效期管理，并提前锁定舱位与汇率。</w:t>
      </w:r>
    </w:p>
    <w:p>
      <w:pPr>
        <w:pStyle w:val="Heading1"/>
      </w:pPr>
      <w:r>
        <w:t>新闻来源清单</w:t>
      </w:r>
    </w:p>
    <w:p>
      <w:pPr>
        <w:ind w:left="113"/>
      </w:pPr>
      <w:r>
        <w:rPr>
          <w:rFonts w:ascii="Arial" w:hAnsi="Arial" w:eastAsia="Arial"/>
          <w:color w:val="5A5A5A"/>
          <w:sz w:val="20"/>
        </w:rPr>
        <w:t>2026-05-24｜China Daily｜APEC贸易部长会议强调维护开放、非歧视的多边贸易体系｜https://www.chinadaily.com.cn/a/202605/24/WS69284246a310d6866eb2ab90.html</w:t>
      </w:r>
    </w:p>
    <w:p>
      <w:pPr>
        <w:ind w:left="113"/>
      </w:pPr>
      <w:r>
        <w:rPr>
          <w:rFonts w:ascii="Arial" w:hAnsi="Arial" w:eastAsia="Arial"/>
          <w:color w:val="5A5A5A"/>
          <w:sz w:val="20"/>
        </w:rPr>
        <w:t>2026-05-22｜Reuters / MarketScreener｜瑞士扩大针对俄罗斯和白俄罗斯的制裁清单｜https://www.marketscreener.com/news/switzerland-expands-sanctions-against-russia-and-belarus-ce7f5adfdf8ef32e</w:t>
      </w:r>
    </w:p>
    <w:p>
      <w:pPr>
        <w:ind w:left="113"/>
      </w:pPr>
      <w:r>
        <w:rPr>
          <w:rFonts w:ascii="Arial" w:hAnsi="Arial" w:eastAsia="Arial"/>
          <w:color w:val="5A5A5A"/>
          <w:sz w:val="20"/>
        </w:rPr>
        <w:t>2026-05-21｜The Loadstar｜英国航运业即将纳入UK ETS，海运碳成本上升｜https://theloadstar.com/maritime-to-join-uk-ets-from-july-but-shipping-is-already-cleaning-up/</w:t>
      </w:r>
    </w:p>
    <w:p>
      <w:pPr>
        <w:ind w:left="113"/>
      </w:pPr>
      <w:r>
        <w:rPr>
          <w:rFonts w:ascii="Arial" w:hAnsi="Arial" w:eastAsia="Arial"/>
          <w:color w:val="5A5A5A"/>
          <w:sz w:val="20"/>
        </w:rPr>
        <w:t>2026-05-21｜S&amp;P Global Commodity Insights｜欧盟钢铁进口保障措施继续影响相关原材料和制成品流向｜https://www.spglobal.com/commodity-insights/en/news-research/latest-news/metals/052126-eu-steel-safeguards</w:t>
      </w:r>
    </w:p>
    <w:p>
      <w:pPr>
        <w:ind w:left="113"/>
      </w:pPr>
      <w:r>
        <w:rPr>
          <w:rFonts w:ascii="Arial" w:hAnsi="Arial" w:eastAsia="Arial"/>
          <w:color w:val="5A5A5A"/>
          <w:sz w:val="20"/>
        </w:rPr>
        <w:t>2026-05-26｜Reuters / Investing.com｜布伦特原油跳涨约4%，霍尔木兹海峡重开前景仍不明朗｜https://www.investing.com/news/commodities-news/oil-prices-jump-4-as-strait-reopening-prospects-dim-after-trump-posts-iran-warning-4710591</w:t>
      </w:r>
    </w:p>
    <w:p>
      <w:pPr>
        <w:ind w:left="113"/>
      </w:pPr>
      <w:r>
        <w:rPr>
          <w:rFonts w:ascii="Arial" w:hAnsi="Arial" w:eastAsia="Arial"/>
          <w:color w:val="5A5A5A"/>
          <w:sz w:val="20"/>
        </w:rPr>
        <w:t>2026-05-24｜Axios｜油价因美伊协议预期一度下跌，市场风险偏好改善｜https://www.axios.com/2026/05/24/oil-prices-sink-iran-us-deal-strait-hormuz</w:t>
      </w:r>
    </w:p>
    <w:p>
      <w:pPr>
        <w:ind w:left="113"/>
      </w:pPr>
      <w:r>
        <w:rPr>
          <w:rFonts w:ascii="Arial" w:hAnsi="Arial" w:eastAsia="Arial"/>
          <w:color w:val="5A5A5A"/>
          <w:sz w:val="20"/>
        </w:rPr>
        <w:t>2026-05-23｜Supply Chain Digital｜IEA称全球石油库存下降，能源市场安全垫变薄｜https://supplychaindigital.com/articles/iea-global-oil-inventories-drop-amid-disruption</w:t>
      </w:r>
    </w:p>
    <w:p>
      <w:pPr>
        <w:ind w:left="113"/>
      </w:pPr>
      <w:r>
        <w:rPr>
          <w:rFonts w:ascii="Arial" w:hAnsi="Arial" w:eastAsia="Arial"/>
          <w:color w:val="5A5A5A"/>
          <w:sz w:val="20"/>
        </w:rPr>
        <w:t>2026-05-22｜MarineLink｜CMA CGM一季度表现坚挺，但地缘政治扰动压缩利润率｜https://www.marinelink.com/news/cma-cgm-q-resilient-geopolitical-527155</w:t>
      </w:r>
    </w:p>
    <w:p>
      <w:pPr>
        <w:ind w:left="113"/>
      </w:pPr>
      <w:r>
        <w:rPr>
          <w:rFonts w:ascii="Arial" w:hAnsi="Arial" w:eastAsia="Arial"/>
          <w:color w:val="5A5A5A"/>
          <w:sz w:val="20"/>
        </w:rPr>
        <w:t>2026-05-21｜The Loadstar｜旺季前置推动亚洲区内航线需求和运价走高｜https://theloadstar.com/early-peak-sees-demand-and-rates-increase-on-intra-asia-lanes/</w:t>
      </w:r>
    </w:p>
    <w:p>
      <w:pPr>
        <w:ind w:left="113"/>
      </w:pPr>
      <w:r>
        <w:rPr>
          <w:rFonts w:ascii="Arial" w:hAnsi="Arial" w:eastAsia="Arial"/>
          <w:color w:val="5A5A5A"/>
          <w:sz w:val="20"/>
        </w:rPr>
        <w:t>2026-05-21｜The Loadstar｜阿联酋-阿曼第二条多式联运走廊启动，增强海湾供应链韧性｜https://theloadstar.com/second-uae-oman-multimodal-corridor-to-keep-gulf-supply-chains-moving/</w:t>
      </w:r>
    </w:p>
    <w:p>
      <w:pPr>
        <w:ind w:left="113"/>
      </w:pPr>
      <w:r>
        <w:rPr>
          <w:rFonts w:ascii="Arial" w:hAnsi="Arial" w:eastAsia="Arial"/>
          <w:color w:val="5A5A5A"/>
          <w:sz w:val="20"/>
        </w:rPr>
        <w:t>2026-05-21｜The Loadstar｜红海与中东风险促使货主重新评估长期海运合约｜https://theloadstar.com/shippers-need-to-be-careful-what-they-wish-for-in-long-term-contracts/</w:t>
      </w:r>
    </w:p>
    <w:p>
      <w:pPr>
        <w:ind w:left="113"/>
      </w:pPr>
      <w:r>
        <w:rPr>
          <w:rFonts w:ascii="Arial" w:hAnsi="Arial" w:eastAsia="Arial"/>
          <w:color w:val="5A5A5A"/>
          <w:sz w:val="20"/>
        </w:rPr>
        <w:t>2026-05-22｜Le Monde｜伊朗相关海底电缆风险提醒企业关注数字供应链安全｜https://www.lemonde.fr/en/international/article/2026/05/22/iran-could-disrupt-undersea-cables_6741586_4.html</w:t>
      </w:r>
    </w:p>
    <w:p>
      <w:pPr>
        <w:ind w:left="113"/>
      </w:pPr>
      <w:r>
        <w:rPr>
          <w:rFonts w:ascii="Arial" w:hAnsi="Arial" w:eastAsia="Arial"/>
          <w:color w:val="5A5A5A"/>
          <w:sz w:val="20"/>
        </w:rPr>
        <w:t>2026-05-26｜Reuters / Investing.com｜美元因霍尔木兹重开希望和中东消息反复而震荡｜https://www.investing.com/news/economy-news/dollar-wobbles-as-markets-cling-to-hopes-for-middle-east-peace-deal-4708692</w:t>
      </w:r>
    </w:p>
    <w:p>
      <w:pPr>
        <w:ind w:left="113"/>
      </w:pPr>
      <w:r>
        <w:rPr>
          <w:rFonts w:ascii="Arial" w:hAnsi="Arial" w:eastAsia="Arial"/>
          <w:color w:val="5A5A5A"/>
          <w:sz w:val="20"/>
        </w:rPr>
        <w:t>2026-05-25｜Moneycontrol｜印度卢比因伊朗协议预期走强，进口商和出口商套保节奏分化｜https://www.moneycontrol.com/news/currency/currency-check-rupee-opens-higher-extend-gains-on-third-day-13929547.html</w:t>
      </w:r>
    </w:p>
    <w:p>
      <w:pPr>
        <w:ind w:left="113"/>
      </w:pPr>
      <w:r>
        <w:rPr>
          <w:rFonts w:ascii="Arial" w:hAnsi="Arial" w:eastAsia="Arial"/>
          <w:color w:val="5A5A5A"/>
          <w:sz w:val="20"/>
        </w:rPr>
        <w:t>2026-05-22｜Reuters / MarketScreener｜美元曾接近六周高位，日元和印尼盾相关政策受关注｜https://www.marketscreener.com/news/dollar-perched-near-six-week-high-on-uncertainty-over-us-iran-deal-ce7f5adfdb89f52d</w:t>
      </w:r>
    </w:p>
    <w:p>
      <w:pPr>
        <w:ind w:left="113"/>
      </w:pPr>
      <w:r>
        <w:rPr>
          <w:rFonts w:ascii="Arial" w:hAnsi="Arial" w:eastAsia="Arial"/>
          <w:color w:val="5A5A5A"/>
          <w:sz w:val="20"/>
        </w:rPr>
        <w:t>2026-05-25｜investingLive｜亚洲外汇市场风险偏好改善，人民币中间价表现偏强｜https://investinglive.com/news/investinglive-asia-pacific-fx-news-wrap-hormuz-deal-hopes-sink-oil-20260525/</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36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