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AD77D" w14:textId="77777777" w:rsidR="00D557E3" w:rsidRPr="006C3095" w:rsidRDefault="00D557E3" w:rsidP="00D557E3">
      <w:pPr>
        <w:snapToGrid w:val="0"/>
        <w:spacing w:beforeLines="50" w:before="120" w:line="480" w:lineRule="auto"/>
        <w:ind w:right="28"/>
        <w:rPr>
          <w:szCs w:val="22"/>
          <w:lang w:val="en-GB" w:eastAsia="zh-CN"/>
        </w:rPr>
      </w:pPr>
      <w:r w:rsidRPr="00352CCD">
        <w:rPr>
          <w:b/>
          <w:bCs/>
          <w:szCs w:val="22"/>
          <w:lang w:val="en-GB"/>
        </w:rPr>
        <w:t xml:space="preserve">Table </w:t>
      </w:r>
      <w:r>
        <w:rPr>
          <w:rFonts w:hint="eastAsia"/>
          <w:b/>
          <w:bCs/>
          <w:szCs w:val="22"/>
          <w:lang w:val="en-GB" w:eastAsia="zh-CN"/>
        </w:rPr>
        <w:t>S</w:t>
      </w:r>
      <w:r>
        <w:rPr>
          <w:b/>
          <w:bCs/>
          <w:szCs w:val="22"/>
          <w:lang w:val="en-GB"/>
        </w:rPr>
        <w:t>1</w:t>
      </w:r>
      <w:r w:rsidRPr="00352CCD">
        <w:rPr>
          <w:b/>
          <w:bCs/>
          <w:szCs w:val="22"/>
          <w:lang w:val="en-GB"/>
        </w:rPr>
        <w:t>.</w:t>
      </w:r>
      <w:r w:rsidRPr="00352CCD">
        <w:rPr>
          <w:szCs w:val="22"/>
          <w:lang w:val="en-GB"/>
        </w:rPr>
        <w:t xml:space="preserve"> </w:t>
      </w:r>
      <w:r>
        <w:rPr>
          <w:rFonts w:hint="eastAsia"/>
          <w:szCs w:val="22"/>
          <w:lang w:val="en-GB" w:eastAsia="zh-CN"/>
        </w:rPr>
        <w:t>Database of ignition time of wood.</w:t>
      </w:r>
    </w:p>
    <w:tbl>
      <w:tblPr>
        <w:tblStyle w:val="TableGrid"/>
        <w:tblW w:w="0" w:type="auto"/>
        <w:jc w:val="center"/>
        <w:tblLayout w:type="fixed"/>
        <w:tblLook w:val="04A0" w:firstRow="1" w:lastRow="0" w:firstColumn="1" w:lastColumn="0" w:noHBand="0" w:noVBand="1"/>
      </w:tblPr>
      <w:tblGrid>
        <w:gridCol w:w="1242"/>
        <w:gridCol w:w="1927"/>
        <w:gridCol w:w="1371"/>
        <w:gridCol w:w="950"/>
        <w:gridCol w:w="2343"/>
        <w:gridCol w:w="1635"/>
      </w:tblGrid>
      <w:tr w:rsidR="00D557E3" w:rsidRPr="00155D6E" w14:paraId="53753386" w14:textId="77777777" w:rsidTr="00826CB8">
        <w:trPr>
          <w:jc w:val="center"/>
        </w:trPr>
        <w:tc>
          <w:tcPr>
            <w:tcW w:w="1242" w:type="dxa"/>
            <w:vAlign w:val="center"/>
          </w:tcPr>
          <w:p w14:paraId="0B49C203" w14:textId="77777777" w:rsidR="00D557E3" w:rsidRPr="00155D6E" w:rsidRDefault="00D557E3" w:rsidP="00826CB8">
            <w:pPr>
              <w:snapToGrid w:val="0"/>
              <w:spacing w:beforeLines="50" w:before="120" w:line="480" w:lineRule="auto"/>
              <w:ind w:right="28"/>
              <w:jc w:val="center"/>
              <w:rPr>
                <w:sz w:val="20"/>
                <w:lang w:val="en-GB" w:eastAsia="zh-CN"/>
              </w:rPr>
            </w:pPr>
            <w:r w:rsidRPr="00155D6E">
              <w:rPr>
                <w:rFonts w:hint="eastAsia"/>
                <w:sz w:val="20"/>
                <w:lang w:val="en-GB" w:eastAsia="zh-CN"/>
              </w:rPr>
              <w:t>References</w:t>
            </w:r>
          </w:p>
        </w:tc>
        <w:tc>
          <w:tcPr>
            <w:tcW w:w="1927" w:type="dxa"/>
            <w:vAlign w:val="center"/>
          </w:tcPr>
          <w:p w14:paraId="27A49A46" w14:textId="77777777" w:rsidR="00D557E3" w:rsidRPr="00155D6E" w:rsidRDefault="00D557E3" w:rsidP="00826CB8">
            <w:pPr>
              <w:snapToGrid w:val="0"/>
              <w:spacing w:beforeLines="50" w:before="120" w:line="480" w:lineRule="auto"/>
              <w:ind w:right="28"/>
              <w:jc w:val="center"/>
              <w:rPr>
                <w:sz w:val="20"/>
                <w:lang w:val="en-GB" w:eastAsia="zh-CN"/>
              </w:rPr>
            </w:pPr>
            <w:r w:rsidRPr="00155D6E">
              <w:rPr>
                <w:i/>
                <w:iCs/>
                <w:sz w:val="20"/>
                <w:lang w:val="en-GB" w:eastAsia="zh-CN"/>
              </w:rPr>
              <w:t>W</w:t>
            </w:r>
            <w:r w:rsidRPr="00155D6E">
              <w:rPr>
                <w:rFonts w:hint="eastAsia"/>
                <w:i/>
                <w:iCs/>
                <w:sz w:val="20"/>
                <w:lang w:val="en-GB" w:eastAsia="zh-CN"/>
              </w:rPr>
              <w:t>ood species</w:t>
            </w:r>
          </w:p>
        </w:tc>
        <w:tc>
          <w:tcPr>
            <w:tcW w:w="1371" w:type="dxa"/>
            <w:vAlign w:val="center"/>
          </w:tcPr>
          <w:p w14:paraId="70BF3735" w14:textId="77777777" w:rsidR="00D557E3" w:rsidRPr="00155D6E" w:rsidRDefault="00D557E3" w:rsidP="00826CB8">
            <w:pPr>
              <w:spacing w:line="360" w:lineRule="auto"/>
              <w:jc w:val="center"/>
              <w:rPr>
                <w:sz w:val="20"/>
                <w:lang w:val="en-GB" w:eastAsia="zh-CN"/>
              </w:rPr>
            </w:pPr>
            <w:r w:rsidRPr="00155D6E">
              <w:rPr>
                <w:sz w:val="20"/>
                <w:lang w:val="en-GB" w:eastAsia="zh-CN"/>
              </w:rPr>
              <w:t>heat flux</w:t>
            </w:r>
          </w:p>
          <w:p w14:paraId="72B5ECE7" w14:textId="77777777" w:rsidR="00D557E3" w:rsidRPr="00155D6E" w:rsidRDefault="00D557E3" w:rsidP="00826CB8">
            <w:pPr>
              <w:snapToGrid w:val="0"/>
              <w:spacing w:beforeLines="50" w:before="120" w:line="480" w:lineRule="auto"/>
              <w:ind w:right="28"/>
              <w:jc w:val="center"/>
              <w:rPr>
                <w:sz w:val="20"/>
                <w:lang w:val="en-GB" w:eastAsia="zh-CN"/>
              </w:rPr>
            </w:pPr>
            <w:r w:rsidRPr="00155D6E">
              <w:rPr>
                <w:sz w:val="20"/>
                <w:lang w:val="en-GB" w:eastAsia="zh-CN"/>
              </w:rPr>
              <w:t>(kW/m</w:t>
            </w:r>
            <w:r w:rsidRPr="00155D6E">
              <w:rPr>
                <w:sz w:val="20"/>
                <w:vertAlign w:val="superscript"/>
                <w:lang w:val="en-GB" w:eastAsia="zh-CN"/>
              </w:rPr>
              <w:t>2</w:t>
            </w:r>
            <w:r w:rsidRPr="00155D6E">
              <w:rPr>
                <w:sz w:val="20"/>
                <w:lang w:val="en-GB" w:eastAsia="zh-CN"/>
              </w:rPr>
              <w:t>)</w:t>
            </w:r>
          </w:p>
        </w:tc>
        <w:tc>
          <w:tcPr>
            <w:tcW w:w="950" w:type="dxa"/>
            <w:vAlign w:val="center"/>
          </w:tcPr>
          <w:p w14:paraId="484E5579" w14:textId="77777777" w:rsidR="00D557E3" w:rsidRPr="00155D6E" w:rsidRDefault="00D557E3" w:rsidP="00826CB8">
            <w:pPr>
              <w:snapToGrid w:val="0"/>
              <w:spacing w:beforeLines="50" w:before="120" w:line="480" w:lineRule="auto"/>
              <w:ind w:right="28"/>
              <w:jc w:val="center"/>
              <w:rPr>
                <w:sz w:val="20"/>
                <w:lang w:val="en-GB" w:eastAsia="zh-CN"/>
              </w:rPr>
            </w:pPr>
            <w:r w:rsidRPr="00155D6E">
              <w:rPr>
                <w:sz w:val="20"/>
                <w:lang w:val="en-GB" w:eastAsia="zh-CN"/>
              </w:rPr>
              <w:t>moisture content (%)</w:t>
            </w:r>
          </w:p>
        </w:tc>
        <w:tc>
          <w:tcPr>
            <w:tcW w:w="2343" w:type="dxa"/>
            <w:vAlign w:val="center"/>
          </w:tcPr>
          <w:p w14:paraId="0031F108" w14:textId="77777777" w:rsidR="00D557E3" w:rsidRPr="00155D6E" w:rsidRDefault="00D557E3" w:rsidP="00826CB8">
            <w:pPr>
              <w:spacing w:line="360" w:lineRule="auto"/>
              <w:jc w:val="center"/>
              <w:rPr>
                <w:sz w:val="20"/>
                <w:lang w:val="en-GB" w:eastAsia="zh-CN"/>
              </w:rPr>
            </w:pPr>
            <w:r w:rsidRPr="00155D6E">
              <w:rPr>
                <w:sz w:val="20"/>
                <w:lang w:val="en-GB" w:eastAsia="zh-CN"/>
              </w:rPr>
              <w:t>density (kg/m</w:t>
            </w:r>
            <w:r w:rsidRPr="00155D6E">
              <w:rPr>
                <w:sz w:val="20"/>
                <w:vertAlign w:val="superscript"/>
                <w:lang w:val="en-GB" w:eastAsia="zh-CN"/>
              </w:rPr>
              <w:t>3</w:t>
            </w:r>
            <w:r w:rsidRPr="00155D6E">
              <w:rPr>
                <w:sz w:val="20"/>
                <w:lang w:val="en-GB" w:eastAsia="zh-CN"/>
              </w:rPr>
              <w:t>)</w:t>
            </w:r>
          </w:p>
        </w:tc>
        <w:tc>
          <w:tcPr>
            <w:tcW w:w="1635" w:type="dxa"/>
            <w:vAlign w:val="center"/>
          </w:tcPr>
          <w:p w14:paraId="16F86CDE" w14:textId="77777777" w:rsidR="00D557E3" w:rsidRPr="00155D6E" w:rsidRDefault="00D557E3" w:rsidP="00826CB8">
            <w:pPr>
              <w:snapToGrid w:val="0"/>
              <w:spacing w:beforeLines="50" w:before="120" w:line="480" w:lineRule="auto"/>
              <w:ind w:right="28"/>
              <w:jc w:val="center"/>
              <w:rPr>
                <w:sz w:val="20"/>
                <w:lang w:val="en-GB" w:eastAsia="zh-CN"/>
              </w:rPr>
            </w:pPr>
            <w:r w:rsidRPr="00155D6E">
              <w:rPr>
                <w:sz w:val="20"/>
                <w:lang w:val="en-GB" w:eastAsia="zh-CN"/>
              </w:rPr>
              <w:t>ignition time (s)</w:t>
            </w:r>
          </w:p>
        </w:tc>
      </w:tr>
      <w:tr w:rsidR="00D557E3" w:rsidRPr="00155D6E" w14:paraId="299D2516" w14:textId="77777777" w:rsidTr="00826CB8">
        <w:trPr>
          <w:jc w:val="center"/>
        </w:trPr>
        <w:tc>
          <w:tcPr>
            <w:tcW w:w="1242" w:type="dxa"/>
            <w:vAlign w:val="center"/>
          </w:tcPr>
          <w:p w14:paraId="524690B3" w14:textId="15725614" w:rsidR="00D557E3" w:rsidRPr="00155D6E" w:rsidRDefault="00D557E3" w:rsidP="00826CB8">
            <w:pPr>
              <w:snapToGrid w:val="0"/>
              <w:spacing w:beforeLines="50" w:before="120" w:line="480" w:lineRule="auto"/>
              <w:ind w:right="28"/>
              <w:rPr>
                <w:sz w:val="20"/>
                <w:lang w:val="en-GB" w:eastAsia="zh-CN"/>
              </w:rPr>
            </w:pPr>
            <w:r w:rsidRPr="00155D6E">
              <w:rPr>
                <w:sz w:val="20"/>
                <w:lang w:val="en-GB" w:eastAsia="zh-CN"/>
              </w:rPr>
              <w:t xml:space="preserve">Chen et al. (2014) </w:t>
            </w:r>
            <w:r w:rsidRPr="00155D6E">
              <w:rPr>
                <w:sz w:val="20"/>
                <w:lang w:val="en-GB" w:eastAsia="zh-CN"/>
              </w:rPr>
              <w:fldChar w:fldCharType="begin" w:fldLock="1"/>
            </w:r>
            <w:r w:rsidR="006A1A14">
              <w:rPr>
                <w:sz w:val="20"/>
                <w:lang w:val="en-GB" w:eastAsia="zh-CN"/>
              </w:rPr>
              <w:instrText>ADDIN CSL_CITATION {"citationItems":[{"id":"ITEM-1","itemData":{"DOI":"10.1177/0734904114534612","ISSN":"15308049","abstract":"In this work, the pyrolysis and piloted ignition behavior of thermally thick paulownia wood brick for different orientations has been experimentally investigated, by using the conical heater. Three typical orientations were adopted, that is, upward, downward, and vertical cases with the incident heat flux ranging from 12 to 39 kW/m2. A numerical approach was used to test the effect of heat convection and radiation blockage on pyrolysis. The ignition time was observed to be strongly dependent on orientation. In detail, the shortest ignition time turns to be for downward orientation, but longest ignition time for vertical orientation. Total mass loss at ignition is weakly dependent on orientation. Meanwhile, critical mass flux increases with external heat flux rising and varies somewhat with orientation.","author":[{"dropping-particle":"","family":"Chen","given":"Xiao","non-dropping-particle":"","parse-names":false,"suffix":""},{"dropping-particle":"","family":"Zhou","given":"Zhihui","non-dropping-particle":"","parse-names":false,"suffix":""},{"dropping-particle":"","family":"Li","given":"Pan","non-dropping-particle":"","parse-names":false,"suffix":""},{"dropping-particle":"","family":"Zhou","given":"Dechuang","non-dropping-particle":"","parse-names":false,"suffix":""},{"dropping-particle":"","family":"Wang","given":"Jian","non-dropping-particle":"","parse-names":false,"suffix":""}],"container-title":"Journal of Fire Sciences","id":"ITEM-1","issue":"6","issued":{"date-parts":[["2014"]]},"page":"483-497","title":"Effects of sample orientation on pyrolysis and piloted ignition of wood","type":"article-journal","volume":"32"},"uris":["http://www.mendeley.com/documents/?uuid=04027241-61fd-46d1-a209-6915742ce9e5","http://www.mendeley.com/documents/?uuid=db50a488-a052-4ba2-8aa0-18d53c7ebfc6","http://www.mendeley.com/documents/?uuid=cef31f80-8f43-4f99-bcbf-24931b5b7995"]}],"mendeley":{"formattedCitation":"[1]","plainTextFormattedCitation":"[1]","previouslyFormattedCitation":"[52]"},"properties":{"noteIndex":0},"schema":"https://github.com/citation-style-language/schema/raw/master/csl-citation.json"}</w:instrText>
            </w:r>
            <w:r w:rsidRPr="00155D6E">
              <w:rPr>
                <w:sz w:val="20"/>
                <w:lang w:val="en-GB" w:eastAsia="zh-CN"/>
              </w:rPr>
              <w:fldChar w:fldCharType="separate"/>
            </w:r>
            <w:r w:rsidR="006A1A14" w:rsidRPr="006A1A14">
              <w:rPr>
                <w:noProof/>
                <w:sz w:val="20"/>
                <w:lang w:val="en-GB" w:eastAsia="zh-CN"/>
              </w:rPr>
              <w:t>[1]</w:t>
            </w:r>
            <w:r w:rsidRPr="00155D6E">
              <w:rPr>
                <w:sz w:val="20"/>
                <w:lang w:val="en-GB" w:eastAsia="zh-CN"/>
              </w:rPr>
              <w:fldChar w:fldCharType="end"/>
            </w:r>
          </w:p>
        </w:tc>
        <w:tc>
          <w:tcPr>
            <w:tcW w:w="1927" w:type="dxa"/>
            <w:vAlign w:val="center"/>
          </w:tcPr>
          <w:p w14:paraId="7829FA17" w14:textId="77777777" w:rsidR="00D557E3" w:rsidRPr="00155D6E" w:rsidRDefault="00D557E3" w:rsidP="00826CB8">
            <w:pPr>
              <w:snapToGrid w:val="0"/>
              <w:spacing w:beforeLines="50" w:before="120" w:line="480" w:lineRule="auto"/>
              <w:ind w:right="28"/>
              <w:rPr>
                <w:sz w:val="20"/>
                <w:lang w:val="en-GB" w:eastAsia="zh-CN"/>
              </w:rPr>
            </w:pPr>
            <w:r w:rsidRPr="00155D6E">
              <w:rPr>
                <w:rFonts w:hint="eastAsia"/>
                <w:sz w:val="20"/>
                <w:lang w:val="en-GB" w:eastAsia="zh-CN"/>
              </w:rPr>
              <w:t>P</w:t>
            </w:r>
            <w:r w:rsidRPr="00155D6E">
              <w:rPr>
                <w:sz w:val="20"/>
                <w:lang w:val="en-GB" w:eastAsia="zh-CN"/>
              </w:rPr>
              <w:t>aulownia</w:t>
            </w:r>
          </w:p>
        </w:tc>
        <w:tc>
          <w:tcPr>
            <w:tcW w:w="1371" w:type="dxa"/>
            <w:vAlign w:val="center"/>
          </w:tcPr>
          <w:p w14:paraId="7D6C471A" w14:textId="77777777" w:rsidR="00D557E3" w:rsidRPr="00155D6E" w:rsidRDefault="00D557E3" w:rsidP="00826CB8">
            <w:pPr>
              <w:snapToGrid w:val="0"/>
              <w:spacing w:beforeLines="50" w:before="120" w:line="480" w:lineRule="auto"/>
              <w:ind w:right="28"/>
              <w:rPr>
                <w:sz w:val="20"/>
                <w:lang w:val="en-GB" w:eastAsia="zh-CN"/>
              </w:rPr>
            </w:pPr>
            <w:r w:rsidRPr="00155D6E">
              <w:rPr>
                <w:rFonts w:hint="eastAsia"/>
                <w:sz w:val="20"/>
                <w:lang w:val="en-GB" w:eastAsia="zh-CN"/>
              </w:rPr>
              <w:t>12/17.8/30/39</w:t>
            </w:r>
          </w:p>
        </w:tc>
        <w:tc>
          <w:tcPr>
            <w:tcW w:w="950" w:type="dxa"/>
            <w:vAlign w:val="center"/>
          </w:tcPr>
          <w:p w14:paraId="3DF0AF4D" w14:textId="77777777" w:rsidR="00D557E3" w:rsidRPr="00155D6E" w:rsidRDefault="00D557E3" w:rsidP="00826CB8">
            <w:pPr>
              <w:snapToGrid w:val="0"/>
              <w:spacing w:beforeLines="50" w:before="120" w:line="480" w:lineRule="auto"/>
              <w:ind w:right="28"/>
              <w:rPr>
                <w:sz w:val="20"/>
                <w:lang w:val="en-GB" w:eastAsia="zh-CN"/>
              </w:rPr>
            </w:pPr>
            <w:r w:rsidRPr="00155D6E">
              <w:rPr>
                <w:rFonts w:hint="eastAsia"/>
                <w:sz w:val="20"/>
                <w:lang w:val="en-GB" w:eastAsia="zh-CN"/>
              </w:rPr>
              <w:t>15</w:t>
            </w:r>
          </w:p>
        </w:tc>
        <w:tc>
          <w:tcPr>
            <w:tcW w:w="2343" w:type="dxa"/>
            <w:vAlign w:val="center"/>
          </w:tcPr>
          <w:p w14:paraId="5581E461" w14:textId="77777777" w:rsidR="00D557E3" w:rsidRPr="00155D6E" w:rsidRDefault="00D557E3" w:rsidP="00826CB8">
            <w:pPr>
              <w:snapToGrid w:val="0"/>
              <w:spacing w:beforeLines="50" w:before="120" w:line="480" w:lineRule="auto"/>
              <w:ind w:right="28"/>
              <w:rPr>
                <w:sz w:val="20"/>
                <w:lang w:val="en-GB" w:eastAsia="zh-CN"/>
              </w:rPr>
            </w:pPr>
            <w:r w:rsidRPr="00155D6E">
              <w:rPr>
                <w:rFonts w:hint="eastAsia"/>
                <w:sz w:val="20"/>
                <w:lang w:val="en-GB" w:eastAsia="zh-CN"/>
              </w:rPr>
              <w:t>280</w:t>
            </w:r>
          </w:p>
        </w:tc>
        <w:tc>
          <w:tcPr>
            <w:tcW w:w="1635" w:type="dxa"/>
            <w:vAlign w:val="center"/>
          </w:tcPr>
          <w:p w14:paraId="73233B0C" w14:textId="77777777" w:rsidR="00D557E3" w:rsidRPr="00155D6E" w:rsidRDefault="00D557E3" w:rsidP="00826CB8">
            <w:pPr>
              <w:snapToGrid w:val="0"/>
              <w:spacing w:beforeLines="50" w:before="120" w:line="480" w:lineRule="auto"/>
              <w:ind w:right="28"/>
              <w:rPr>
                <w:sz w:val="20"/>
                <w:lang w:val="en-GB" w:eastAsia="zh-CN"/>
              </w:rPr>
            </w:pPr>
            <w:r w:rsidRPr="00155D6E">
              <w:rPr>
                <w:rFonts w:hint="eastAsia"/>
                <w:sz w:val="20"/>
                <w:lang w:val="en-GB" w:eastAsia="zh-CN"/>
              </w:rPr>
              <w:t>160/50/16/7</w:t>
            </w:r>
          </w:p>
        </w:tc>
      </w:tr>
      <w:tr w:rsidR="00D557E3" w:rsidRPr="00155D6E" w14:paraId="25ED9B72" w14:textId="77777777" w:rsidTr="00826CB8">
        <w:trPr>
          <w:jc w:val="center"/>
        </w:trPr>
        <w:tc>
          <w:tcPr>
            <w:tcW w:w="1242" w:type="dxa"/>
            <w:vAlign w:val="center"/>
          </w:tcPr>
          <w:p w14:paraId="0CA47BDC" w14:textId="0D06A72F" w:rsidR="00D557E3" w:rsidRPr="00155D6E" w:rsidRDefault="00D557E3" w:rsidP="00826CB8">
            <w:pPr>
              <w:snapToGrid w:val="0"/>
              <w:spacing w:beforeLines="50" w:before="120" w:line="480" w:lineRule="auto"/>
              <w:ind w:right="28"/>
              <w:rPr>
                <w:sz w:val="20"/>
                <w:lang w:val="en-GB" w:eastAsia="zh-CN"/>
              </w:rPr>
            </w:pPr>
            <w:r w:rsidRPr="00155D6E">
              <w:rPr>
                <w:rFonts w:hint="eastAsia"/>
                <w:sz w:val="20"/>
                <w:lang w:val="en-GB" w:eastAsia="zh-CN"/>
              </w:rPr>
              <w:t xml:space="preserve">Seo et al. (2016) </w:t>
            </w:r>
            <w:r w:rsidRPr="00155D6E">
              <w:rPr>
                <w:sz w:val="20"/>
                <w:lang w:val="en-GB" w:eastAsia="zh-CN"/>
              </w:rPr>
              <w:fldChar w:fldCharType="begin" w:fldLock="1"/>
            </w:r>
            <w:r w:rsidR="006A1A14">
              <w:rPr>
                <w:sz w:val="20"/>
                <w:lang w:val="en-GB" w:eastAsia="zh-CN"/>
              </w:rPr>
              <w:instrText>ADDIN CSL_CITATION {"citationItems":[{"id":"ITEM-1","itemData":{"DOI":"10.15376/biores.11.3.7537-7550","ISSN":"19302126","abstract":"This study examined the combustion and thermal characteristics of domestic wood species in Korea. Wood was tested using a cone calorimeter according to the KS F ISO 5660-1 (2003) standard. The combustion properties of the wood were measured in terms of the heat release rate (HRR), total heat released (THR), mass lose rate (MLR), and ignition time (time to ignition; TTI). An optical microscope was used to determine the anatomical characteristics of wood. Also, the thermal properties were measured using thermogravimetric analysis (TGA) to determine the thermal stability of wood. The results of this experiment could be useful for fundamentals of guiding the combustion properties and thermal stability when using wood for various applications.","author":[{"dropping-particle":"","family":"Seo","given":"Hyun Jeong","non-dropping-particle":"","parse-names":false,"suffix":""},{"dropping-particle":"","family":"Park","given":"Jung Eun","non-dropping-particle":"","parse-names":false,"suffix":""},{"dropping-particle":"","family":"Son","given":"Dong Won","non-dropping-particle":"","parse-names":false,"suffix":""}],"container-title":"BioResources","id":"ITEM-1","issue":"3","issued":{"date-parts":[["2016"]]},"page":"7537-7550","title":"Combustion and thermal characteristics of Korean wood species","type":"article-journal","volume":"11"},"uris":["http://www.mendeley.com/documents/?uuid=5f1b22ec-36a2-4a07-aa1b-2e3d7fba46e9","http://www.mendeley.com/documents/?uuid=2e7f0dc1-36ca-436b-94e2-a674ad6b7833","http://www.mendeley.com/documents/?uuid=d4044c87-1f01-4a06-95bc-fb30bf0fb862"]}],"mendeley":{"formattedCitation":"[2]","plainTextFormattedCitation":"[2]","previouslyFormattedCitation":"[53]"},"properties":{"noteIndex":0},"schema":"https://github.com/citation-style-language/schema/raw/master/csl-citation.json"}</w:instrText>
            </w:r>
            <w:r w:rsidRPr="00155D6E">
              <w:rPr>
                <w:sz w:val="20"/>
                <w:lang w:val="en-GB" w:eastAsia="zh-CN"/>
              </w:rPr>
              <w:fldChar w:fldCharType="separate"/>
            </w:r>
            <w:r w:rsidR="006A1A14" w:rsidRPr="006A1A14">
              <w:rPr>
                <w:noProof/>
                <w:sz w:val="20"/>
                <w:lang w:val="en-GB" w:eastAsia="zh-CN"/>
              </w:rPr>
              <w:t>[2]</w:t>
            </w:r>
            <w:r w:rsidRPr="00155D6E">
              <w:rPr>
                <w:sz w:val="20"/>
                <w:lang w:val="en-GB" w:eastAsia="zh-CN"/>
              </w:rPr>
              <w:fldChar w:fldCharType="end"/>
            </w:r>
          </w:p>
        </w:tc>
        <w:tc>
          <w:tcPr>
            <w:tcW w:w="1927" w:type="dxa"/>
            <w:vAlign w:val="center"/>
          </w:tcPr>
          <w:p w14:paraId="1D30699C" w14:textId="77777777" w:rsidR="00D557E3" w:rsidRPr="00155D6E" w:rsidRDefault="00D557E3" w:rsidP="00826CB8">
            <w:pPr>
              <w:snapToGrid w:val="0"/>
              <w:spacing w:beforeLines="50" w:before="120" w:line="480" w:lineRule="auto"/>
              <w:ind w:right="28"/>
              <w:rPr>
                <w:sz w:val="20"/>
                <w:lang w:val="en-GB" w:eastAsia="zh-CN"/>
              </w:rPr>
            </w:pPr>
            <w:r w:rsidRPr="00155D6E">
              <w:rPr>
                <w:rFonts w:hint="eastAsia"/>
                <w:sz w:val="20"/>
                <w:lang w:val="en-GB" w:eastAsia="zh-CN"/>
              </w:rPr>
              <w:t>Japanese cedar/Korean fir/Japanese larch/red pine/giant dogwood/</w:t>
            </w:r>
            <w:r w:rsidRPr="00155D6E">
              <w:rPr>
                <w:sz w:val="20"/>
                <w:lang w:val="en-GB" w:eastAsia="zh-CN"/>
              </w:rPr>
              <w:t>Manchurian</w:t>
            </w:r>
            <w:r w:rsidRPr="00155D6E">
              <w:rPr>
                <w:rFonts w:hint="eastAsia"/>
                <w:sz w:val="20"/>
                <w:lang w:val="en-GB" w:eastAsia="zh-CN"/>
              </w:rPr>
              <w:t xml:space="preserve"> ash</w:t>
            </w:r>
          </w:p>
        </w:tc>
        <w:tc>
          <w:tcPr>
            <w:tcW w:w="1371" w:type="dxa"/>
            <w:vAlign w:val="center"/>
          </w:tcPr>
          <w:p w14:paraId="65505279" w14:textId="77777777" w:rsidR="00D557E3" w:rsidRPr="00155D6E" w:rsidRDefault="00D557E3" w:rsidP="00826CB8">
            <w:pPr>
              <w:snapToGrid w:val="0"/>
              <w:spacing w:beforeLines="50" w:before="120" w:line="480" w:lineRule="auto"/>
              <w:ind w:right="28"/>
              <w:rPr>
                <w:sz w:val="20"/>
                <w:lang w:val="en-GB" w:eastAsia="zh-CN"/>
              </w:rPr>
            </w:pPr>
            <w:r w:rsidRPr="00155D6E">
              <w:rPr>
                <w:rFonts w:hint="eastAsia"/>
                <w:sz w:val="20"/>
                <w:lang w:val="en-GB" w:eastAsia="zh-CN"/>
              </w:rPr>
              <w:t>50</w:t>
            </w:r>
          </w:p>
        </w:tc>
        <w:tc>
          <w:tcPr>
            <w:tcW w:w="950" w:type="dxa"/>
            <w:vAlign w:val="center"/>
          </w:tcPr>
          <w:p w14:paraId="5578CCC3" w14:textId="77777777" w:rsidR="00D557E3" w:rsidRPr="00155D6E" w:rsidRDefault="00D557E3" w:rsidP="00826CB8">
            <w:pPr>
              <w:snapToGrid w:val="0"/>
              <w:spacing w:beforeLines="50" w:before="120" w:line="480" w:lineRule="auto"/>
              <w:ind w:right="28"/>
              <w:rPr>
                <w:sz w:val="20"/>
                <w:lang w:val="en-GB" w:eastAsia="zh-CN"/>
              </w:rPr>
            </w:pPr>
            <w:r>
              <w:rPr>
                <w:rFonts w:hint="eastAsia"/>
                <w:sz w:val="20"/>
                <w:lang w:val="en-GB" w:eastAsia="zh-CN"/>
              </w:rPr>
              <w:t>n/a</w:t>
            </w:r>
          </w:p>
        </w:tc>
        <w:tc>
          <w:tcPr>
            <w:tcW w:w="2343" w:type="dxa"/>
            <w:vAlign w:val="center"/>
          </w:tcPr>
          <w:p w14:paraId="165448C2" w14:textId="77777777" w:rsidR="00D557E3" w:rsidRPr="00155D6E" w:rsidRDefault="00D557E3" w:rsidP="00826CB8">
            <w:pPr>
              <w:snapToGrid w:val="0"/>
              <w:spacing w:beforeLines="50" w:before="120" w:line="480" w:lineRule="auto"/>
              <w:ind w:right="28"/>
              <w:rPr>
                <w:sz w:val="20"/>
                <w:lang w:val="en-GB" w:eastAsia="zh-CN"/>
              </w:rPr>
            </w:pPr>
            <w:r w:rsidRPr="00155D6E">
              <w:rPr>
                <w:rFonts w:hint="eastAsia"/>
                <w:sz w:val="20"/>
                <w:lang w:val="en-GB" w:eastAsia="zh-CN"/>
              </w:rPr>
              <w:t>310/320/460/540/590/700</w:t>
            </w:r>
          </w:p>
        </w:tc>
        <w:tc>
          <w:tcPr>
            <w:tcW w:w="1635" w:type="dxa"/>
            <w:vAlign w:val="center"/>
          </w:tcPr>
          <w:p w14:paraId="3A77EDE1" w14:textId="77777777" w:rsidR="00D557E3" w:rsidRPr="00155D6E" w:rsidRDefault="00D557E3" w:rsidP="00826CB8">
            <w:pPr>
              <w:snapToGrid w:val="0"/>
              <w:spacing w:beforeLines="50" w:before="120" w:line="480" w:lineRule="auto"/>
              <w:ind w:right="28"/>
              <w:rPr>
                <w:sz w:val="20"/>
                <w:lang w:val="en-GB" w:eastAsia="zh-CN"/>
              </w:rPr>
            </w:pPr>
            <w:r w:rsidRPr="00155D6E">
              <w:rPr>
                <w:rFonts w:hint="eastAsia"/>
                <w:sz w:val="20"/>
                <w:lang w:val="en-GB" w:eastAsia="zh-CN"/>
              </w:rPr>
              <w:t>9/19/18/24/33/40</w:t>
            </w:r>
          </w:p>
        </w:tc>
      </w:tr>
      <w:tr w:rsidR="00D557E3" w:rsidRPr="00155D6E" w14:paraId="11B46515" w14:textId="77777777" w:rsidTr="00826CB8">
        <w:trPr>
          <w:jc w:val="center"/>
        </w:trPr>
        <w:tc>
          <w:tcPr>
            <w:tcW w:w="1242" w:type="dxa"/>
            <w:vAlign w:val="center"/>
          </w:tcPr>
          <w:p w14:paraId="27711B90" w14:textId="7F5BFB6F" w:rsidR="00D557E3" w:rsidRPr="00155D6E" w:rsidRDefault="00D557E3" w:rsidP="00826CB8">
            <w:pPr>
              <w:snapToGrid w:val="0"/>
              <w:spacing w:beforeLines="50" w:before="120" w:line="480" w:lineRule="auto"/>
              <w:ind w:right="28"/>
              <w:rPr>
                <w:sz w:val="20"/>
                <w:lang w:val="en-GB" w:eastAsia="zh-CN"/>
              </w:rPr>
            </w:pPr>
            <w:r w:rsidRPr="00155D6E">
              <w:rPr>
                <w:rFonts w:hint="eastAsia"/>
                <w:sz w:val="20"/>
                <w:lang w:val="en-GB" w:eastAsia="zh-CN"/>
              </w:rPr>
              <w:t xml:space="preserve">Grexa et al. (1997) </w:t>
            </w:r>
            <w:r w:rsidRPr="00155D6E">
              <w:rPr>
                <w:sz w:val="20"/>
                <w:lang w:val="en-GB" w:eastAsia="zh-CN"/>
              </w:rPr>
              <w:fldChar w:fldCharType="begin" w:fldLock="1"/>
            </w:r>
            <w:r w:rsidR="006A1A14">
              <w:rPr>
                <w:sz w:val="20"/>
                <w:lang w:val="en-GB" w:eastAsia="zh-CN"/>
              </w:rPr>
              <w:instrText>ADDIN CSL_CITATION {"citationItems":[{"id":"ITEM-1","itemData":{"author":[{"dropping-particle":"","family":"Grexa","given":"Ondrej","non-dropping-particle":"","parse-names":false,"suffix":""},{"dropping-particle":"","family":"Horvathova","given":"Elena","non-dropping-particle":"","parse-names":false,"suffix":""},{"dropping-particle":"","family":"Osvald","given":"Anton","non-dropping-particle":"","parse-names":false,"suffix":""}],"container-title":"International Symposium on Fire and Technology","id":"ITEM-1","issued":{"date-parts":[["1997"]]},"page":"77 - 84","title":"Cone Calorimeter Studies of Wood Species","type":"article"},"uris":["http://www.mendeley.com/documents/?uuid=2ea1a8a8-e851-4584-ae83-62be6c832949","http://www.mendeley.com/documents/?uuid=848bd783-7322-4917-acff-f52a80c1986d","http://www.mendeley.com/documents/?uuid=1cb86ccf-a88d-416d-be4d-7e8eda83c75c"]}],"mendeley":{"formattedCitation":"[3]","plainTextFormattedCitation":"[3]","previouslyFormattedCitation":"[54]"},"properties":{"noteIndex":0},"schema":"https://github.com/citation-style-language/schema/raw/master/csl-citation.json"}</w:instrText>
            </w:r>
            <w:r w:rsidRPr="00155D6E">
              <w:rPr>
                <w:sz w:val="20"/>
                <w:lang w:val="en-GB" w:eastAsia="zh-CN"/>
              </w:rPr>
              <w:fldChar w:fldCharType="separate"/>
            </w:r>
            <w:r w:rsidR="006A1A14" w:rsidRPr="006A1A14">
              <w:rPr>
                <w:noProof/>
                <w:sz w:val="20"/>
                <w:lang w:val="en-GB" w:eastAsia="zh-CN"/>
              </w:rPr>
              <w:t>[3]</w:t>
            </w:r>
            <w:r w:rsidRPr="00155D6E">
              <w:rPr>
                <w:sz w:val="20"/>
                <w:lang w:val="en-GB" w:eastAsia="zh-CN"/>
              </w:rPr>
              <w:fldChar w:fldCharType="end"/>
            </w:r>
          </w:p>
        </w:tc>
        <w:tc>
          <w:tcPr>
            <w:tcW w:w="1927" w:type="dxa"/>
            <w:vAlign w:val="center"/>
          </w:tcPr>
          <w:p w14:paraId="393B312A" w14:textId="77777777" w:rsidR="00D557E3" w:rsidRPr="00155D6E" w:rsidRDefault="00D557E3" w:rsidP="00826CB8">
            <w:pPr>
              <w:snapToGrid w:val="0"/>
              <w:spacing w:beforeLines="50" w:before="120" w:line="480" w:lineRule="auto"/>
              <w:ind w:right="28"/>
              <w:rPr>
                <w:sz w:val="20"/>
                <w:lang w:val="en-GB" w:eastAsia="zh-CN"/>
              </w:rPr>
            </w:pPr>
            <w:r w:rsidRPr="00155D6E">
              <w:rPr>
                <w:rFonts w:hint="eastAsia"/>
                <w:sz w:val="20"/>
                <w:lang w:val="en-GB" w:eastAsia="zh-CN"/>
              </w:rPr>
              <w:t>Spruce</w:t>
            </w:r>
          </w:p>
        </w:tc>
        <w:tc>
          <w:tcPr>
            <w:tcW w:w="1371" w:type="dxa"/>
            <w:vAlign w:val="center"/>
          </w:tcPr>
          <w:p w14:paraId="2ED9E789" w14:textId="77777777" w:rsidR="00D557E3" w:rsidRPr="00155D6E" w:rsidRDefault="00D557E3" w:rsidP="00826CB8">
            <w:pPr>
              <w:snapToGrid w:val="0"/>
              <w:spacing w:beforeLines="50" w:before="120" w:line="480" w:lineRule="auto"/>
              <w:ind w:right="28"/>
              <w:rPr>
                <w:sz w:val="20"/>
                <w:lang w:val="en-GB" w:eastAsia="zh-CN"/>
              </w:rPr>
            </w:pPr>
            <w:r w:rsidRPr="00155D6E">
              <w:rPr>
                <w:rFonts w:hint="eastAsia"/>
                <w:sz w:val="20"/>
                <w:lang w:val="en-GB" w:eastAsia="zh-CN"/>
              </w:rPr>
              <w:t>30/50/65</w:t>
            </w:r>
          </w:p>
        </w:tc>
        <w:tc>
          <w:tcPr>
            <w:tcW w:w="950" w:type="dxa"/>
            <w:vAlign w:val="center"/>
          </w:tcPr>
          <w:p w14:paraId="78942CFC" w14:textId="77777777" w:rsidR="00D557E3" w:rsidRPr="00155D6E" w:rsidRDefault="00D557E3" w:rsidP="00826CB8">
            <w:pPr>
              <w:snapToGrid w:val="0"/>
              <w:spacing w:beforeLines="50" w:before="120" w:line="480" w:lineRule="auto"/>
              <w:ind w:right="28"/>
              <w:rPr>
                <w:sz w:val="20"/>
                <w:lang w:val="en-GB" w:eastAsia="zh-CN"/>
              </w:rPr>
            </w:pPr>
            <w:r w:rsidRPr="00155D6E">
              <w:rPr>
                <w:rFonts w:hint="eastAsia"/>
                <w:sz w:val="20"/>
                <w:lang w:val="en-GB" w:eastAsia="zh-CN"/>
              </w:rPr>
              <w:t>10.2</w:t>
            </w:r>
          </w:p>
        </w:tc>
        <w:tc>
          <w:tcPr>
            <w:tcW w:w="2343" w:type="dxa"/>
            <w:vAlign w:val="center"/>
          </w:tcPr>
          <w:p w14:paraId="678EC4EB" w14:textId="77777777" w:rsidR="00D557E3" w:rsidRPr="00155D6E" w:rsidRDefault="00D557E3" w:rsidP="00826CB8">
            <w:pPr>
              <w:snapToGrid w:val="0"/>
              <w:spacing w:beforeLines="50" w:before="120" w:line="480" w:lineRule="auto"/>
              <w:ind w:right="28"/>
              <w:rPr>
                <w:sz w:val="20"/>
                <w:lang w:val="en-GB" w:eastAsia="zh-CN"/>
              </w:rPr>
            </w:pPr>
            <w:r w:rsidRPr="00155D6E">
              <w:rPr>
                <w:rFonts w:hint="eastAsia"/>
                <w:sz w:val="20"/>
                <w:lang w:val="en-GB" w:eastAsia="zh-CN"/>
              </w:rPr>
              <w:t>506</w:t>
            </w:r>
          </w:p>
        </w:tc>
        <w:tc>
          <w:tcPr>
            <w:tcW w:w="1635" w:type="dxa"/>
            <w:vAlign w:val="center"/>
          </w:tcPr>
          <w:p w14:paraId="6B25517F" w14:textId="77777777" w:rsidR="00D557E3" w:rsidRPr="00155D6E" w:rsidRDefault="00D557E3" w:rsidP="00826CB8">
            <w:pPr>
              <w:snapToGrid w:val="0"/>
              <w:spacing w:beforeLines="50" w:before="120" w:line="480" w:lineRule="auto"/>
              <w:ind w:right="28"/>
              <w:rPr>
                <w:sz w:val="20"/>
                <w:lang w:val="en-GB" w:eastAsia="zh-CN"/>
              </w:rPr>
            </w:pPr>
            <w:r w:rsidRPr="00155D6E">
              <w:rPr>
                <w:rFonts w:hint="eastAsia"/>
                <w:sz w:val="20"/>
                <w:lang w:val="en-GB" w:eastAsia="zh-CN"/>
              </w:rPr>
              <w:t>62/18/10</w:t>
            </w:r>
          </w:p>
        </w:tc>
      </w:tr>
      <w:tr w:rsidR="00D557E3" w:rsidRPr="00155D6E" w14:paraId="6E539289" w14:textId="77777777" w:rsidTr="00826CB8">
        <w:trPr>
          <w:jc w:val="center"/>
        </w:trPr>
        <w:tc>
          <w:tcPr>
            <w:tcW w:w="1242" w:type="dxa"/>
            <w:vAlign w:val="center"/>
          </w:tcPr>
          <w:p w14:paraId="5096987D" w14:textId="30C1754E" w:rsidR="00D557E3" w:rsidRPr="00155D6E" w:rsidRDefault="00D557E3" w:rsidP="00826CB8">
            <w:pPr>
              <w:snapToGrid w:val="0"/>
              <w:spacing w:beforeLines="50" w:before="120" w:line="480" w:lineRule="auto"/>
              <w:ind w:right="28"/>
              <w:rPr>
                <w:sz w:val="20"/>
                <w:lang w:val="en-GB" w:eastAsia="zh-CN"/>
              </w:rPr>
            </w:pPr>
            <w:r w:rsidRPr="00155D6E">
              <w:rPr>
                <w:rFonts w:hint="eastAsia"/>
                <w:sz w:val="20"/>
                <w:lang w:val="en-GB" w:eastAsia="zh-CN"/>
              </w:rPr>
              <w:t xml:space="preserve">Grexa et al. (1997) </w:t>
            </w:r>
            <w:r w:rsidRPr="00155D6E">
              <w:rPr>
                <w:sz w:val="20"/>
                <w:lang w:val="en-GB" w:eastAsia="zh-CN"/>
              </w:rPr>
              <w:fldChar w:fldCharType="begin" w:fldLock="1"/>
            </w:r>
            <w:r w:rsidR="006A1A14">
              <w:rPr>
                <w:sz w:val="20"/>
                <w:lang w:val="en-GB" w:eastAsia="zh-CN"/>
              </w:rPr>
              <w:instrText>ADDIN CSL_CITATION {"citationItems":[{"id":"ITEM-1","itemData":{"author":[{"dropping-particle":"","family":"Grexa","given":"Ondrej","non-dropping-particle":"","parse-names":false,"suffix":""},{"dropping-particle":"","family":"Horvathova","given":"Elena","non-dropping-particle":"","parse-names":false,"suffix":""},{"dropping-particle":"","family":"Osvald","given":"Anton","non-dropping-particle":"","parse-names":false,"suffix":""}],"container-title":"International Symposium on Fire and Technology","id":"ITEM-1","issued":{"date-parts":[["1997"]]},"page":"77 - 84","title":"Cone Calorimeter Studies of Wood Species","type":"article"},"uris":["http://www.mendeley.com/documents/?uuid=1cb86ccf-a88d-416d-be4d-7e8eda83c75c","http://www.mendeley.com/documents/?uuid=848bd783-7322-4917-acff-f52a80c1986d","http://www.mendeley.com/documents/?uuid=2ea1a8a8-e851-4584-ae83-62be6c832949"]}],"mendeley":{"formattedCitation":"[3]","plainTextFormattedCitation":"[3]","previouslyFormattedCitation":"[54]"},"properties":{"noteIndex":0},"schema":"https://github.com/citation-style-language/schema/raw/master/csl-citation.json"}</w:instrText>
            </w:r>
            <w:r w:rsidRPr="00155D6E">
              <w:rPr>
                <w:sz w:val="20"/>
                <w:lang w:val="en-GB" w:eastAsia="zh-CN"/>
              </w:rPr>
              <w:fldChar w:fldCharType="separate"/>
            </w:r>
            <w:r w:rsidR="006A1A14" w:rsidRPr="006A1A14">
              <w:rPr>
                <w:noProof/>
                <w:sz w:val="20"/>
                <w:lang w:val="en-GB" w:eastAsia="zh-CN"/>
              </w:rPr>
              <w:t>[3]</w:t>
            </w:r>
            <w:r w:rsidRPr="00155D6E">
              <w:rPr>
                <w:sz w:val="20"/>
                <w:lang w:val="en-GB" w:eastAsia="zh-CN"/>
              </w:rPr>
              <w:fldChar w:fldCharType="end"/>
            </w:r>
          </w:p>
        </w:tc>
        <w:tc>
          <w:tcPr>
            <w:tcW w:w="1927" w:type="dxa"/>
            <w:vAlign w:val="center"/>
          </w:tcPr>
          <w:p w14:paraId="3C64E6A7" w14:textId="77777777" w:rsidR="00D557E3" w:rsidRPr="00155D6E" w:rsidRDefault="00D557E3" w:rsidP="00826CB8">
            <w:pPr>
              <w:snapToGrid w:val="0"/>
              <w:spacing w:beforeLines="50" w:before="120" w:line="480" w:lineRule="auto"/>
              <w:ind w:right="28"/>
              <w:rPr>
                <w:sz w:val="20"/>
                <w:lang w:val="en-GB" w:eastAsia="zh-CN"/>
              </w:rPr>
            </w:pPr>
            <w:r w:rsidRPr="00155D6E">
              <w:rPr>
                <w:sz w:val="20"/>
                <w:lang w:val="en-GB" w:eastAsia="zh-CN"/>
              </w:rPr>
              <w:t>P</w:t>
            </w:r>
            <w:r w:rsidRPr="00155D6E">
              <w:rPr>
                <w:rFonts w:hint="eastAsia"/>
                <w:sz w:val="20"/>
                <w:lang w:val="en-GB" w:eastAsia="zh-CN"/>
              </w:rPr>
              <w:t>olar</w:t>
            </w:r>
          </w:p>
        </w:tc>
        <w:tc>
          <w:tcPr>
            <w:tcW w:w="1371" w:type="dxa"/>
            <w:vAlign w:val="center"/>
          </w:tcPr>
          <w:p w14:paraId="05F15616" w14:textId="77777777" w:rsidR="00D557E3" w:rsidRPr="00155D6E" w:rsidRDefault="00D557E3" w:rsidP="00826CB8">
            <w:pPr>
              <w:snapToGrid w:val="0"/>
              <w:spacing w:beforeLines="50" w:before="120" w:line="480" w:lineRule="auto"/>
              <w:ind w:right="28"/>
              <w:rPr>
                <w:sz w:val="20"/>
                <w:lang w:val="en-GB" w:eastAsia="zh-CN"/>
              </w:rPr>
            </w:pPr>
            <w:r w:rsidRPr="00155D6E">
              <w:rPr>
                <w:rFonts w:hint="eastAsia"/>
                <w:sz w:val="20"/>
                <w:lang w:val="en-GB" w:eastAsia="zh-CN"/>
              </w:rPr>
              <w:t>30/50/65</w:t>
            </w:r>
          </w:p>
        </w:tc>
        <w:tc>
          <w:tcPr>
            <w:tcW w:w="950" w:type="dxa"/>
            <w:vAlign w:val="center"/>
          </w:tcPr>
          <w:p w14:paraId="16802D10" w14:textId="77777777" w:rsidR="00D557E3" w:rsidRPr="00155D6E" w:rsidRDefault="00D557E3" w:rsidP="00826CB8">
            <w:pPr>
              <w:snapToGrid w:val="0"/>
              <w:spacing w:beforeLines="50" w:before="120" w:line="480" w:lineRule="auto"/>
              <w:ind w:right="28"/>
              <w:rPr>
                <w:sz w:val="20"/>
                <w:lang w:val="en-GB" w:eastAsia="zh-CN"/>
              </w:rPr>
            </w:pPr>
            <w:r w:rsidRPr="00155D6E">
              <w:rPr>
                <w:rFonts w:hint="eastAsia"/>
                <w:sz w:val="20"/>
                <w:lang w:val="en-GB" w:eastAsia="zh-CN"/>
              </w:rPr>
              <w:t>9.8</w:t>
            </w:r>
          </w:p>
        </w:tc>
        <w:tc>
          <w:tcPr>
            <w:tcW w:w="2343" w:type="dxa"/>
            <w:vAlign w:val="center"/>
          </w:tcPr>
          <w:p w14:paraId="4E4D7296" w14:textId="77777777" w:rsidR="00D557E3" w:rsidRPr="00155D6E" w:rsidRDefault="00D557E3" w:rsidP="00826CB8">
            <w:pPr>
              <w:snapToGrid w:val="0"/>
              <w:spacing w:beforeLines="50" w:before="120" w:line="480" w:lineRule="auto"/>
              <w:ind w:right="28"/>
              <w:rPr>
                <w:sz w:val="20"/>
                <w:lang w:val="en-GB" w:eastAsia="zh-CN"/>
              </w:rPr>
            </w:pPr>
            <w:r w:rsidRPr="00155D6E">
              <w:rPr>
                <w:rFonts w:hint="eastAsia"/>
                <w:sz w:val="20"/>
                <w:lang w:val="en-GB" w:eastAsia="zh-CN"/>
              </w:rPr>
              <w:t>336</w:t>
            </w:r>
          </w:p>
        </w:tc>
        <w:tc>
          <w:tcPr>
            <w:tcW w:w="1635" w:type="dxa"/>
            <w:vAlign w:val="center"/>
          </w:tcPr>
          <w:p w14:paraId="0C31D20A" w14:textId="77777777" w:rsidR="00D557E3" w:rsidRPr="00155D6E" w:rsidRDefault="00D557E3" w:rsidP="00826CB8">
            <w:pPr>
              <w:snapToGrid w:val="0"/>
              <w:spacing w:beforeLines="50" w:before="120" w:line="480" w:lineRule="auto"/>
              <w:ind w:right="28"/>
              <w:rPr>
                <w:sz w:val="20"/>
                <w:lang w:val="en-GB" w:eastAsia="zh-CN"/>
              </w:rPr>
            </w:pPr>
            <w:r w:rsidRPr="00155D6E">
              <w:rPr>
                <w:rFonts w:hint="eastAsia"/>
                <w:sz w:val="20"/>
                <w:lang w:val="en-GB" w:eastAsia="zh-CN"/>
              </w:rPr>
              <w:t>49/11/5.5</w:t>
            </w:r>
          </w:p>
        </w:tc>
      </w:tr>
      <w:tr w:rsidR="00D557E3" w:rsidRPr="00155D6E" w14:paraId="0FE85BB7" w14:textId="77777777" w:rsidTr="00826CB8">
        <w:trPr>
          <w:jc w:val="center"/>
        </w:trPr>
        <w:tc>
          <w:tcPr>
            <w:tcW w:w="1242" w:type="dxa"/>
            <w:vAlign w:val="center"/>
          </w:tcPr>
          <w:p w14:paraId="172987DC" w14:textId="1795AB48" w:rsidR="00D557E3" w:rsidRPr="00155D6E" w:rsidRDefault="00D557E3" w:rsidP="00826CB8">
            <w:pPr>
              <w:snapToGrid w:val="0"/>
              <w:spacing w:beforeLines="50" w:before="120" w:line="480" w:lineRule="auto"/>
              <w:ind w:right="28"/>
              <w:rPr>
                <w:sz w:val="20"/>
                <w:lang w:val="en-GB" w:eastAsia="zh-CN"/>
              </w:rPr>
            </w:pPr>
            <w:r w:rsidRPr="00155D6E">
              <w:rPr>
                <w:rFonts w:hint="eastAsia"/>
                <w:sz w:val="20"/>
                <w:lang w:val="en-GB" w:eastAsia="zh-CN"/>
              </w:rPr>
              <w:t xml:space="preserve">Grexa et al. (1997) </w:t>
            </w:r>
            <w:r w:rsidRPr="00155D6E">
              <w:rPr>
                <w:sz w:val="20"/>
                <w:lang w:val="en-GB" w:eastAsia="zh-CN"/>
              </w:rPr>
              <w:fldChar w:fldCharType="begin" w:fldLock="1"/>
            </w:r>
            <w:r w:rsidR="006A1A14">
              <w:rPr>
                <w:sz w:val="20"/>
                <w:lang w:val="en-GB" w:eastAsia="zh-CN"/>
              </w:rPr>
              <w:instrText>ADDIN CSL_CITATION {"citationItems":[{"id":"ITEM-1","itemData":{"author":[{"dropping-particle":"","family":"Grexa","given":"Ondrej","non-dropping-particle":"","parse-names":false,"suffix":""},{"dropping-particle":"","family":"Horvathova","given":"Elena","non-dropping-particle":"","parse-names":false,"suffix":""},{"dropping-particle":"","family":"Osvald","given":"Anton","non-dropping-particle":"","parse-names":false,"suffix":""}],"container-title":"International Symposium on Fire and Technology","id":"ITEM-1","issued":{"date-parts":[["1997"]]},"page":"77 - 84","title":"Cone Calorimeter Studies of Wood Species","type":"article"},"uris":["http://www.mendeley.com/documents/?uuid=1cb86ccf-a88d-416d-be4d-7e8eda83c75c","http://www.mendeley.com/documents/?uuid=848bd783-7322-4917-acff-f52a80c1986d","http://www.mendeley.com/documents/?uuid=2ea1a8a8-e851-4584-ae83-62be6c832949"]}],"mendeley":{"formattedCitation":"[3]","plainTextFormattedCitation":"[3]","previouslyFormattedCitation":"[54]"},"properties":{"noteIndex":0},"schema":"https://github.com/citation-style-language/schema/raw/master/csl-citation.json"}</w:instrText>
            </w:r>
            <w:r w:rsidRPr="00155D6E">
              <w:rPr>
                <w:sz w:val="20"/>
                <w:lang w:val="en-GB" w:eastAsia="zh-CN"/>
              </w:rPr>
              <w:fldChar w:fldCharType="separate"/>
            </w:r>
            <w:r w:rsidR="006A1A14" w:rsidRPr="006A1A14">
              <w:rPr>
                <w:noProof/>
                <w:sz w:val="20"/>
                <w:lang w:val="en-GB" w:eastAsia="zh-CN"/>
              </w:rPr>
              <w:t>[3]</w:t>
            </w:r>
            <w:r w:rsidRPr="00155D6E">
              <w:rPr>
                <w:sz w:val="20"/>
                <w:lang w:val="en-GB" w:eastAsia="zh-CN"/>
              </w:rPr>
              <w:fldChar w:fldCharType="end"/>
            </w:r>
          </w:p>
        </w:tc>
        <w:tc>
          <w:tcPr>
            <w:tcW w:w="1927" w:type="dxa"/>
            <w:vAlign w:val="center"/>
          </w:tcPr>
          <w:p w14:paraId="2F4DC097" w14:textId="77777777" w:rsidR="00D557E3" w:rsidRPr="00155D6E" w:rsidRDefault="00D557E3" w:rsidP="00826CB8">
            <w:pPr>
              <w:snapToGrid w:val="0"/>
              <w:spacing w:beforeLines="50" w:before="120" w:line="480" w:lineRule="auto"/>
              <w:ind w:right="28"/>
              <w:rPr>
                <w:sz w:val="20"/>
                <w:lang w:val="en-GB" w:eastAsia="zh-CN"/>
              </w:rPr>
            </w:pPr>
            <w:r w:rsidRPr="00155D6E">
              <w:rPr>
                <w:rFonts w:hint="eastAsia"/>
                <w:sz w:val="20"/>
                <w:lang w:val="en-GB" w:eastAsia="zh-CN"/>
              </w:rPr>
              <w:t>Oak</w:t>
            </w:r>
          </w:p>
        </w:tc>
        <w:tc>
          <w:tcPr>
            <w:tcW w:w="1371" w:type="dxa"/>
            <w:vAlign w:val="center"/>
          </w:tcPr>
          <w:p w14:paraId="54E22723" w14:textId="77777777" w:rsidR="00D557E3" w:rsidRPr="00155D6E" w:rsidRDefault="00D557E3" w:rsidP="00826CB8">
            <w:pPr>
              <w:snapToGrid w:val="0"/>
              <w:spacing w:beforeLines="50" w:before="120" w:line="480" w:lineRule="auto"/>
              <w:ind w:right="28"/>
              <w:rPr>
                <w:sz w:val="20"/>
                <w:lang w:val="en-GB" w:eastAsia="zh-CN"/>
              </w:rPr>
            </w:pPr>
            <w:r w:rsidRPr="00155D6E">
              <w:rPr>
                <w:rFonts w:hint="eastAsia"/>
                <w:sz w:val="20"/>
                <w:lang w:val="en-GB" w:eastAsia="zh-CN"/>
              </w:rPr>
              <w:t>30/50/65</w:t>
            </w:r>
          </w:p>
        </w:tc>
        <w:tc>
          <w:tcPr>
            <w:tcW w:w="950" w:type="dxa"/>
            <w:vAlign w:val="center"/>
          </w:tcPr>
          <w:p w14:paraId="03045218" w14:textId="77777777" w:rsidR="00D557E3" w:rsidRPr="00155D6E" w:rsidRDefault="00D557E3" w:rsidP="00826CB8">
            <w:pPr>
              <w:snapToGrid w:val="0"/>
              <w:spacing w:beforeLines="50" w:before="120" w:line="480" w:lineRule="auto"/>
              <w:ind w:right="28"/>
              <w:rPr>
                <w:sz w:val="20"/>
                <w:lang w:val="en-GB" w:eastAsia="zh-CN"/>
              </w:rPr>
            </w:pPr>
            <w:r w:rsidRPr="00155D6E">
              <w:rPr>
                <w:rFonts w:hint="eastAsia"/>
                <w:sz w:val="20"/>
                <w:lang w:val="en-GB" w:eastAsia="zh-CN"/>
              </w:rPr>
              <w:t>10.4</w:t>
            </w:r>
          </w:p>
        </w:tc>
        <w:tc>
          <w:tcPr>
            <w:tcW w:w="2343" w:type="dxa"/>
            <w:vAlign w:val="center"/>
          </w:tcPr>
          <w:p w14:paraId="57CE172B" w14:textId="77777777" w:rsidR="00D557E3" w:rsidRPr="00155D6E" w:rsidRDefault="00D557E3" w:rsidP="00826CB8">
            <w:pPr>
              <w:snapToGrid w:val="0"/>
              <w:spacing w:beforeLines="50" w:before="120" w:line="480" w:lineRule="auto"/>
              <w:ind w:right="28"/>
              <w:rPr>
                <w:sz w:val="20"/>
                <w:lang w:val="en-GB" w:eastAsia="zh-CN"/>
              </w:rPr>
            </w:pPr>
            <w:r w:rsidRPr="00155D6E">
              <w:rPr>
                <w:rFonts w:hint="eastAsia"/>
                <w:sz w:val="20"/>
                <w:lang w:val="en-GB" w:eastAsia="zh-CN"/>
              </w:rPr>
              <w:t>620</w:t>
            </w:r>
          </w:p>
        </w:tc>
        <w:tc>
          <w:tcPr>
            <w:tcW w:w="1635" w:type="dxa"/>
            <w:vAlign w:val="center"/>
          </w:tcPr>
          <w:p w14:paraId="185BAC29" w14:textId="77777777" w:rsidR="00D557E3" w:rsidRPr="00155D6E" w:rsidRDefault="00D557E3" w:rsidP="00826CB8">
            <w:pPr>
              <w:snapToGrid w:val="0"/>
              <w:spacing w:beforeLines="50" w:before="120" w:line="480" w:lineRule="auto"/>
              <w:ind w:right="28"/>
              <w:rPr>
                <w:sz w:val="20"/>
                <w:lang w:val="en-GB" w:eastAsia="zh-CN"/>
              </w:rPr>
            </w:pPr>
            <w:r w:rsidRPr="00155D6E">
              <w:rPr>
                <w:rFonts w:hint="eastAsia"/>
                <w:sz w:val="20"/>
                <w:lang w:val="en-GB" w:eastAsia="zh-CN"/>
              </w:rPr>
              <w:t>110/28/15</w:t>
            </w:r>
          </w:p>
        </w:tc>
      </w:tr>
      <w:tr w:rsidR="00D557E3" w:rsidRPr="00155D6E" w14:paraId="7C889CA9" w14:textId="77777777" w:rsidTr="00826CB8">
        <w:trPr>
          <w:jc w:val="center"/>
        </w:trPr>
        <w:tc>
          <w:tcPr>
            <w:tcW w:w="1242" w:type="dxa"/>
            <w:vAlign w:val="center"/>
          </w:tcPr>
          <w:p w14:paraId="60134582" w14:textId="472FC23C" w:rsidR="00D557E3" w:rsidRPr="00155D6E" w:rsidRDefault="00D557E3" w:rsidP="00826CB8">
            <w:pPr>
              <w:snapToGrid w:val="0"/>
              <w:spacing w:beforeLines="50" w:before="120" w:line="480" w:lineRule="auto"/>
              <w:ind w:right="28"/>
              <w:rPr>
                <w:sz w:val="20"/>
                <w:lang w:val="en-GB" w:eastAsia="zh-CN"/>
              </w:rPr>
            </w:pPr>
            <w:r w:rsidRPr="00155D6E">
              <w:rPr>
                <w:rFonts w:hint="eastAsia"/>
                <w:sz w:val="20"/>
                <w:lang w:val="en-GB" w:eastAsia="zh-CN"/>
              </w:rPr>
              <w:t xml:space="preserve">Grexa et al. (1997) </w:t>
            </w:r>
            <w:r w:rsidRPr="00155D6E">
              <w:rPr>
                <w:sz w:val="20"/>
                <w:lang w:val="en-GB" w:eastAsia="zh-CN"/>
              </w:rPr>
              <w:fldChar w:fldCharType="begin" w:fldLock="1"/>
            </w:r>
            <w:r w:rsidR="006A1A14">
              <w:rPr>
                <w:sz w:val="20"/>
                <w:lang w:val="en-GB" w:eastAsia="zh-CN"/>
              </w:rPr>
              <w:instrText>ADDIN CSL_CITATION {"citationItems":[{"id":"ITEM-1","itemData":{"author":[{"dropping-particle":"","family":"Grexa","given":"Ondrej","non-dropping-particle":"","parse-names":false,"suffix":""},{"dropping-particle":"","family":"Horvathova","given":"Elena","non-dropping-particle":"","parse-names":false,"suffix":""},{"dropping-particle":"","family":"Osvald","given":"Anton","non-dropping-particle":"","parse-names":false,"suffix":""}],"container-title":"International Symposium on Fire and Technology","id":"ITEM-1","issued":{"date-parts":[["1997"]]},"page":"77 - 84","title":"Cone Calorimeter Studies of Wood Species","type":"article"},"uris":["http://www.mendeley.com/documents/?uuid=1cb86ccf-a88d-416d-be4d-7e8eda83c75c","http://www.mendeley.com/documents/?uuid=848bd783-7322-4917-acff-f52a80c1986d","http://www.mendeley.com/documents/?uuid=2ea1a8a8-e851-4584-ae83-62be6c832949"]}],"mendeley":{"formattedCitation":"[3]","plainTextFormattedCitation":"[3]","previouslyFormattedCitation":"[54]"},"properties":{"noteIndex":0},"schema":"https://github.com/citation-style-language/schema/raw/master/csl-citation.json"}</w:instrText>
            </w:r>
            <w:r w:rsidRPr="00155D6E">
              <w:rPr>
                <w:sz w:val="20"/>
                <w:lang w:val="en-GB" w:eastAsia="zh-CN"/>
              </w:rPr>
              <w:fldChar w:fldCharType="separate"/>
            </w:r>
            <w:r w:rsidR="006A1A14" w:rsidRPr="006A1A14">
              <w:rPr>
                <w:noProof/>
                <w:sz w:val="20"/>
                <w:lang w:val="en-GB" w:eastAsia="zh-CN"/>
              </w:rPr>
              <w:t>[3]</w:t>
            </w:r>
            <w:r w:rsidRPr="00155D6E">
              <w:rPr>
                <w:sz w:val="20"/>
                <w:lang w:val="en-GB" w:eastAsia="zh-CN"/>
              </w:rPr>
              <w:fldChar w:fldCharType="end"/>
            </w:r>
          </w:p>
        </w:tc>
        <w:tc>
          <w:tcPr>
            <w:tcW w:w="1927" w:type="dxa"/>
            <w:vAlign w:val="center"/>
          </w:tcPr>
          <w:p w14:paraId="5E5E77BF" w14:textId="77777777" w:rsidR="00D557E3" w:rsidRPr="00155D6E" w:rsidRDefault="00D557E3" w:rsidP="00826CB8">
            <w:pPr>
              <w:snapToGrid w:val="0"/>
              <w:spacing w:beforeLines="50" w:before="120" w:line="480" w:lineRule="auto"/>
              <w:ind w:right="28"/>
              <w:rPr>
                <w:sz w:val="20"/>
                <w:lang w:val="en-GB" w:eastAsia="zh-CN"/>
              </w:rPr>
            </w:pPr>
            <w:r w:rsidRPr="00155D6E">
              <w:rPr>
                <w:rFonts w:hint="eastAsia"/>
                <w:sz w:val="20"/>
                <w:lang w:val="en-GB" w:eastAsia="zh-CN"/>
              </w:rPr>
              <w:t>Beech</w:t>
            </w:r>
          </w:p>
        </w:tc>
        <w:tc>
          <w:tcPr>
            <w:tcW w:w="1371" w:type="dxa"/>
            <w:vAlign w:val="center"/>
          </w:tcPr>
          <w:p w14:paraId="6924CD53" w14:textId="77777777" w:rsidR="00D557E3" w:rsidRPr="00155D6E" w:rsidRDefault="00D557E3" w:rsidP="00826CB8">
            <w:pPr>
              <w:snapToGrid w:val="0"/>
              <w:spacing w:beforeLines="50" w:before="120" w:line="480" w:lineRule="auto"/>
              <w:ind w:right="28"/>
              <w:rPr>
                <w:sz w:val="20"/>
                <w:lang w:val="en-GB" w:eastAsia="zh-CN"/>
              </w:rPr>
            </w:pPr>
            <w:r w:rsidRPr="00155D6E">
              <w:rPr>
                <w:rFonts w:hint="eastAsia"/>
                <w:sz w:val="20"/>
                <w:lang w:val="en-GB" w:eastAsia="zh-CN"/>
              </w:rPr>
              <w:t>30/50/65</w:t>
            </w:r>
          </w:p>
        </w:tc>
        <w:tc>
          <w:tcPr>
            <w:tcW w:w="950" w:type="dxa"/>
            <w:vAlign w:val="center"/>
          </w:tcPr>
          <w:p w14:paraId="43E5DB6B" w14:textId="77777777" w:rsidR="00D557E3" w:rsidRPr="00155D6E" w:rsidRDefault="00D557E3" w:rsidP="00826CB8">
            <w:pPr>
              <w:snapToGrid w:val="0"/>
              <w:spacing w:beforeLines="50" w:before="120" w:line="480" w:lineRule="auto"/>
              <w:ind w:right="28"/>
              <w:rPr>
                <w:sz w:val="20"/>
                <w:lang w:val="en-GB" w:eastAsia="zh-CN"/>
              </w:rPr>
            </w:pPr>
            <w:r w:rsidRPr="00155D6E">
              <w:rPr>
                <w:rFonts w:hint="eastAsia"/>
                <w:sz w:val="20"/>
                <w:lang w:val="en-GB" w:eastAsia="zh-CN"/>
              </w:rPr>
              <w:t>10</w:t>
            </w:r>
          </w:p>
        </w:tc>
        <w:tc>
          <w:tcPr>
            <w:tcW w:w="2343" w:type="dxa"/>
            <w:vAlign w:val="center"/>
          </w:tcPr>
          <w:p w14:paraId="641F71C8" w14:textId="77777777" w:rsidR="00D557E3" w:rsidRPr="00155D6E" w:rsidRDefault="00D557E3" w:rsidP="00826CB8">
            <w:pPr>
              <w:snapToGrid w:val="0"/>
              <w:spacing w:beforeLines="50" w:before="120" w:line="480" w:lineRule="auto"/>
              <w:ind w:right="28"/>
              <w:rPr>
                <w:sz w:val="20"/>
                <w:lang w:val="en-GB" w:eastAsia="zh-CN"/>
              </w:rPr>
            </w:pPr>
            <w:r w:rsidRPr="00155D6E">
              <w:rPr>
                <w:rFonts w:hint="eastAsia"/>
                <w:sz w:val="20"/>
                <w:lang w:val="en-GB" w:eastAsia="zh-CN"/>
              </w:rPr>
              <w:t>684</w:t>
            </w:r>
          </w:p>
        </w:tc>
        <w:tc>
          <w:tcPr>
            <w:tcW w:w="1635" w:type="dxa"/>
            <w:vAlign w:val="center"/>
          </w:tcPr>
          <w:p w14:paraId="255D04A9" w14:textId="77777777" w:rsidR="00D557E3" w:rsidRPr="00155D6E" w:rsidRDefault="00D557E3" w:rsidP="00826CB8">
            <w:pPr>
              <w:snapToGrid w:val="0"/>
              <w:spacing w:beforeLines="50" w:before="120" w:line="480" w:lineRule="auto"/>
              <w:ind w:right="28"/>
              <w:rPr>
                <w:sz w:val="20"/>
                <w:lang w:val="en-GB" w:eastAsia="zh-CN"/>
              </w:rPr>
            </w:pPr>
            <w:r w:rsidRPr="00155D6E">
              <w:rPr>
                <w:rFonts w:hint="eastAsia"/>
                <w:sz w:val="20"/>
                <w:lang w:val="en-GB" w:eastAsia="zh-CN"/>
              </w:rPr>
              <w:t>91/26/16</w:t>
            </w:r>
          </w:p>
        </w:tc>
      </w:tr>
      <w:tr w:rsidR="00D557E3" w:rsidRPr="00155D6E" w14:paraId="48D763D1" w14:textId="77777777" w:rsidTr="00826CB8">
        <w:trPr>
          <w:jc w:val="center"/>
        </w:trPr>
        <w:tc>
          <w:tcPr>
            <w:tcW w:w="1242" w:type="dxa"/>
            <w:vAlign w:val="center"/>
          </w:tcPr>
          <w:p w14:paraId="1FEEF45C" w14:textId="0B70061C" w:rsidR="00D557E3" w:rsidRPr="00155D6E" w:rsidRDefault="00D557E3" w:rsidP="00826CB8">
            <w:pPr>
              <w:snapToGrid w:val="0"/>
              <w:spacing w:beforeLines="50" w:before="120" w:line="480" w:lineRule="auto"/>
              <w:ind w:right="28"/>
              <w:rPr>
                <w:sz w:val="20"/>
                <w:lang w:val="en-GB" w:eastAsia="zh-CN"/>
              </w:rPr>
            </w:pPr>
            <w:r w:rsidRPr="00155D6E">
              <w:rPr>
                <w:sz w:val="20"/>
                <w:lang w:eastAsia="zh-CN"/>
              </w:rPr>
              <w:t>Martinka</w:t>
            </w:r>
            <w:r w:rsidRPr="00155D6E">
              <w:rPr>
                <w:rFonts w:hint="eastAsia"/>
                <w:sz w:val="20"/>
                <w:lang w:eastAsia="zh-CN"/>
              </w:rPr>
              <w:t xml:space="preserve"> et al. (2013) </w:t>
            </w:r>
            <w:r w:rsidRPr="00155D6E">
              <w:rPr>
                <w:sz w:val="20"/>
                <w:lang w:eastAsia="zh-CN"/>
              </w:rPr>
              <w:fldChar w:fldCharType="begin" w:fldLock="1"/>
            </w:r>
            <w:r w:rsidR="006A1A14">
              <w:rPr>
                <w:sz w:val="20"/>
                <w:lang w:eastAsia="zh-CN"/>
              </w:rPr>
              <w:instrText>ADDIN CSL_CITATION {"citationItems":[{"id":"ITEM-1","itemData":{"ISSN":"13364561","abstract":"The article deals with determination of impact of thermal treatment of Norway spruce wood (Picea ables) on its fire risk. The fire risk of spruce wood was evaluated on the basis of ignition time determination, heat release rate, total heat release and yield of carbon monoxide. Spruce samples were examined in the cone calorimeter at heat flux of 30 and 40 kW.m-2. For research purposes, samples of untreated spruce wood and thermally treated wood at the maximum temperatures of 190 and 212°C in the air atmosphere were used. Given results indicate that thermal treatment cause decrease of ignition time, heat release rate and total heat release. Stated changes are not relevant for the behaviour of observed materials in fire conditions. Thermal treatment significantly influences the yield of carbon monoxide in fire conditions. The yield values strongly depend on external heat flux, by which the examined treated wooden material is loaded in the cone calorimeter.","author":[{"dropping-particle":"","family":"Martinka","given":"Jozef","non-dropping-particle":"","parse-names":false,"suffix":""},{"dropping-particle":"","family":"Chrebet","given":"Tomáš","non-dropping-particle":"","parse-names":false,"suffix":""},{"dropping-particle":"","family":"Král","given":"Ján","non-dropping-particle":"","parse-names":false,"suffix":""},{"dropping-particle":"","family":"Balog","given":"Král","non-dropping-particle":"","parse-names":false,"suffix":""}],"container-title":"Wood Research","id":"ITEM-1","issue":"4","issued":{"date-parts":[["2013"]]},"page":"599-606","title":"An examination of the behaviour of thermally treated spruce wood under fire conditions","type":"article-journal","volume":"58"},"uris":["http://www.mendeley.com/documents/?uuid=752781d4-54a8-4818-b0fc-670bae13eacd","http://www.mendeley.com/documents/?uuid=2aeab143-3386-4a25-9df8-3d2af6002d12","http://www.mendeley.com/documents/?uuid=8b5f85f7-ab65-408a-9b32-3b19a5432d54"]}],"mendeley":{"formattedCitation":"[4]","plainTextFormattedCitation":"[4]","previouslyFormattedCitation":"[55]"},"properties":{"noteIndex":0},"schema":"https://github.com/citation-style-language/schema/raw/master/csl-citation.json"}</w:instrText>
            </w:r>
            <w:r w:rsidRPr="00155D6E">
              <w:rPr>
                <w:sz w:val="20"/>
                <w:lang w:eastAsia="zh-CN"/>
              </w:rPr>
              <w:fldChar w:fldCharType="separate"/>
            </w:r>
            <w:r w:rsidR="006A1A14" w:rsidRPr="006A1A14">
              <w:rPr>
                <w:noProof/>
                <w:sz w:val="20"/>
                <w:lang w:eastAsia="zh-CN"/>
              </w:rPr>
              <w:t>[4]</w:t>
            </w:r>
            <w:r w:rsidRPr="00155D6E">
              <w:rPr>
                <w:sz w:val="20"/>
                <w:lang w:eastAsia="zh-CN"/>
              </w:rPr>
              <w:fldChar w:fldCharType="end"/>
            </w:r>
          </w:p>
        </w:tc>
        <w:tc>
          <w:tcPr>
            <w:tcW w:w="1927" w:type="dxa"/>
            <w:vAlign w:val="center"/>
          </w:tcPr>
          <w:p w14:paraId="2D2135BB" w14:textId="77777777" w:rsidR="00D557E3" w:rsidRPr="00155D6E" w:rsidRDefault="00D557E3" w:rsidP="00826CB8">
            <w:pPr>
              <w:snapToGrid w:val="0"/>
              <w:spacing w:beforeLines="50" w:before="120" w:line="480" w:lineRule="auto"/>
              <w:ind w:right="28"/>
              <w:rPr>
                <w:sz w:val="20"/>
                <w:lang w:val="en-GB" w:eastAsia="zh-CN"/>
              </w:rPr>
            </w:pPr>
            <w:r w:rsidRPr="00155D6E">
              <w:rPr>
                <w:sz w:val="20"/>
                <w:lang w:val="en-GB" w:eastAsia="zh-CN"/>
              </w:rPr>
              <w:t>Norway spruce</w:t>
            </w:r>
          </w:p>
        </w:tc>
        <w:tc>
          <w:tcPr>
            <w:tcW w:w="1371" w:type="dxa"/>
            <w:vAlign w:val="center"/>
          </w:tcPr>
          <w:p w14:paraId="6E170545" w14:textId="77777777" w:rsidR="00D557E3" w:rsidRPr="00155D6E" w:rsidRDefault="00D557E3" w:rsidP="00826CB8">
            <w:pPr>
              <w:snapToGrid w:val="0"/>
              <w:spacing w:beforeLines="50" w:before="120" w:line="480" w:lineRule="auto"/>
              <w:ind w:right="28"/>
              <w:rPr>
                <w:sz w:val="20"/>
                <w:lang w:val="en-GB" w:eastAsia="zh-CN"/>
              </w:rPr>
            </w:pPr>
            <w:r w:rsidRPr="00155D6E">
              <w:rPr>
                <w:rFonts w:hint="eastAsia"/>
                <w:sz w:val="20"/>
                <w:lang w:val="en-GB" w:eastAsia="zh-CN"/>
              </w:rPr>
              <w:t>30/40</w:t>
            </w:r>
          </w:p>
        </w:tc>
        <w:tc>
          <w:tcPr>
            <w:tcW w:w="950" w:type="dxa"/>
            <w:vAlign w:val="center"/>
          </w:tcPr>
          <w:p w14:paraId="04322D11" w14:textId="77777777" w:rsidR="00D557E3" w:rsidRPr="00155D6E" w:rsidRDefault="00D557E3" w:rsidP="00826CB8">
            <w:pPr>
              <w:snapToGrid w:val="0"/>
              <w:spacing w:beforeLines="50" w:before="120" w:line="480" w:lineRule="auto"/>
              <w:ind w:right="28"/>
              <w:rPr>
                <w:sz w:val="20"/>
                <w:lang w:val="en-GB" w:eastAsia="zh-CN"/>
              </w:rPr>
            </w:pPr>
            <w:r w:rsidRPr="00155D6E">
              <w:rPr>
                <w:rFonts w:hint="eastAsia"/>
                <w:sz w:val="20"/>
                <w:lang w:val="en-GB" w:eastAsia="zh-CN"/>
              </w:rPr>
              <w:t>6</w:t>
            </w:r>
          </w:p>
        </w:tc>
        <w:tc>
          <w:tcPr>
            <w:tcW w:w="2343" w:type="dxa"/>
            <w:vAlign w:val="center"/>
          </w:tcPr>
          <w:p w14:paraId="13F7A88A" w14:textId="77777777" w:rsidR="00D557E3" w:rsidRPr="00155D6E" w:rsidRDefault="00D557E3" w:rsidP="00826CB8">
            <w:pPr>
              <w:snapToGrid w:val="0"/>
              <w:spacing w:beforeLines="50" w:before="120" w:line="480" w:lineRule="auto"/>
              <w:ind w:right="28"/>
              <w:rPr>
                <w:sz w:val="20"/>
                <w:lang w:val="en-GB" w:eastAsia="zh-CN"/>
              </w:rPr>
            </w:pPr>
            <w:r w:rsidRPr="00155D6E">
              <w:rPr>
                <w:rFonts w:hint="eastAsia"/>
                <w:sz w:val="20"/>
                <w:lang w:val="en-GB" w:eastAsia="zh-CN"/>
              </w:rPr>
              <w:t>340</w:t>
            </w:r>
          </w:p>
        </w:tc>
        <w:tc>
          <w:tcPr>
            <w:tcW w:w="1635" w:type="dxa"/>
            <w:vAlign w:val="center"/>
          </w:tcPr>
          <w:p w14:paraId="1F0974ED" w14:textId="77777777" w:rsidR="00D557E3" w:rsidRPr="00155D6E" w:rsidRDefault="00D557E3" w:rsidP="00826CB8">
            <w:pPr>
              <w:snapToGrid w:val="0"/>
              <w:spacing w:beforeLines="50" w:before="120" w:line="480" w:lineRule="auto"/>
              <w:ind w:right="28"/>
              <w:rPr>
                <w:sz w:val="20"/>
                <w:lang w:val="en-GB" w:eastAsia="zh-CN"/>
              </w:rPr>
            </w:pPr>
            <w:r w:rsidRPr="00155D6E">
              <w:rPr>
                <w:rFonts w:hint="eastAsia"/>
                <w:sz w:val="20"/>
                <w:lang w:val="en-GB" w:eastAsia="zh-CN"/>
              </w:rPr>
              <w:t>30/15</w:t>
            </w:r>
          </w:p>
        </w:tc>
      </w:tr>
      <w:tr w:rsidR="00D557E3" w:rsidRPr="00155D6E" w14:paraId="5E195B01" w14:textId="77777777" w:rsidTr="00826CB8">
        <w:trPr>
          <w:jc w:val="center"/>
        </w:trPr>
        <w:tc>
          <w:tcPr>
            <w:tcW w:w="1242" w:type="dxa"/>
            <w:vAlign w:val="center"/>
          </w:tcPr>
          <w:p w14:paraId="0A1D19DA" w14:textId="28788CE8" w:rsidR="00D557E3" w:rsidRPr="00155D6E" w:rsidRDefault="00D557E3" w:rsidP="00826CB8">
            <w:pPr>
              <w:snapToGrid w:val="0"/>
              <w:spacing w:beforeLines="50" w:before="120" w:line="480" w:lineRule="auto"/>
              <w:ind w:right="28"/>
              <w:rPr>
                <w:sz w:val="20"/>
                <w:lang w:eastAsia="zh-CN"/>
              </w:rPr>
            </w:pPr>
            <w:r w:rsidRPr="00155D6E">
              <w:rPr>
                <w:rFonts w:hint="eastAsia"/>
                <w:sz w:val="20"/>
                <w:lang w:eastAsia="zh-CN"/>
              </w:rPr>
              <w:t>Rocha and Landesman</w:t>
            </w:r>
            <w:r w:rsidRPr="00155D6E">
              <w:rPr>
                <w:rFonts w:hint="eastAsia"/>
                <w:sz w:val="20"/>
                <w:lang w:eastAsia="zh-CN"/>
              </w:rPr>
              <w:lastRenderedPageBreak/>
              <w:t xml:space="preserve">n (2016) </w:t>
            </w:r>
            <w:r w:rsidRPr="00155D6E">
              <w:rPr>
                <w:sz w:val="20"/>
                <w:lang w:eastAsia="zh-CN"/>
              </w:rPr>
              <w:fldChar w:fldCharType="begin" w:fldLock="1"/>
            </w:r>
            <w:r w:rsidR="006A1A14">
              <w:rPr>
                <w:sz w:val="20"/>
                <w:lang w:eastAsia="zh-CN"/>
              </w:rPr>
              <w:instrText>ADDIN CSL_CITATION {"citationItems":[{"id":"ITEM-1","itemData":{"DOI":"10.1002/fam.2281","ISBN":"03080501\\n10991018","ISSN":"03080501","abstract":"Red phosphorus (RP) was used to improve the fire performance of wood flour – low density polyethylene (LDPE) composites containing ammonium polyphosphate (APP). The fire performance of LDPE-based composites was investigated by using limiting oxygen index (LOI), UL-94 standard, thermogravimetric analysis, and cone calorimeter. The addition of 30wt% APP increased the LOI value from 17.5 to 24.2 and still burned to clamp (BC) in UL-94 test. The RP showed beneficial effect when combinedly used with APP. The maximum beneficial effect was seen at ratio of 5:1 (APP : RP) with the highest LOI value of 27.2 and UL-94 rating of V0. RP showed its beneficial effect via increasing the gas phase action of the flame re- tardant system. Copyright © 2015 John Wiley &amp; Sons, Ltd. Received","author":[{"dropping-particle":"","family":"Rocha","given":"Monique","non-dropping-particle":"","parse-names":false,"suffix":""},{"dropping-particle":"","family":"Landesmann","given":"Alexandre","non-dropping-particle":"","parse-names":false,"suffix":""}],"container-title":"Fire and Materials","id":"ITEM-1","issued":{"date-parts":[["2016"]]},"page":"219-228","title":"Combustion properties of Brazilian natural wood species Monique","type":"article-journal","volume":"40"},"uris":["http://www.mendeley.com/documents/?uuid=03547f2d-29a4-4578-af4c-99d934e57b8e","http://www.mendeley.com/documents/?uuid=d6254135-672a-43ea-bd8e-aeba7fdbd4e9","http://www.mendeley.com/documents/?uuid=05092424-fee5-44ae-9d42-c8411294eabd"]}],"mendeley":{"formattedCitation":"[5]","plainTextFormattedCitation":"[5]","previouslyFormattedCitation":"[56]"},"properties":{"noteIndex":0},"schema":"https://github.com/citation-style-language/schema/raw/master/csl-citation.json"}</w:instrText>
            </w:r>
            <w:r w:rsidRPr="00155D6E">
              <w:rPr>
                <w:sz w:val="20"/>
                <w:lang w:eastAsia="zh-CN"/>
              </w:rPr>
              <w:fldChar w:fldCharType="separate"/>
            </w:r>
            <w:r w:rsidR="006A1A14" w:rsidRPr="006A1A14">
              <w:rPr>
                <w:noProof/>
                <w:sz w:val="20"/>
                <w:lang w:eastAsia="zh-CN"/>
              </w:rPr>
              <w:t>[5]</w:t>
            </w:r>
            <w:r w:rsidRPr="00155D6E">
              <w:rPr>
                <w:sz w:val="20"/>
                <w:lang w:eastAsia="zh-CN"/>
              </w:rPr>
              <w:fldChar w:fldCharType="end"/>
            </w:r>
          </w:p>
        </w:tc>
        <w:tc>
          <w:tcPr>
            <w:tcW w:w="1927" w:type="dxa"/>
            <w:vAlign w:val="center"/>
          </w:tcPr>
          <w:p w14:paraId="19757A44" w14:textId="77777777" w:rsidR="00D557E3" w:rsidRPr="00155D6E" w:rsidRDefault="00D557E3" w:rsidP="00826CB8">
            <w:pPr>
              <w:snapToGrid w:val="0"/>
              <w:spacing w:beforeLines="50" w:before="120" w:line="480" w:lineRule="auto"/>
              <w:ind w:right="28"/>
              <w:rPr>
                <w:sz w:val="20"/>
                <w:lang w:val="en-GB" w:eastAsia="zh-CN"/>
              </w:rPr>
            </w:pPr>
            <w:proofErr w:type="spellStart"/>
            <w:r w:rsidRPr="00155D6E">
              <w:rPr>
                <w:rFonts w:hint="eastAsia"/>
                <w:sz w:val="20"/>
                <w:lang w:val="en-GB" w:eastAsia="zh-CN"/>
              </w:rPr>
              <w:lastRenderedPageBreak/>
              <w:t>Boleira</w:t>
            </w:r>
            <w:proofErr w:type="spellEnd"/>
            <w:r w:rsidRPr="00155D6E">
              <w:rPr>
                <w:rFonts w:hint="eastAsia"/>
                <w:sz w:val="20"/>
                <w:lang w:val="en-GB" w:eastAsia="zh-CN"/>
              </w:rPr>
              <w:t xml:space="preserve">/ Cabreuva/Cera </w:t>
            </w:r>
            <w:proofErr w:type="spellStart"/>
            <w:r w:rsidRPr="00155D6E">
              <w:rPr>
                <w:rFonts w:hint="eastAsia"/>
                <w:sz w:val="20"/>
                <w:lang w:val="en-GB" w:eastAsia="zh-CN"/>
              </w:rPr>
              <w:lastRenderedPageBreak/>
              <w:t>cozida</w:t>
            </w:r>
            <w:proofErr w:type="spellEnd"/>
            <w:r w:rsidRPr="00155D6E">
              <w:rPr>
                <w:rFonts w:hint="eastAsia"/>
                <w:sz w:val="20"/>
                <w:lang w:val="en-GB" w:eastAsia="zh-CN"/>
              </w:rPr>
              <w:t>/</w:t>
            </w:r>
            <w:proofErr w:type="spellStart"/>
            <w:r w:rsidRPr="00155D6E">
              <w:rPr>
                <w:rFonts w:hint="eastAsia"/>
                <w:sz w:val="20"/>
                <w:lang w:val="en-GB" w:eastAsia="zh-CN"/>
              </w:rPr>
              <w:t>Cedrilho</w:t>
            </w:r>
            <w:proofErr w:type="spellEnd"/>
            <w:r w:rsidRPr="00155D6E">
              <w:rPr>
                <w:rFonts w:hint="eastAsia"/>
                <w:sz w:val="20"/>
                <w:lang w:val="en-GB" w:eastAsia="zh-CN"/>
              </w:rPr>
              <w:t xml:space="preserve">/ </w:t>
            </w:r>
            <w:proofErr w:type="spellStart"/>
            <w:r w:rsidRPr="00155D6E">
              <w:rPr>
                <w:rFonts w:hint="eastAsia"/>
                <w:sz w:val="20"/>
                <w:lang w:val="en-GB" w:eastAsia="zh-CN"/>
              </w:rPr>
              <w:t>Guapuruvu</w:t>
            </w:r>
            <w:proofErr w:type="spellEnd"/>
            <w:r w:rsidRPr="00155D6E">
              <w:rPr>
                <w:rFonts w:hint="eastAsia"/>
                <w:sz w:val="20"/>
                <w:lang w:val="en-GB" w:eastAsia="zh-CN"/>
              </w:rPr>
              <w:t>/</w:t>
            </w:r>
            <w:proofErr w:type="spellStart"/>
            <w:r w:rsidRPr="00155D6E">
              <w:rPr>
                <w:rFonts w:hint="eastAsia"/>
                <w:sz w:val="20"/>
                <w:lang w:val="en-GB" w:eastAsia="zh-CN"/>
              </w:rPr>
              <w:t>Guavirova</w:t>
            </w:r>
            <w:proofErr w:type="spellEnd"/>
            <w:r w:rsidRPr="00155D6E">
              <w:rPr>
                <w:rFonts w:hint="eastAsia"/>
                <w:sz w:val="20"/>
                <w:lang w:val="en-GB" w:eastAsia="zh-CN"/>
              </w:rPr>
              <w:t xml:space="preserve">/Imbuia/Pinus </w:t>
            </w:r>
            <w:proofErr w:type="spellStart"/>
            <w:r w:rsidRPr="00155D6E">
              <w:rPr>
                <w:rFonts w:hint="eastAsia"/>
                <w:sz w:val="20"/>
                <w:lang w:val="en-GB" w:eastAsia="zh-CN"/>
              </w:rPr>
              <w:t>caribaea</w:t>
            </w:r>
            <w:proofErr w:type="spellEnd"/>
            <w:r w:rsidRPr="00155D6E">
              <w:rPr>
                <w:rFonts w:hint="eastAsia"/>
                <w:sz w:val="20"/>
                <w:lang w:val="en-GB" w:eastAsia="zh-CN"/>
              </w:rPr>
              <w:t xml:space="preserve">/Pinus </w:t>
            </w:r>
            <w:proofErr w:type="spellStart"/>
            <w:r w:rsidRPr="00155D6E">
              <w:rPr>
                <w:rFonts w:hint="eastAsia"/>
                <w:sz w:val="20"/>
                <w:lang w:val="en-GB" w:eastAsia="zh-CN"/>
              </w:rPr>
              <w:t>hondurensis</w:t>
            </w:r>
            <w:proofErr w:type="spellEnd"/>
          </w:p>
        </w:tc>
        <w:tc>
          <w:tcPr>
            <w:tcW w:w="1371" w:type="dxa"/>
            <w:vAlign w:val="center"/>
          </w:tcPr>
          <w:p w14:paraId="4AE053C6" w14:textId="77777777" w:rsidR="00D557E3" w:rsidRPr="00155D6E" w:rsidRDefault="00D557E3" w:rsidP="00826CB8">
            <w:pPr>
              <w:snapToGrid w:val="0"/>
              <w:spacing w:beforeLines="50" w:before="120" w:line="480" w:lineRule="auto"/>
              <w:ind w:right="28"/>
              <w:rPr>
                <w:sz w:val="20"/>
                <w:lang w:val="en-GB" w:eastAsia="zh-CN"/>
              </w:rPr>
            </w:pPr>
            <w:r w:rsidRPr="00155D6E">
              <w:rPr>
                <w:rFonts w:hint="eastAsia"/>
                <w:sz w:val="20"/>
                <w:lang w:val="en-GB" w:eastAsia="zh-CN"/>
              </w:rPr>
              <w:lastRenderedPageBreak/>
              <w:t>50</w:t>
            </w:r>
          </w:p>
        </w:tc>
        <w:tc>
          <w:tcPr>
            <w:tcW w:w="950" w:type="dxa"/>
            <w:vAlign w:val="center"/>
          </w:tcPr>
          <w:p w14:paraId="1AFAC14D" w14:textId="77777777" w:rsidR="00D557E3" w:rsidRPr="00155D6E" w:rsidRDefault="00D557E3" w:rsidP="00826CB8">
            <w:pPr>
              <w:snapToGrid w:val="0"/>
              <w:spacing w:beforeLines="50" w:before="120" w:line="480" w:lineRule="auto"/>
              <w:ind w:right="28"/>
              <w:rPr>
                <w:sz w:val="20"/>
                <w:lang w:val="en-GB" w:eastAsia="zh-CN"/>
              </w:rPr>
            </w:pPr>
            <w:r w:rsidRPr="00155D6E">
              <w:rPr>
                <w:rFonts w:hint="eastAsia"/>
                <w:sz w:val="20"/>
                <w:lang w:val="en-GB" w:eastAsia="zh-CN"/>
              </w:rPr>
              <w:t>0</w:t>
            </w:r>
          </w:p>
        </w:tc>
        <w:tc>
          <w:tcPr>
            <w:tcW w:w="2343" w:type="dxa"/>
            <w:vAlign w:val="center"/>
          </w:tcPr>
          <w:p w14:paraId="20D66FCE" w14:textId="77777777" w:rsidR="00D557E3" w:rsidRPr="00155D6E" w:rsidRDefault="00D557E3" w:rsidP="00826CB8">
            <w:pPr>
              <w:snapToGrid w:val="0"/>
              <w:spacing w:beforeLines="50" w:before="120" w:line="480" w:lineRule="auto"/>
              <w:ind w:right="28"/>
              <w:rPr>
                <w:sz w:val="20"/>
                <w:lang w:val="en-GB" w:eastAsia="zh-CN"/>
              </w:rPr>
            </w:pPr>
            <w:r w:rsidRPr="00155D6E">
              <w:rPr>
                <w:rFonts w:hint="eastAsia"/>
                <w:sz w:val="20"/>
                <w:lang w:val="en-GB" w:eastAsia="zh-CN"/>
              </w:rPr>
              <w:t>352/675/750/445/346/780/610/346/490</w:t>
            </w:r>
          </w:p>
        </w:tc>
        <w:tc>
          <w:tcPr>
            <w:tcW w:w="1635" w:type="dxa"/>
            <w:vAlign w:val="center"/>
          </w:tcPr>
          <w:p w14:paraId="5D8BFA97" w14:textId="77777777" w:rsidR="00D557E3" w:rsidRPr="00155D6E" w:rsidRDefault="00D557E3" w:rsidP="00826CB8">
            <w:pPr>
              <w:snapToGrid w:val="0"/>
              <w:spacing w:beforeLines="50" w:before="120" w:line="480" w:lineRule="auto"/>
              <w:ind w:right="28"/>
              <w:rPr>
                <w:sz w:val="20"/>
                <w:lang w:val="en-GB" w:eastAsia="zh-CN"/>
              </w:rPr>
            </w:pPr>
            <w:r w:rsidRPr="00155D6E">
              <w:rPr>
                <w:rFonts w:hint="eastAsia"/>
                <w:sz w:val="20"/>
                <w:lang w:val="en-GB" w:eastAsia="zh-CN"/>
              </w:rPr>
              <w:t>21/57/61/25/16/93/45/21/48</w:t>
            </w:r>
          </w:p>
        </w:tc>
      </w:tr>
      <w:tr w:rsidR="00D557E3" w:rsidRPr="00155D6E" w14:paraId="18ED3E1B" w14:textId="77777777" w:rsidTr="00826CB8">
        <w:trPr>
          <w:jc w:val="center"/>
        </w:trPr>
        <w:tc>
          <w:tcPr>
            <w:tcW w:w="1242" w:type="dxa"/>
            <w:vAlign w:val="center"/>
          </w:tcPr>
          <w:p w14:paraId="0DC521A3" w14:textId="61D832C9" w:rsidR="00D557E3" w:rsidRPr="00155D6E" w:rsidRDefault="00D557E3" w:rsidP="00826CB8">
            <w:pPr>
              <w:snapToGrid w:val="0"/>
              <w:spacing w:beforeLines="50" w:before="120" w:line="480" w:lineRule="auto"/>
              <w:ind w:right="28"/>
              <w:rPr>
                <w:sz w:val="20"/>
                <w:lang w:eastAsia="zh-CN"/>
              </w:rPr>
            </w:pPr>
            <w:r w:rsidRPr="00155D6E">
              <w:rPr>
                <w:rFonts w:hint="eastAsia"/>
                <w:sz w:val="20"/>
                <w:lang w:eastAsia="zh-CN"/>
              </w:rPr>
              <w:t xml:space="preserve">Hao et al. (2020) </w:t>
            </w:r>
            <w:r w:rsidRPr="00155D6E">
              <w:rPr>
                <w:sz w:val="20"/>
                <w:lang w:eastAsia="zh-CN"/>
              </w:rPr>
              <w:fldChar w:fldCharType="begin" w:fldLock="1"/>
            </w:r>
            <w:r w:rsidR="006A1A14">
              <w:rPr>
                <w:sz w:val="20"/>
                <w:lang w:eastAsia="zh-CN"/>
              </w:rPr>
              <w:instrText>ADDIN CSL_CITATION {"citationItems":[{"id":"ITEM-1","itemData":{"DOI":"10.1016/j.fuel.2020.118325","ISSN":"00162361","abstract":"The fire safety of wood is the most important concern in its structural and architectural applications. In this work, the combustion of three typical wood species, namely, oak, larch and red cedar exposed to various heat fluxes was studied using the cone calorimeter. The fire performance including heat release rate, charring rate, production of toxic carbon monoxide and release of carbon dioxide was quantified. It is found that the fire performance of the wood species exposed to a low heat flux of 20 kW/m2 differs completely from that exposed to a heat flux higher than 35 kW/m2. The effect of temperature on wood pyrolysis is attenuated with the increment of temperature. Compared with oak and larch, the fire performance of red cedar is more dependent on heat flux. Although red cedar requires less time to be ignited, it has the lowest heat release rate and the smallest amount of heat release, and exhibits a slower flame spread speed and the fastest charring rate with a high fire resistance rating. The satisfactory fire resistance of red cedar with a minimal heat flux effect on pyrolysis is correlated to the relatively high lignin content. Our findings provide guidance for woody structural design with a reduction in the emissions of harmful compounds.","author":[{"dropping-particle":"","family":"Hao","given":"Huali","non-dropping-particle":"","parse-names":false,"suffix":""},{"dropping-particle":"","family":"Chow","given":"Cheuk Lun","non-dropping-particle":"","parse-names":false,"suffix":""},{"dropping-particle":"","family":"Lau","given":"Denvid","non-dropping-particle":"","parse-names":false,"suffix":""}],"container-title":"Fuel","id":"ITEM-1","issue":"April","issued":{"date-parts":[["2020"]]},"title":"Effect of heat flux on combustion of different wood species","type":"article-journal","volume":"278"},"uris":["http://www.mendeley.com/documents/?uuid=01ec2b3e-5cfe-45db-a2a6-c6a034d2a8ce"]}],"mendeley":{"formattedCitation":"[6]","plainTextFormattedCitation":"[6]","previouslyFormattedCitation":"[57]"},"properties":{"noteIndex":0},"schema":"https://github.com/citation-style-language/schema/raw/master/csl-citation.json"}</w:instrText>
            </w:r>
            <w:r w:rsidRPr="00155D6E">
              <w:rPr>
                <w:sz w:val="20"/>
                <w:lang w:eastAsia="zh-CN"/>
              </w:rPr>
              <w:fldChar w:fldCharType="separate"/>
            </w:r>
            <w:r w:rsidR="006A1A14" w:rsidRPr="006A1A14">
              <w:rPr>
                <w:noProof/>
                <w:sz w:val="20"/>
                <w:lang w:eastAsia="zh-CN"/>
              </w:rPr>
              <w:t>[6]</w:t>
            </w:r>
            <w:r w:rsidRPr="00155D6E">
              <w:rPr>
                <w:sz w:val="20"/>
                <w:lang w:eastAsia="zh-CN"/>
              </w:rPr>
              <w:fldChar w:fldCharType="end"/>
            </w:r>
          </w:p>
        </w:tc>
        <w:tc>
          <w:tcPr>
            <w:tcW w:w="1927" w:type="dxa"/>
            <w:vAlign w:val="center"/>
          </w:tcPr>
          <w:p w14:paraId="5EA82FBF" w14:textId="77777777" w:rsidR="00D557E3" w:rsidRPr="00155D6E" w:rsidRDefault="00D557E3" w:rsidP="00826CB8">
            <w:pPr>
              <w:snapToGrid w:val="0"/>
              <w:spacing w:beforeLines="50" w:before="120" w:line="480" w:lineRule="auto"/>
              <w:ind w:right="28"/>
              <w:rPr>
                <w:sz w:val="20"/>
                <w:lang w:val="en-GB" w:eastAsia="zh-CN"/>
              </w:rPr>
            </w:pPr>
            <w:r w:rsidRPr="00155D6E">
              <w:rPr>
                <w:rFonts w:hint="eastAsia"/>
                <w:sz w:val="20"/>
                <w:lang w:val="en-GB" w:eastAsia="zh-CN"/>
              </w:rPr>
              <w:t>Oak</w:t>
            </w:r>
          </w:p>
        </w:tc>
        <w:tc>
          <w:tcPr>
            <w:tcW w:w="1371" w:type="dxa"/>
            <w:vAlign w:val="center"/>
          </w:tcPr>
          <w:p w14:paraId="753CA1CD" w14:textId="77777777" w:rsidR="00D557E3" w:rsidRPr="00155D6E" w:rsidRDefault="00D557E3" w:rsidP="00826CB8">
            <w:pPr>
              <w:snapToGrid w:val="0"/>
              <w:spacing w:beforeLines="50" w:before="120" w:line="480" w:lineRule="auto"/>
              <w:ind w:right="28"/>
              <w:rPr>
                <w:sz w:val="20"/>
                <w:lang w:val="en-GB" w:eastAsia="zh-CN"/>
              </w:rPr>
            </w:pPr>
            <w:r w:rsidRPr="00155D6E">
              <w:rPr>
                <w:rFonts w:hint="eastAsia"/>
                <w:sz w:val="20"/>
                <w:lang w:val="en-GB" w:eastAsia="zh-CN"/>
              </w:rPr>
              <w:t>20/35/50</w:t>
            </w:r>
          </w:p>
        </w:tc>
        <w:tc>
          <w:tcPr>
            <w:tcW w:w="950" w:type="dxa"/>
            <w:vAlign w:val="center"/>
          </w:tcPr>
          <w:p w14:paraId="3218397F" w14:textId="77777777" w:rsidR="00D557E3" w:rsidRPr="00155D6E" w:rsidRDefault="00D557E3" w:rsidP="00826CB8">
            <w:pPr>
              <w:snapToGrid w:val="0"/>
              <w:spacing w:beforeLines="50" w:before="120" w:line="480" w:lineRule="auto"/>
              <w:ind w:right="28"/>
              <w:rPr>
                <w:sz w:val="20"/>
                <w:lang w:val="en-GB" w:eastAsia="zh-CN"/>
              </w:rPr>
            </w:pPr>
            <w:r w:rsidRPr="00155D6E">
              <w:rPr>
                <w:rFonts w:hint="eastAsia"/>
                <w:sz w:val="20"/>
                <w:lang w:val="en-GB" w:eastAsia="zh-CN"/>
              </w:rPr>
              <w:t>0</w:t>
            </w:r>
          </w:p>
        </w:tc>
        <w:tc>
          <w:tcPr>
            <w:tcW w:w="2343" w:type="dxa"/>
            <w:vAlign w:val="center"/>
          </w:tcPr>
          <w:p w14:paraId="66629912" w14:textId="77777777" w:rsidR="00D557E3" w:rsidRPr="00155D6E" w:rsidRDefault="00D557E3" w:rsidP="00826CB8">
            <w:pPr>
              <w:snapToGrid w:val="0"/>
              <w:spacing w:beforeLines="50" w:before="120" w:line="480" w:lineRule="auto"/>
              <w:ind w:right="28"/>
              <w:rPr>
                <w:sz w:val="20"/>
                <w:lang w:val="en-GB" w:eastAsia="zh-CN"/>
              </w:rPr>
            </w:pPr>
            <w:r w:rsidRPr="00155D6E">
              <w:rPr>
                <w:rFonts w:hint="eastAsia"/>
                <w:sz w:val="20"/>
                <w:lang w:val="en-GB" w:eastAsia="zh-CN"/>
              </w:rPr>
              <w:t>724</w:t>
            </w:r>
          </w:p>
        </w:tc>
        <w:tc>
          <w:tcPr>
            <w:tcW w:w="1635" w:type="dxa"/>
            <w:vAlign w:val="center"/>
          </w:tcPr>
          <w:p w14:paraId="6F9742DE" w14:textId="77777777" w:rsidR="00D557E3" w:rsidRPr="00155D6E" w:rsidRDefault="00D557E3" w:rsidP="00826CB8">
            <w:pPr>
              <w:snapToGrid w:val="0"/>
              <w:spacing w:beforeLines="50" w:before="120" w:line="480" w:lineRule="auto"/>
              <w:ind w:right="28"/>
              <w:rPr>
                <w:sz w:val="20"/>
                <w:lang w:val="en-GB" w:eastAsia="zh-CN"/>
              </w:rPr>
            </w:pPr>
            <w:r w:rsidRPr="00155D6E">
              <w:rPr>
                <w:rFonts w:hint="eastAsia"/>
                <w:sz w:val="20"/>
                <w:lang w:val="en-GB" w:eastAsia="zh-CN"/>
              </w:rPr>
              <w:t>1440/90/45</w:t>
            </w:r>
          </w:p>
        </w:tc>
      </w:tr>
      <w:tr w:rsidR="00D557E3" w:rsidRPr="00155D6E" w14:paraId="5BD06E24" w14:textId="77777777" w:rsidTr="00826CB8">
        <w:trPr>
          <w:jc w:val="center"/>
        </w:trPr>
        <w:tc>
          <w:tcPr>
            <w:tcW w:w="1242" w:type="dxa"/>
            <w:vAlign w:val="center"/>
          </w:tcPr>
          <w:p w14:paraId="6074443C" w14:textId="1B413F5A" w:rsidR="00D557E3" w:rsidRPr="00155D6E" w:rsidRDefault="00D557E3" w:rsidP="00826CB8">
            <w:pPr>
              <w:snapToGrid w:val="0"/>
              <w:spacing w:beforeLines="50" w:before="120" w:line="480" w:lineRule="auto"/>
              <w:ind w:right="28"/>
              <w:rPr>
                <w:sz w:val="20"/>
                <w:lang w:eastAsia="zh-CN"/>
              </w:rPr>
            </w:pPr>
            <w:r w:rsidRPr="00155D6E">
              <w:rPr>
                <w:rFonts w:hint="eastAsia"/>
                <w:sz w:val="20"/>
                <w:lang w:eastAsia="zh-CN"/>
              </w:rPr>
              <w:t xml:space="preserve">Hao et al. (2020) </w:t>
            </w:r>
            <w:r w:rsidRPr="00155D6E">
              <w:rPr>
                <w:sz w:val="20"/>
                <w:lang w:eastAsia="zh-CN"/>
              </w:rPr>
              <w:fldChar w:fldCharType="begin" w:fldLock="1"/>
            </w:r>
            <w:r w:rsidR="006A1A14">
              <w:rPr>
                <w:sz w:val="20"/>
                <w:lang w:eastAsia="zh-CN"/>
              </w:rPr>
              <w:instrText>ADDIN CSL_CITATION {"citationItems":[{"id":"ITEM-1","itemData":{"DOI":"10.1016/j.fuel.2020.118325","ISSN":"00162361","abstract":"The fire safety of wood is the most important concern in its structural and architectural applications. In this work, the combustion of three typical wood species, namely, oak, larch and red cedar exposed to various heat fluxes was studied using the cone calorimeter. The fire performance including heat release rate, charring rate, production of toxic carbon monoxide and release of carbon dioxide was quantified. It is found that the fire performance of the wood species exposed to a low heat flux of 20 kW/m2 differs completely from that exposed to a heat flux higher than 35 kW/m2. The effect of temperature on wood pyrolysis is attenuated with the increment of temperature. Compared with oak and larch, the fire performance of red cedar is more dependent on heat flux. Although red cedar requires less time to be ignited, it has the lowest heat release rate and the smallest amount of heat release, and exhibits a slower flame spread speed and the fastest charring rate with a high fire resistance rating. The satisfactory fire resistance of red cedar with a minimal heat flux effect on pyrolysis is correlated to the relatively high lignin content. Our findings provide guidance for woody structural design with a reduction in the emissions of harmful compounds.","author":[{"dropping-particle":"","family":"Hao","given":"Huali","non-dropping-particle":"","parse-names":false,"suffix":""},{"dropping-particle":"","family":"Chow","given":"Cheuk Lun","non-dropping-particle":"","parse-names":false,"suffix":""},{"dropping-particle":"","family":"Lau","given":"Denvid","non-dropping-particle":"","parse-names":false,"suffix":""}],"container-title":"Fuel","id":"ITEM-1","issue":"April","issued":{"date-parts":[["2020"]]},"title":"Effect of heat flux on combustion of different wood species","type":"article-journal","volume":"278"},"uris":["http://www.mendeley.com/documents/?uuid=01ec2b3e-5cfe-45db-a2a6-c6a034d2a8ce"]}],"mendeley":{"formattedCitation":"[6]","plainTextFormattedCitation":"[6]","previouslyFormattedCitation":"[57]"},"properties":{"noteIndex":0},"schema":"https://github.com/citation-style-language/schema/raw/master/csl-citation.json"}</w:instrText>
            </w:r>
            <w:r w:rsidRPr="00155D6E">
              <w:rPr>
                <w:sz w:val="20"/>
                <w:lang w:eastAsia="zh-CN"/>
              </w:rPr>
              <w:fldChar w:fldCharType="separate"/>
            </w:r>
            <w:r w:rsidR="006A1A14" w:rsidRPr="006A1A14">
              <w:rPr>
                <w:noProof/>
                <w:sz w:val="20"/>
                <w:lang w:eastAsia="zh-CN"/>
              </w:rPr>
              <w:t>[6]</w:t>
            </w:r>
            <w:r w:rsidRPr="00155D6E">
              <w:rPr>
                <w:sz w:val="20"/>
                <w:lang w:eastAsia="zh-CN"/>
              </w:rPr>
              <w:fldChar w:fldCharType="end"/>
            </w:r>
          </w:p>
        </w:tc>
        <w:tc>
          <w:tcPr>
            <w:tcW w:w="1927" w:type="dxa"/>
            <w:vAlign w:val="center"/>
          </w:tcPr>
          <w:p w14:paraId="676A9500" w14:textId="77777777" w:rsidR="00D557E3" w:rsidRPr="00155D6E" w:rsidRDefault="00D557E3" w:rsidP="00826CB8">
            <w:pPr>
              <w:snapToGrid w:val="0"/>
              <w:spacing w:beforeLines="50" w:before="120" w:line="480" w:lineRule="auto"/>
              <w:ind w:right="28"/>
              <w:rPr>
                <w:sz w:val="20"/>
                <w:lang w:val="en-GB" w:eastAsia="zh-CN"/>
              </w:rPr>
            </w:pPr>
            <w:r w:rsidRPr="00155D6E">
              <w:rPr>
                <w:rFonts w:hint="eastAsia"/>
                <w:sz w:val="20"/>
                <w:lang w:val="en-GB" w:eastAsia="zh-CN"/>
              </w:rPr>
              <w:t>Larch</w:t>
            </w:r>
          </w:p>
        </w:tc>
        <w:tc>
          <w:tcPr>
            <w:tcW w:w="1371" w:type="dxa"/>
            <w:vAlign w:val="center"/>
          </w:tcPr>
          <w:p w14:paraId="7EE30DB8" w14:textId="77777777" w:rsidR="00D557E3" w:rsidRPr="00155D6E" w:rsidRDefault="00D557E3" w:rsidP="00826CB8">
            <w:pPr>
              <w:snapToGrid w:val="0"/>
              <w:spacing w:beforeLines="50" w:before="120" w:line="480" w:lineRule="auto"/>
              <w:ind w:right="28"/>
              <w:rPr>
                <w:sz w:val="20"/>
                <w:lang w:val="en-GB" w:eastAsia="zh-CN"/>
              </w:rPr>
            </w:pPr>
            <w:r w:rsidRPr="00155D6E">
              <w:rPr>
                <w:rFonts w:hint="eastAsia"/>
                <w:sz w:val="20"/>
                <w:lang w:val="en-GB" w:eastAsia="zh-CN"/>
              </w:rPr>
              <w:t>20/35/50</w:t>
            </w:r>
          </w:p>
        </w:tc>
        <w:tc>
          <w:tcPr>
            <w:tcW w:w="950" w:type="dxa"/>
            <w:vAlign w:val="center"/>
          </w:tcPr>
          <w:p w14:paraId="67923B2F" w14:textId="77777777" w:rsidR="00D557E3" w:rsidRPr="00155D6E" w:rsidRDefault="00D557E3" w:rsidP="00826CB8">
            <w:pPr>
              <w:snapToGrid w:val="0"/>
              <w:spacing w:beforeLines="50" w:before="120" w:line="480" w:lineRule="auto"/>
              <w:ind w:right="28"/>
              <w:rPr>
                <w:sz w:val="20"/>
                <w:lang w:val="en-GB" w:eastAsia="zh-CN"/>
              </w:rPr>
            </w:pPr>
            <w:r w:rsidRPr="00155D6E">
              <w:rPr>
                <w:rFonts w:hint="eastAsia"/>
                <w:sz w:val="20"/>
                <w:lang w:val="en-GB" w:eastAsia="zh-CN"/>
              </w:rPr>
              <w:t>0</w:t>
            </w:r>
          </w:p>
        </w:tc>
        <w:tc>
          <w:tcPr>
            <w:tcW w:w="2343" w:type="dxa"/>
            <w:vAlign w:val="center"/>
          </w:tcPr>
          <w:p w14:paraId="6FF57747" w14:textId="77777777" w:rsidR="00D557E3" w:rsidRPr="00155D6E" w:rsidRDefault="00D557E3" w:rsidP="00826CB8">
            <w:pPr>
              <w:snapToGrid w:val="0"/>
              <w:spacing w:beforeLines="50" w:before="120" w:line="480" w:lineRule="auto"/>
              <w:ind w:right="28"/>
              <w:rPr>
                <w:sz w:val="20"/>
                <w:lang w:val="en-GB" w:eastAsia="zh-CN"/>
              </w:rPr>
            </w:pPr>
            <w:r w:rsidRPr="00155D6E">
              <w:rPr>
                <w:rFonts w:hint="eastAsia"/>
                <w:sz w:val="20"/>
                <w:lang w:val="en-GB" w:eastAsia="zh-CN"/>
              </w:rPr>
              <w:t>664</w:t>
            </w:r>
          </w:p>
        </w:tc>
        <w:tc>
          <w:tcPr>
            <w:tcW w:w="1635" w:type="dxa"/>
            <w:vAlign w:val="center"/>
          </w:tcPr>
          <w:p w14:paraId="36EDCCA4" w14:textId="77777777" w:rsidR="00D557E3" w:rsidRPr="00155D6E" w:rsidRDefault="00D557E3" w:rsidP="00826CB8">
            <w:pPr>
              <w:snapToGrid w:val="0"/>
              <w:spacing w:beforeLines="50" w:before="120" w:line="480" w:lineRule="auto"/>
              <w:ind w:right="28"/>
              <w:rPr>
                <w:sz w:val="20"/>
                <w:lang w:val="en-GB" w:eastAsia="zh-CN"/>
              </w:rPr>
            </w:pPr>
            <w:r w:rsidRPr="00155D6E">
              <w:rPr>
                <w:rFonts w:hint="eastAsia"/>
                <w:sz w:val="20"/>
                <w:lang w:val="en-GB" w:eastAsia="zh-CN"/>
              </w:rPr>
              <w:t>1215/65/25</w:t>
            </w:r>
          </w:p>
        </w:tc>
      </w:tr>
      <w:tr w:rsidR="00D557E3" w:rsidRPr="00155D6E" w14:paraId="5AAF57EA" w14:textId="77777777" w:rsidTr="00826CB8">
        <w:trPr>
          <w:jc w:val="center"/>
        </w:trPr>
        <w:tc>
          <w:tcPr>
            <w:tcW w:w="1242" w:type="dxa"/>
            <w:vAlign w:val="center"/>
          </w:tcPr>
          <w:p w14:paraId="661E4E9E" w14:textId="603693A6" w:rsidR="00D557E3" w:rsidRPr="00155D6E" w:rsidRDefault="00D557E3" w:rsidP="00826CB8">
            <w:pPr>
              <w:snapToGrid w:val="0"/>
              <w:spacing w:beforeLines="50" w:before="120" w:line="480" w:lineRule="auto"/>
              <w:ind w:right="28"/>
              <w:rPr>
                <w:sz w:val="20"/>
                <w:lang w:eastAsia="zh-CN"/>
              </w:rPr>
            </w:pPr>
            <w:r w:rsidRPr="00155D6E">
              <w:rPr>
                <w:rFonts w:hint="eastAsia"/>
                <w:sz w:val="20"/>
                <w:lang w:eastAsia="zh-CN"/>
              </w:rPr>
              <w:t xml:space="preserve">Hao et al. (2020) </w:t>
            </w:r>
            <w:r w:rsidRPr="00155D6E">
              <w:rPr>
                <w:sz w:val="20"/>
                <w:lang w:eastAsia="zh-CN"/>
              </w:rPr>
              <w:fldChar w:fldCharType="begin" w:fldLock="1"/>
            </w:r>
            <w:r w:rsidR="006A1A14">
              <w:rPr>
                <w:sz w:val="20"/>
                <w:lang w:eastAsia="zh-CN"/>
              </w:rPr>
              <w:instrText>ADDIN CSL_CITATION {"citationItems":[{"id":"ITEM-1","itemData":{"DOI":"10.1016/j.fuel.2020.118325","ISSN":"00162361","abstract":"The fire safety of wood is the most important concern in its structural and architectural applications. In this work, the combustion of three typical wood species, namely, oak, larch and red cedar exposed to various heat fluxes was studied using the cone calorimeter. The fire performance including heat release rate, charring rate, production of toxic carbon monoxide and release of carbon dioxide was quantified. It is found that the fire performance of the wood species exposed to a low heat flux of 20 kW/m2 differs completely from that exposed to a heat flux higher than 35 kW/m2. The effect of temperature on wood pyrolysis is attenuated with the increment of temperature. Compared with oak and larch, the fire performance of red cedar is more dependent on heat flux. Although red cedar requires less time to be ignited, it has the lowest heat release rate and the smallest amount of heat release, and exhibits a slower flame spread speed and the fastest charring rate with a high fire resistance rating. The satisfactory fire resistance of red cedar with a minimal heat flux effect on pyrolysis is correlated to the relatively high lignin content. Our findings provide guidance for woody structural design with a reduction in the emissions of harmful compounds.","author":[{"dropping-particle":"","family":"Hao","given":"Huali","non-dropping-particle":"","parse-names":false,"suffix":""},{"dropping-particle":"","family":"Chow","given":"Cheuk Lun","non-dropping-particle":"","parse-names":false,"suffix":""},{"dropping-particle":"","family":"Lau","given":"Denvid","non-dropping-particle":"","parse-names":false,"suffix":""}],"container-title":"Fuel","id":"ITEM-1","issue":"April","issued":{"date-parts":[["2020"]]},"title":"Effect of heat flux on combustion of different wood species","type":"article-journal","volume":"278"},"uris":["http://www.mendeley.com/documents/?uuid=01ec2b3e-5cfe-45db-a2a6-c6a034d2a8ce"]}],"mendeley":{"formattedCitation":"[6]","plainTextFormattedCitation":"[6]","previouslyFormattedCitation":"[57]"},"properties":{"noteIndex":0},"schema":"https://github.com/citation-style-language/schema/raw/master/csl-citation.json"}</w:instrText>
            </w:r>
            <w:r w:rsidRPr="00155D6E">
              <w:rPr>
                <w:sz w:val="20"/>
                <w:lang w:eastAsia="zh-CN"/>
              </w:rPr>
              <w:fldChar w:fldCharType="separate"/>
            </w:r>
            <w:r w:rsidR="006A1A14" w:rsidRPr="006A1A14">
              <w:rPr>
                <w:noProof/>
                <w:sz w:val="20"/>
                <w:lang w:eastAsia="zh-CN"/>
              </w:rPr>
              <w:t>[6]</w:t>
            </w:r>
            <w:r w:rsidRPr="00155D6E">
              <w:rPr>
                <w:sz w:val="20"/>
                <w:lang w:eastAsia="zh-CN"/>
              </w:rPr>
              <w:fldChar w:fldCharType="end"/>
            </w:r>
          </w:p>
        </w:tc>
        <w:tc>
          <w:tcPr>
            <w:tcW w:w="1927" w:type="dxa"/>
            <w:vAlign w:val="center"/>
          </w:tcPr>
          <w:p w14:paraId="33BAE0AF" w14:textId="77777777" w:rsidR="00D557E3" w:rsidRPr="00155D6E" w:rsidRDefault="00D557E3" w:rsidP="00826CB8">
            <w:pPr>
              <w:snapToGrid w:val="0"/>
              <w:spacing w:beforeLines="50" w:before="120" w:line="480" w:lineRule="auto"/>
              <w:ind w:right="28"/>
              <w:rPr>
                <w:sz w:val="20"/>
                <w:lang w:val="en-GB" w:eastAsia="zh-CN"/>
              </w:rPr>
            </w:pPr>
            <w:r w:rsidRPr="00155D6E">
              <w:rPr>
                <w:rFonts w:hint="eastAsia"/>
                <w:sz w:val="20"/>
                <w:lang w:val="en-GB" w:eastAsia="zh-CN"/>
              </w:rPr>
              <w:t>Red cedar</w:t>
            </w:r>
          </w:p>
        </w:tc>
        <w:tc>
          <w:tcPr>
            <w:tcW w:w="1371" w:type="dxa"/>
            <w:vAlign w:val="center"/>
          </w:tcPr>
          <w:p w14:paraId="234A78E3" w14:textId="77777777" w:rsidR="00D557E3" w:rsidRPr="00155D6E" w:rsidRDefault="00D557E3" w:rsidP="00826CB8">
            <w:pPr>
              <w:snapToGrid w:val="0"/>
              <w:spacing w:beforeLines="50" w:before="120" w:line="480" w:lineRule="auto"/>
              <w:ind w:right="28"/>
              <w:rPr>
                <w:sz w:val="20"/>
                <w:lang w:val="en-GB" w:eastAsia="zh-CN"/>
              </w:rPr>
            </w:pPr>
            <w:r w:rsidRPr="00155D6E">
              <w:rPr>
                <w:rFonts w:hint="eastAsia"/>
                <w:sz w:val="20"/>
                <w:lang w:val="en-GB" w:eastAsia="zh-CN"/>
              </w:rPr>
              <w:t>20/35/50</w:t>
            </w:r>
          </w:p>
        </w:tc>
        <w:tc>
          <w:tcPr>
            <w:tcW w:w="950" w:type="dxa"/>
            <w:vAlign w:val="center"/>
          </w:tcPr>
          <w:p w14:paraId="7B0C51BC" w14:textId="77777777" w:rsidR="00D557E3" w:rsidRPr="00155D6E" w:rsidRDefault="00D557E3" w:rsidP="00826CB8">
            <w:pPr>
              <w:snapToGrid w:val="0"/>
              <w:spacing w:beforeLines="50" w:before="120" w:line="480" w:lineRule="auto"/>
              <w:ind w:right="28"/>
              <w:rPr>
                <w:sz w:val="20"/>
                <w:lang w:val="en-GB" w:eastAsia="zh-CN"/>
              </w:rPr>
            </w:pPr>
            <w:r w:rsidRPr="00155D6E">
              <w:rPr>
                <w:rFonts w:hint="eastAsia"/>
                <w:sz w:val="20"/>
                <w:lang w:val="en-GB" w:eastAsia="zh-CN"/>
              </w:rPr>
              <w:t>0</w:t>
            </w:r>
          </w:p>
        </w:tc>
        <w:tc>
          <w:tcPr>
            <w:tcW w:w="2343" w:type="dxa"/>
            <w:vAlign w:val="center"/>
          </w:tcPr>
          <w:p w14:paraId="22A89F1F" w14:textId="77777777" w:rsidR="00D557E3" w:rsidRPr="00155D6E" w:rsidRDefault="00D557E3" w:rsidP="00826CB8">
            <w:pPr>
              <w:snapToGrid w:val="0"/>
              <w:spacing w:beforeLines="50" w:before="120" w:line="480" w:lineRule="auto"/>
              <w:ind w:right="28"/>
              <w:rPr>
                <w:sz w:val="20"/>
                <w:lang w:val="en-GB" w:eastAsia="zh-CN"/>
              </w:rPr>
            </w:pPr>
            <w:r w:rsidRPr="00155D6E">
              <w:rPr>
                <w:rFonts w:hint="eastAsia"/>
                <w:sz w:val="20"/>
                <w:lang w:val="en-GB" w:eastAsia="zh-CN"/>
              </w:rPr>
              <w:t>353</w:t>
            </w:r>
          </w:p>
        </w:tc>
        <w:tc>
          <w:tcPr>
            <w:tcW w:w="1635" w:type="dxa"/>
            <w:vAlign w:val="center"/>
          </w:tcPr>
          <w:p w14:paraId="39ED2B9F" w14:textId="77777777" w:rsidR="00D557E3" w:rsidRPr="00155D6E" w:rsidRDefault="00D557E3" w:rsidP="00826CB8">
            <w:pPr>
              <w:snapToGrid w:val="0"/>
              <w:spacing w:beforeLines="50" w:before="120" w:line="480" w:lineRule="auto"/>
              <w:ind w:right="28"/>
              <w:rPr>
                <w:sz w:val="20"/>
                <w:lang w:val="en-GB" w:eastAsia="zh-CN"/>
              </w:rPr>
            </w:pPr>
            <w:r w:rsidRPr="00155D6E">
              <w:rPr>
                <w:rFonts w:hint="eastAsia"/>
                <w:sz w:val="20"/>
                <w:lang w:val="en-GB" w:eastAsia="zh-CN"/>
              </w:rPr>
              <w:t>725/50/20</w:t>
            </w:r>
          </w:p>
        </w:tc>
      </w:tr>
      <w:tr w:rsidR="00D557E3" w:rsidRPr="00155D6E" w14:paraId="2033FB6E" w14:textId="77777777" w:rsidTr="00826CB8">
        <w:trPr>
          <w:jc w:val="center"/>
        </w:trPr>
        <w:tc>
          <w:tcPr>
            <w:tcW w:w="1242" w:type="dxa"/>
            <w:vAlign w:val="center"/>
          </w:tcPr>
          <w:p w14:paraId="13CC8E18" w14:textId="791CE43A" w:rsidR="00D557E3" w:rsidRPr="00155D6E" w:rsidRDefault="00D557E3" w:rsidP="00826CB8">
            <w:pPr>
              <w:snapToGrid w:val="0"/>
              <w:spacing w:beforeLines="50" w:before="120" w:line="480" w:lineRule="auto"/>
              <w:ind w:right="28"/>
              <w:rPr>
                <w:sz w:val="20"/>
                <w:lang w:eastAsia="zh-CN"/>
              </w:rPr>
            </w:pPr>
            <w:r w:rsidRPr="00155D6E">
              <w:rPr>
                <w:rFonts w:hint="eastAsia"/>
                <w:sz w:val="20"/>
                <w:lang w:eastAsia="zh-CN"/>
              </w:rPr>
              <w:t>Ö</w:t>
            </w:r>
            <w:r w:rsidRPr="00155D6E">
              <w:rPr>
                <w:sz w:val="20"/>
                <w:lang w:eastAsia="zh-CN"/>
              </w:rPr>
              <w:t>hrn</w:t>
            </w:r>
            <w:r w:rsidRPr="00155D6E">
              <w:rPr>
                <w:rFonts w:hint="eastAsia"/>
                <w:sz w:val="20"/>
                <w:lang w:eastAsia="zh-CN"/>
              </w:rPr>
              <w:t xml:space="preserve"> et al. (2023) </w:t>
            </w:r>
            <w:r w:rsidRPr="00155D6E">
              <w:rPr>
                <w:sz w:val="20"/>
                <w:lang w:eastAsia="zh-CN"/>
              </w:rPr>
              <w:fldChar w:fldCharType="begin" w:fldLock="1"/>
            </w:r>
            <w:r w:rsidR="006A1A14">
              <w:rPr>
                <w:sz w:val="20"/>
                <w:lang w:eastAsia="zh-CN"/>
              </w:rPr>
              <w:instrText>ADDIN CSL_CITATION {"citationItems":[{"id":"ITEM-1","itemData":{"author":[{"dropping-particle":"","family":"Öhrn","given":"Olina","non-dropping-particle":"","parse-names":false,"suffix":""}],"id":"ITEM-1","issued":{"date-parts":[["2023"]]},"publisher":"Luleå University of Technology","title":"Time to ignition for wood covered with ZnO","type":"thesis"},"uris":["http://www.mendeley.com/documents/?uuid=494e5268-21f9-4ae3-bea1-11145922cf37","http://www.mendeley.com/documents/?uuid=dfbb396c-3a20-4119-945c-a252a18745d8","http://www.mendeley.com/documents/?uuid=d4e1f8c2-bd3e-45ec-b044-0beaf22489ff"]},{"id":"ITEM-2","itemData":{"DOI":"10.1016/j.scitotenv.2023.165290","ISSN":"18791026","PMID":"37406703","abstract":"In the present study, the ability of a coating of zinc oxide (ZnO) powder to improve the fire-safety of wood exposed to radiative heat flux was examined, focusing on the ignition time of the wood. To test ZnO's efficiency on the wood substrate, two different amounts of ZnO (0.5 and 1 g ZnO per dm2) were applied to the wood surface and exposed to radiative heat from a cone calorimeter wherein a pristine piece of wood with no ZnO treatment was taken as control. The experiments were conducted at three different irradiation levels i.e., 20, 35, and 50 kWm−2. The results showed that applying ZnO on the surface of the wood significantly increased the ignition time (TTI). For the three different heat fluxes, using 0.5 g ZnO per dm2 coating on the wood surface increased the TTI by 26–33 %. Furthermore, the application of 1 g of ZnO per dm2 generated a TTI increment of 37–40 %. All three irradiation levels showed similar trends in TTI. The micrographs taken before and after combustion showed no significant disparity in the morphology of ZnO. The agglomerated ZnO particles on the wood surface remained intact after combustion. This study demonstrates a facile method of using ZnO to delay the ignition of wood. This could potentially impart fire-safety to wooden structures/façades in wildland-urban interfaces and elsewhere by reducing flame spread.","author":[{"dropping-particle":"","family":"Öhrn","given":"Olina","non-dropping-particle":"","parse-names":false,"suffix":""},{"dropping-particle":"","family":"Sykam","given":"Kesavarao","non-dropping-particle":"","parse-names":false,"suffix":""},{"dropping-particle":"","family":"Gawusu","given":"Sidique","non-dropping-particle":"","parse-names":false,"suffix":""},{"dropping-particle":"","family":"Mensah","given":"Rhoda Afriyie","non-dropping-particle":"","parse-names":false,"suffix":""},{"dropping-particle":"","family":"Försth","given":"Michael","non-dropping-particle":"","parse-names":false,"suffix":""},{"dropping-particle":"","family":"Shanmugam","given":"Vigneshwaran","non-dropping-particle":"","parse-names":false,"suffix":""},{"dropping-particle":"","family":"Karthik Babu","given":"N. B.","non-dropping-particle":"","parse-names":false,"suffix":""},{"dropping-particle":"","family":"Sas","given":"Gabriel","non-dropping-particle":"","parse-names":false,"suffix":""},{"dropping-particle":"","family":"Jiang","given":"Lin","non-dropping-particle":"","parse-names":false,"suffix":""},{"dropping-particle":"","family":"Xu","given":"Qiang","non-dropping-particle":"","parse-names":false,"suffix":""},{"dropping-particle":"","family":"Restás","given":"Ágoston","non-dropping-particle":"","parse-names":false,"suffix":""},{"dropping-particle":"","family":"Das","given":"Oisik","non-dropping-particle":"","parse-names":false,"suffix":""}],"container-title":"Science of the Total Environment","id":"ITEM-2","issue":"April","issued":{"date-parts":[["2023"]]},"page":"1-7","title":"Surface coated ZnO powder as flame retardant for wood: A short communication","type":"article-journal","volume":"897"},"uris":["http://www.mendeley.com/documents/?uuid=ae7dd1f4-dc46-40f3-aa5b-56f0afae40c1"]}],"mendeley":{"formattedCitation":"[7,8]","plainTextFormattedCitation":"[7,8]","previouslyFormattedCitation":"[58,59]"},"properties":{"noteIndex":0},"schema":"https://github.com/citation-style-language/schema/raw/master/csl-citation.json"}</w:instrText>
            </w:r>
            <w:r w:rsidRPr="00155D6E">
              <w:rPr>
                <w:sz w:val="20"/>
                <w:lang w:eastAsia="zh-CN"/>
              </w:rPr>
              <w:fldChar w:fldCharType="separate"/>
            </w:r>
            <w:r w:rsidR="006A1A14" w:rsidRPr="006A1A14">
              <w:rPr>
                <w:noProof/>
                <w:sz w:val="20"/>
                <w:lang w:eastAsia="zh-CN"/>
              </w:rPr>
              <w:t>[7,8]</w:t>
            </w:r>
            <w:r w:rsidRPr="00155D6E">
              <w:rPr>
                <w:sz w:val="20"/>
                <w:lang w:eastAsia="zh-CN"/>
              </w:rPr>
              <w:fldChar w:fldCharType="end"/>
            </w:r>
          </w:p>
        </w:tc>
        <w:tc>
          <w:tcPr>
            <w:tcW w:w="1927" w:type="dxa"/>
            <w:vAlign w:val="center"/>
          </w:tcPr>
          <w:p w14:paraId="2973D948" w14:textId="77777777" w:rsidR="00D557E3" w:rsidRPr="00155D6E" w:rsidRDefault="00D557E3" w:rsidP="00826CB8">
            <w:pPr>
              <w:snapToGrid w:val="0"/>
              <w:spacing w:beforeLines="50" w:before="120" w:line="480" w:lineRule="auto"/>
              <w:ind w:right="28"/>
              <w:rPr>
                <w:sz w:val="20"/>
                <w:lang w:val="en-GB" w:eastAsia="zh-CN"/>
              </w:rPr>
            </w:pPr>
            <w:r w:rsidRPr="00155D6E">
              <w:rPr>
                <w:rFonts w:hint="eastAsia"/>
                <w:sz w:val="20"/>
                <w:lang w:val="en-GB" w:eastAsia="zh-CN"/>
              </w:rPr>
              <w:t>Spruce</w:t>
            </w:r>
          </w:p>
        </w:tc>
        <w:tc>
          <w:tcPr>
            <w:tcW w:w="1371" w:type="dxa"/>
            <w:vAlign w:val="center"/>
          </w:tcPr>
          <w:p w14:paraId="5C635939" w14:textId="77777777" w:rsidR="00D557E3" w:rsidRPr="00155D6E" w:rsidRDefault="00D557E3" w:rsidP="00826CB8">
            <w:pPr>
              <w:snapToGrid w:val="0"/>
              <w:spacing w:beforeLines="50" w:before="120" w:line="480" w:lineRule="auto"/>
              <w:ind w:right="28"/>
              <w:rPr>
                <w:sz w:val="20"/>
                <w:lang w:val="en-GB" w:eastAsia="zh-CN"/>
              </w:rPr>
            </w:pPr>
            <w:r w:rsidRPr="00155D6E">
              <w:rPr>
                <w:rFonts w:hint="eastAsia"/>
                <w:sz w:val="20"/>
                <w:lang w:val="en-GB" w:eastAsia="zh-CN"/>
              </w:rPr>
              <w:t>20/35/50</w:t>
            </w:r>
          </w:p>
        </w:tc>
        <w:tc>
          <w:tcPr>
            <w:tcW w:w="950" w:type="dxa"/>
            <w:vAlign w:val="center"/>
          </w:tcPr>
          <w:p w14:paraId="6A62D724" w14:textId="77777777" w:rsidR="00D557E3" w:rsidRPr="00155D6E" w:rsidRDefault="00D557E3" w:rsidP="00826CB8">
            <w:pPr>
              <w:snapToGrid w:val="0"/>
              <w:spacing w:beforeLines="50" w:before="120" w:line="480" w:lineRule="auto"/>
              <w:ind w:right="28"/>
              <w:rPr>
                <w:sz w:val="20"/>
                <w:lang w:val="en-GB" w:eastAsia="zh-CN"/>
              </w:rPr>
            </w:pPr>
            <w:r w:rsidRPr="00155D6E">
              <w:rPr>
                <w:rFonts w:hint="eastAsia"/>
                <w:sz w:val="20"/>
                <w:lang w:val="en-GB" w:eastAsia="zh-CN"/>
              </w:rPr>
              <w:t>7</w:t>
            </w:r>
          </w:p>
        </w:tc>
        <w:tc>
          <w:tcPr>
            <w:tcW w:w="2343" w:type="dxa"/>
            <w:vAlign w:val="center"/>
          </w:tcPr>
          <w:p w14:paraId="6CE46E72" w14:textId="77777777" w:rsidR="00D557E3" w:rsidRPr="00155D6E" w:rsidRDefault="00D557E3" w:rsidP="00826CB8">
            <w:pPr>
              <w:snapToGrid w:val="0"/>
              <w:spacing w:beforeLines="50" w:before="120" w:line="480" w:lineRule="auto"/>
              <w:ind w:right="28"/>
              <w:rPr>
                <w:sz w:val="20"/>
                <w:lang w:val="en-GB" w:eastAsia="zh-CN"/>
              </w:rPr>
            </w:pPr>
            <w:r w:rsidRPr="00155D6E">
              <w:rPr>
                <w:rFonts w:hint="eastAsia"/>
                <w:sz w:val="20"/>
                <w:lang w:val="en-GB" w:eastAsia="zh-CN"/>
              </w:rPr>
              <w:t>380</w:t>
            </w:r>
          </w:p>
        </w:tc>
        <w:tc>
          <w:tcPr>
            <w:tcW w:w="1635" w:type="dxa"/>
            <w:vAlign w:val="center"/>
          </w:tcPr>
          <w:p w14:paraId="126DFA9C" w14:textId="77777777" w:rsidR="00D557E3" w:rsidRPr="00155D6E" w:rsidRDefault="00D557E3" w:rsidP="00826CB8">
            <w:pPr>
              <w:snapToGrid w:val="0"/>
              <w:spacing w:beforeLines="50" w:before="120" w:line="480" w:lineRule="auto"/>
              <w:ind w:right="28"/>
              <w:rPr>
                <w:sz w:val="20"/>
                <w:lang w:val="en-GB" w:eastAsia="zh-CN"/>
              </w:rPr>
            </w:pPr>
            <w:r w:rsidRPr="00155D6E">
              <w:rPr>
                <w:rFonts w:hint="eastAsia"/>
                <w:sz w:val="20"/>
                <w:lang w:val="en-GB" w:eastAsia="zh-CN"/>
              </w:rPr>
              <w:t>80/19/10</w:t>
            </w:r>
          </w:p>
        </w:tc>
      </w:tr>
      <w:tr w:rsidR="00D557E3" w:rsidRPr="00155D6E" w14:paraId="709B9EAF" w14:textId="77777777" w:rsidTr="00826CB8">
        <w:trPr>
          <w:jc w:val="center"/>
        </w:trPr>
        <w:tc>
          <w:tcPr>
            <w:tcW w:w="1242" w:type="dxa"/>
            <w:vAlign w:val="center"/>
          </w:tcPr>
          <w:p w14:paraId="05416CC0" w14:textId="2D290B96" w:rsidR="00D557E3" w:rsidRPr="00155D6E" w:rsidRDefault="00D557E3" w:rsidP="00826CB8">
            <w:pPr>
              <w:snapToGrid w:val="0"/>
              <w:spacing w:beforeLines="50" w:before="120" w:line="480" w:lineRule="auto"/>
              <w:ind w:right="28"/>
              <w:rPr>
                <w:sz w:val="20"/>
                <w:lang w:eastAsia="zh-CN"/>
              </w:rPr>
            </w:pPr>
            <w:r w:rsidRPr="00155D6E">
              <w:rPr>
                <w:rFonts w:hint="eastAsia"/>
                <w:sz w:val="20"/>
                <w:lang w:eastAsia="zh-CN"/>
              </w:rPr>
              <w:t xml:space="preserve">Liu et al. (2023) </w:t>
            </w:r>
            <w:r w:rsidRPr="00155D6E">
              <w:rPr>
                <w:sz w:val="20"/>
                <w:lang w:eastAsia="zh-CN"/>
              </w:rPr>
              <w:fldChar w:fldCharType="begin" w:fldLock="1"/>
            </w:r>
            <w:r w:rsidR="006A1A14">
              <w:rPr>
                <w:sz w:val="20"/>
                <w:lang w:eastAsia="zh-CN"/>
              </w:rPr>
              <w:instrText>ADDIN CSL_CITATION {"citationItems":[{"id":"ITEM-1","itemData":{"DOI":"10.1007/s10973-023-12311-0","ISBN":"0123456789","ISSN":"15882926","abstract":"With recent fires in ancient buildings such as Notre-Dame de Paris in France, Wanan Ancient Bridge in China, and the Cavallerizza Reale in Italy, it can be seen that aging wood buildings are more prone to fire and not easy to control once flame spreads. In this paper, the ignition of typical woods (Cypress and Fir in China) in ancient buildings was explored experimentally and theoretically by cone calorimeter under external heat flux (25, 35, and 50 kW m−2), and the measured ignition times were modeled by integration to create an ignition model. The results show that the fitted ignition temperature (T ig) equation can predict the ignition temperature of wood reasonably well. The theoretical ignition time curve calculated by the integral model agrees with the experimental value, which can be used for prediction of wood radiation ignition. This paper can assess the fire risk of wooden ancient buildings and provide important help for fire prevention and control in ancient buildings.","author":[{"dropping-particle":"","family":"Liu","given":"Hao","non-dropping-particle":"","parse-names":false,"suffix":""},{"dropping-particle":"","family":"Li","given":"Mi","non-dropping-particle":"","parse-names":false,"suffix":""},{"dropping-particle":"","family":"Jiang","given":"Lin","non-dropping-particle":"","parse-names":false,"suffix":""},{"dropping-particle":"","family":"Xu","given":"Qiang","non-dropping-particle":"","parse-names":false,"suffix":""}],"container-title":"Journal of Thermal Analysis and Calorimetry","id":"ITEM-1","issue":"20","issued":{"date-parts":[["2023"]]},"page":"10573-10582","title":"Experimental and theoretical study on ignition and combustion characteristics of aging woods by cone calorimetry","type":"article-journal","volume":"148"},"uris":["http://www.mendeley.com/documents/?uuid=40928264-d8a6-4740-813a-37ca2dcf6309","http://www.mendeley.com/documents/?uuid=20f4cd50-a92e-4612-be5e-76bce21eb23f","http://www.mendeley.com/documents/?uuid=b5a5a6d7-c7c4-4969-b174-0ba6b62a78ec"]}],"mendeley":{"formattedCitation":"[9]","plainTextFormattedCitation":"[9]","previouslyFormattedCitation":"[60]"},"properties":{"noteIndex":0},"schema":"https://github.com/citation-style-language/schema/raw/master/csl-citation.json"}</w:instrText>
            </w:r>
            <w:r w:rsidRPr="00155D6E">
              <w:rPr>
                <w:sz w:val="20"/>
                <w:lang w:eastAsia="zh-CN"/>
              </w:rPr>
              <w:fldChar w:fldCharType="separate"/>
            </w:r>
            <w:r w:rsidR="006A1A14" w:rsidRPr="006A1A14">
              <w:rPr>
                <w:noProof/>
                <w:sz w:val="20"/>
                <w:lang w:eastAsia="zh-CN"/>
              </w:rPr>
              <w:t>[9]</w:t>
            </w:r>
            <w:r w:rsidRPr="00155D6E">
              <w:rPr>
                <w:sz w:val="20"/>
                <w:lang w:eastAsia="zh-CN"/>
              </w:rPr>
              <w:fldChar w:fldCharType="end"/>
            </w:r>
          </w:p>
        </w:tc>
        <w:tc>
          <w:tcPr>
            <w:tcW w:w="1927" w:type="dxa"/>
            <w:vAlign w:val="center"/>
          </w:tcPr>
          <w:p w14:paraId="39F5C7A9" w14:textId="77777777" w:rsidR="00D557E3" w:rsidRPr="00155D6E" w:rsidRDefault="00D557E3" w:rsidP="00826CB8">
            <w:pPr>
              <w:snapToGrid w:val="0"/>
              <w:spacing w:beforeLines="50" w:before="120" w:line="480" w:lineRule="auto"/>
              <w:ind w:right="28"/>
              <w:rPr>
                <w:sz w:val="20"/>
                <w:lang w:val="en-GB" w:eastAsia="zh-CN"/>
              </w:rPr>
            </w:pPr>
            <w:r w:rsidRPr="00155D6E">
              <w:rPr>
                <w:rFonts w:hint="eastAsia"/>
                <w:sz w:val="20"/>
                <w:lang w:val="en-GB" w:eastAsia="zh-CN"/>
              </w:rPr>
              <w:t>Cypress</w:t>
            </w:r>
          </w:p>
        </w:tc>
        <w:tc>
          <w:tcPr>
            <w:tcW w:w="1371" w:type="dxa"/>
            <w:vAlign w:val="center"/>
          </w:tcPr>
          <w:p w14:paraId="24F963EE" w14:textId="77777777" w:rsidR="00D557E3" w:rsidRPr="00155D6E" w:rsidRDefault="00D557E3" w:rsidP="00826CB8">
            <w:pPr>
              <w:snapToGrid w:val="0"/>
              <w:spacing w:beforeLines="50" w:before="120" w:line="480" w:lineRule="auto"/>
              <w:ind w:right="28"/>
              <w:rPr>
                <w:sz w:val="20"/>
                <w:lang w:val="en-GB" w:eastAsia="zh-CN"/>
              </w:rPr>
            </w:pPr>
            <w:r w:rsidRPr="00155D6E">
              <w:rPr>
                <w:rFonts w:hint="eastAsia"/>
                <w:sz w:val="20"/>
                <w:lang w:val="en-GB" w:eastAsia="zh-CN"/>
              </w:rPr>
              <w:t>25/35/50</w:t>
            </w:r>
          </w:p>
        </w:tc>
        <w:tc>
          <w:tcPr>
            <w:tcW w:w="950" w:type="dxa"/>
            <w:vAlign w:val="center"/>
          </w:tcPr>
          <w:p w14:paraId="0E7B6A85" w14:textId="77777777" w:rsidR="00D557E3" w:rsidRPr="00155D6E" w:rsidRDefault="00D557E3" w:rsidP="00826CB8">
            <w:pPr>
              <w:snapToGrid w:val="0"/>
              <w:spacing w:beforeLines="50" w:before="120" w:line="480" w:lineRule="auto"/>
              <w:ind w:right="28"/>
              <w:rPr>
                <w:sz w:val="20"/>
                <w:lang w:val="en-GB" w:eastAsia="zh-CN"/>
              </w:rPr>
            </w:pPr>
            <w:r w:rsidRPr="00155D6E">
              <w:rPr>
                <w:rFonts w:hint="eastAsia"/>
                <w:sz w:val="20"/>
                <w:lang w:val="en-GB" w:eastAsia="zh-CN"/>
              </w:rPr>
              <w:t>0</w:t>
            </w:r>
          </w:p>
        </w:tc>
        <w:tc>
          <w:tcPr>
            <w:tcW w:w="2343" w:type="dxa"/>
            <w:vAlign w:val="center"/>
          </w:tcPr>
          <w:p w14:paraId="2FB2279D" w14:textId="77777777" w:rsidR="00D557E3" w:rsidRPr="00155D6E" w:rsidRDefault="00D557E3" w:rsidP="00826CB8">
            <w:pPr>
              <w:snapToGrid w:val="0"/>
              <w:spacing w:beforeLines="50" w:before="120" w:line="480" w:lineRule="auto"/>
              <w:ind w:right="28"/>
              <w:rPr>
                <w:sz w:val="20"/>
                <w:lang w:val="en-GB" w:eastAsia="zh-CN"/>
              </w:rPr>
            </w:pPr>
            <w:r w:rsidRPr="00155D6E">
              <w:rPr>
                <w:rFonts w:hint="eastAsia"/>
                <w:sz w:val="20"/>
                <w:lang w:val="en-GB" w:eastAsia="zh-CN"/>
              </w:rPr>
              <w:t>772</w:t>
            </w:r>
          </w:p>
        </w:tc>
        <w:tc>
          <w:tcPr>
            <w:tcW w:w="1635" w:type="dxa"/>
            <w:vAlign w:val="center"/>
          </w:tcPr>
          <w:p w14:paraId="60A68DD2" w14:textId="77777777" w:rsidR="00D557E3" w:rsidRPr="00155D6E" w:rsidRDefault="00D557E3" w:rsidP="00826CB8">
            <w:pPr>
              <w:snapToGrid w:val="0"/>
              <w:spacing w:beforeLines="50" w:before="120" w:line="480" w:lineRule="auto"/>
              <w:ind w:right="28"/>
              <w:rPr>
                <w:sz w:val="20"/>
                <w:lang w:val="en-GB" w:eastAsia="zh-CN"/>
              </w:rPr>
            </w:pPr>
            <w:r w:rsidRPr="00155D6E">
              <w:rPr>
                <w:rFonts w:hint="eastAsia"/>
                <w:sz w:val="20"/>
                <w:lang w:val="en-GB" w:eastAsia="zh-CN"/>
              </w:rPr>
              <w:t>121/43/16</w:t>
            </w:r>
          </w:p>
        </w:tc>
      </w:tr>
      <w:tr w:rsidR="00D557E3" w:rsidRPr="00155D6E" w14:paraId="461BF65B" w14:textId="77777777" w:rsidTr="00826CB8">
        <w:trPr>
          <w:jc w:val="center"/>
        </w:trPr>
        <w:tc>
          <w:tcPr>
            <w:tcW w:w="1242" w:type="dxa"/>
            <w:vAlign w:val="center"/>
          </w:tcPr>
          <w:p w14:paraId="1D2380E9" w14:textId="5FAE25CF" w:rsidR="00D557E3" w:rsidRPr="00155D6E" w:rsidRDefault="00D557E3" w:rsidP="00826CB8">
            <w:pPr>
              <w:snapToGrid w:val="0"/>
              <w:spacing w:beforeLines="50" w:before="120" w:line="480" w:lineRule="auto"/>
              <w:ind w:right="28"/>
              <w:rPr>
                <w:sz w:val="20"/>
                <w:lang w:eastAsia="zh-CN"/>
              </w:rPr>
            </w:pPr>
            <w:r w:rsidRPr="00155D6E">
              <w:rPr>
                <w:rFonts w:hint="eastAsia"/>
                <w:sz w:val="20"/>
                <w:lang w:eastAsia="zh-CN"/>
              </w:rPr>
              <w:t xml:space="preserve">Liu et al. (2023) </w:t>
            </w:r>
            <w:r w:rsidRPr="00155D6E">
              <w:rPr>
                <w:sz w:val="20"/>
                <w:lang w:eastAsia="zh-CN"/>
              </w:rPr>
              <w:fldChar w:fldCharType="begin" w:fldLock="1"/>
            </w:r>
            <w:r w:rsidR="006A1A14">
              <w:rPr>
                <w:sz w:val="20"/>
                <w:lang w:eastAsia="zh-CN"/>
              </w:rPr>
              <w:instrText>ADDIN CSL_CITATION {"citationItems":[{"id":"ITEM-1","itemData":{"DOI":"10.1007/s10973-023-12311-0","ISBN":"0123456789","ISSN":"15882926","abstract":"With recent fires in ancient buildings such as Notre-Dame de Paris in France, Wanan Ancient Bridge in China, and the Cavallerizza Reale in Italy, it can be seen that aging wood buildings are more prone to fire and not easy to control once flame spreads. In this paper, the ignition of typical woods (Cypress and Fir in China) in ancient buildings was explored experimentally and theoretically by cone calorimeter under external heat flux (25, 35, and 50 kW m−2), and the measured ignition times were modeled by integration to create an ignition model. The results show that the fitted ignition temperature (T ig) equation can predict the ignition temperature of wood reasonably well. The theoretical ignition time curve calculated by the integral model agrees with the experimental value, which can be used for prediction of wood radiation ignition. This paper can assess the fire risk of wooden ancient buildings and provide important help for fire prevention and control in ancient buildings.","author":[{"dropping-particle":"","family":"Liu","given":"Hao","non-dropping-particle":"","parse-names":false,"suffix":""},{"dropping-particle":"","family":"Li","given":"Mi","non-dropping-particle":"","parse-names":false,"suffix":""},{"dropping-particle":"","family":"Jiang","given":"Lin","non-dropping-particle":"","parse-names":false,"suffix":""},{"dropping-particle":"","family":"Xu","given":"Qiang","non-dropping-particle":"","parse-names":false,"suffix":""}],"container-title":"Journal of Thermal Analysis and Calorimetry","id":"ITEM-1","issue":"20","issued":{"date-parts":[["2023"]]},"page":"10573-10582","title":"Experimental and theoretical study on ignition and combustion characteristics of aging woods by cone calorimetry","type":"article-journal","volume":"148"},"uris":["http://www.mendeley.com/documents/?uuid=b5a5a6d7-c7c4-4969-b174-0ba6b62a78ec","http://www.mendeley.com/documents/?uuid=20f4cd50-a92e-4612-be5e-76bce21eb23f","http://www.mendeley.com/documents/?uuid=40928264-d8a6-4740-813a-37ca2dcf6309"]}],"mendeley":{"formattedCitation":"[9]","plainTextFormattedCitation":"[9]","previouslyFormattedCitation":"[60]"},"properties":{"noteIndex":0},"schema":"https://github.com/citation-style-language/schema/raw/master/csl-citation.json"}</w:instrText>
            </w:r>
            <w:r w:rsidRPr="00155D6E">
              <w:rPr>
                <w:sz w:val="20"/>
                <w:lang w:eastAsia="zh-CN"/>
              </w:rPr>
              <w:fldChar w:fldCharType="separate"/>
            </w:r>
            <w:r w:rsidR="006A1A14" w:rsidRPr="006A1A14">
              <w:rPr>
                <w:noProof/>
                <w:sz w:val="20"/>
                <w:lang w:eastAsia="zh-CN"/>
              </w:rPr>
              <w:t>[9]</w:t>
            </w:r>
            <w:r w:rsidRPr="00155D6E">
              <w:rPr>
                <w:sz w:val="20"/>
                <w:lang w:eastAsia="zh-CN"/>
              </w:rPr>
              <w:fldChar w:fldCharType="end"/>
            </w:r>
          </w:p>
        </w:tc>
        <w:tc>
          <w:tcPr>
            <w:tcW w:w="1927" w:type="dxa"/>
            <w:vAlign w:val="center"/>
          </w:tcPr>
          <w:p w14:paraId="76151C52" w14:textId="77777777" w:rsidR="00D557E3" w:rsidRPr="00155D6E" w:rsidRDefault="00D557E3" w:rsidP="00826CB8">
            <w:pPr>
              <w:snapToGrid w:val="0"/>
              <w:spacing w:beforeLines="50" w:before="120" w:line="480" w:lineRule="auto"/>
              <w:ind w:right="28"/>
              <w:rPr>
                <w:sz w:val="20"/>
                <w:lang w:val="en-GB" w:eastAsia="zh-CN"/>
              </w:rPr>
            </w:pPr>
            <w:r w:rsidRPr="00155D6E">
              <w:rPr>
                <w:rFonts w:hint="eastAsia"/>
                <w:sz w:val="20"/>
                <w:lang w:val="en-GB" w:eastAsia="zh-CN"/>
              </w:rPr>
              <w:t>Fir</w:t>
            </w:r>
          </w:p>
        </w:tc>
        <w:tc>
          <w:tcPr>
            <w:tcW w:w="1371" w:type="dxa"/>
            <w:vAlign w:val="center"/>
          </w:tcPr>
          <w:p w14:paraId="22EC600A" w14:textId="77777777" w:rsidR="00D557E3" w:rsidRPr="00155D6E" w:rsidRDefault="00D557E3" w:rsidP="00826CB8">
            <w:pPr>
              <w:snapToGrid w:val="0"/>
              <w:spacing w:beforeLines="50" w:before="120" w:line="480" w:lineRule="auto"/>
              <w:ind w:right="28"/>
              <w:rPr>
                <w:sz w:val="20"/>
                <w:lang w:val="en-GB" w:eastAsia="zh-CN"/>
              </w:rPr>
            </w:pPr>
            <w:r w:rsidRPr="00155D6E">
              <w:rPr>
                <w:rFonts w:hint="eastAsia"/>
                <w:sz w:val="20"/>
                <w:lang w:val="en-GB" w:eastAsia="zh-CN"/>
              </w:rPr>
              <w:t>25/35/50</w:t>
            </w:r>
          </w:p>
        </w:tc>
        <w:tc>
          <w:tcPr>
            <w:tcW w:w="950" w:type="dxa"/>
            <w:vAlign w:val="center"/>
          </w:tcPr>
          <w:p w14:paraId="612D28FC" w14:textId="77777777" w:rsidR="00D557E3" w:rsidRPr="00155D6E" w:rsidRDefault="00D557E3" w:rsidP="00826CB8">
            <w:pPr>
              <w:snapToGrid w:val="0"/>
              <w:spacing w:beforeLines="50" w:before="120" w:line="480" w:lineRule="auto"/>
              <w:ind w:right="28"/>
              <w:rPr>
                <w:sz w:val="20"/>
                <w:lang w:val="en-GB" w:eastAsia="zh-CN"/>
              </w:rPr>
            </w:pPr>
            <w:r w:rsidRPr="00155D6E">
              <w:rPr>
                <w:rFonts w:hint="eastAsia"/>
                <w:sz w:val="20"/>
                <w:lang w:val="en-GB" w:eastAsia="zh-CN"/>
              </w:rPr>
              <w:t>0</w:t>
            </w:r>
          </w:p>
        </w:tc>
        <w:tc>
          <w:tcPr>
            <w:tcW w:w="2343" w:type="dxa"/>
            <w:vAlign w:val="center"/>
          </w:tcPr>
          <w:p w14:paraId="1C8A4515" w14:textId="77777777" w:rsidR="00D557E3" w:rsidRPr="00155D6E" w:rsidRDefault="00D557E3" w:rsidP="00826CB8">
            <w:pPr>
              <w:snapToGrid w:val="0"/>
              <w:spacing w:beforeLines="50" w:before="120" w:line="480" w:lineRule="auto"/>
              <w:ind w:right="28"/>
              <w:rPr>
                <w:sz w:val="20"/>
                <w:lang w:val="en-GB" w:eastAsia="zh-CN"/>
              </w:rPr>
            </w:pPr>
            <w:r w:rsidRPr="00155D6E">
              <w:rPr>
                <w:rFonts w:hint="eastAsia"/>
                <w:sz w:val="20"/>
                <w:lang w:val="en-GB" w:eastAsia="zh-CN"/>
              </w:rPr>
              <w:t>385</w:t>
            </w:r>
          </w:p>
        </w:tc>
        <w:tc>
          <w:tcPr>
            <w:tcW w:w="1635" w:type="dxa"/>
            <w:vAlign w:val="center"/>
          </w:tcPr>
          <w:p w14:paraId="7F8901EE" w14:textId="77777777" w:rsidR="00D557E3" w:rsidRPr="00155D6E" w:rsidRDefault="00D557E3" w:rsidP="00826CB8">
            <w:pPr>
              <w:snapToGrid w:val="0"/>
              <w:spacing w:beforeLines="50" w:before="120" w:line="480" w:lineRule="auto"/>
              <w:ind w:right="28"/>
              <w:rPr>
                <w:sz w:val="20"/>
                <w:lang w:val="en-GB" w:eastAsia="zh-CN"/>
              </w:rPr>
            </w:pPr>
            <w:r w:rsidRPr="00155D6E">
              <w:rPr>
                <w:rFonts w:hint="eastAsia"/>
                <w:sz w:val="20"/>
                <w:lang w:val="en-GB" w:eastAsia="zh-CN"/>
              </w:rPr>
              <w:t>68/29/12</w:t>
            </w:r>
          </w:p>
        </w:tc>
      </w:tr>
      <w:tr w:rsidR="00D557E3" w:rsidRPr="00155D6E" w14:paraId="14753B1E" w14:textId="77777777" w:rsidTr="00826CB8">
        <w:trPr>
          <w:jc w:val="center"/>
        </w:trPr>
        <w:tc>
          <w:tcPr>
            <w:tcW w:w="1242" w:type="dxa"/>
            <w:vAlign w:val="center"/>
          </w:tcPr>
          <w:p w14:paraId="39C6D44E" w14:textId="7E906399" w:rsidR="00D557E3" w:rsidRPr="00155D6E" w:rsidRDefault="00D557E3" w:rsidP="00826CB8">
            <w:pPr>
              <w:snapToGrid w:val="0"/>
              <w:spacing w:beforeLines="50" w:before="120" w:line="480" w:lineRule="auto"/>
              <w:ind w:right="28"/>
              <w:rPr>
                <w:sz w:val="20"/>
                <w:lang w:eastAsia="zh-CN"/>
              </w:rPr>
            </w:pPr>
            <w:r w:rsidRPr="00155D6E">
              <w:rPr>
                <w:rFonts w:hint="eastAsia"/>
                <w:sz w:val="20"/>
                <w:lang w:eastAsia="zh-CN"/>
              </w:rPr>
              <w:t xml:space="preserve">Hedayati et al. (2017) </w:t>
            </w:r>
            <w:r w:rsidRPr="00155D6E">
              <w:rPr>
                <w:sz w:val="20"/>
                <w:lang w:eastAsia="zh-CN"/>
              </w:rPr>
              <w:fldChar w:fldCharType="begin" w:fldLock="1"/>
            </w:r>
            <w:r w:rsidR="006A1A14">
              <w:rPr>
                <w:sz w:val="20"/>
                <w:lang w:eastAsia="zh-CN"/>
              </w:rPr>
              <w:instrText>ADDIN CSL_CITATION {"citationItems":[{"id":"ITEM-1","itemData":{"DOI":"10.1002/fam.2528","ISSN":"10991018","abstract":"The objective of this research was to measure the pyrolysis and combustion properties of selected structural fuels as a function of fuel moisture content (MC) levels under various external heating conditions. The pyrolysis properties were measured by using the thermogravimetric analysis technique at 3 MC levels (5%, 10%, and 15%) and 3 heating rates (5, 15, and 25K/min.). The combustion properties were measured by using a cone calorimeter at the same MC levels and 3 heat flux levels (20, 30, and 50 kW/m2). In addition, density and thermal conductivity as a function of MC levels were also measured. Statistical analysis was performed over the experimental data by using a 95% confidence interval. Most materials had significant increase in density when the MC levels increased, while the increase was more significant for natural woods than engineered woods. No statistically significant changes in thermal conductivity were observed for most materials. The pyrolysis properties were affected by both the MC and heating rate levels. Both MC and heat flux levels affected the combustion properties.","author":[{"dropping-particle":"","family":"Hedayati","given":"Faraz","non-dropping-particle":"","parse-names":false,"suffix":""},{"dropping-particle":"","family":"Yang","given":"Wenxu","non-dropping-particle":"","parse-names":false,"suffix":""},{"dropping-particle":"","family":"Zhou","given":"Aixi","non-dropping-particle":"","parse-names":false,"suffix":""}],"container-title":"Fire and Materials","id":"ITEM-1","issue":"7","issued":{"date-parts":[["2018"]]},"page":"741-749","title":"Effects of moisture content and heating condition on pyrolysis and combustion properties of structural fuels","type":"article-journal","volume":"42"},"uris":["http://www.mendeley.com/documents/?uuid=bafd5488-e422-4c3b-bebb-e784a4ef710f","http://www.mendeley.com/documents/?uuid=45f302bf-fa4c-4241-a6c4-2d50044e7cc7","http://www.mendeley.com/documents/?uuid=71c1c5d6-1ac2-4a71-9813-6eb9bc73eb52"]}],"mendeley":{"formattedCitation":"[10]","plainTextFormattedCitation":"[10]","previouslyFormattedCitation":"[49]"},"properties":{"noteIndex":0},"schema":"https://github.com/citation-style-language/schema/raw/master/csl-citation.json"}</w:instrText>
            </w:r>
            <w:r w:rsidRPr="00155D6E">
              <w:rPr>
                <w:sz w:val="20"/>
                <w:lang w:eastAsia="zh-CN"/>
              </w:rPr>
              <w:fldChar w:fldCharType="separate"/>
            </w:r>
            <w:r w:rsidR="006A1A14" w:rsidRPr="006A1A14">
              <w:rPr>
                <w:noProof/>
                <w:sz w:val="20"/>
                <w:lang w:eastAsia="zh-CN"/>
              </w:rPr>
              <w:t>[10]</w:t>
            </w:r>
            <w:r w:rsidRPr="00155D6E">
              <w:rPr>
                <w:sz w:val="20"/>
                <w:lang w:eastAsia="zh-CN"/>
              </w:rPr>
              <w:fldChar w:fldCharType="end"/>
            </w:r>
          </w:p>
        </w:tc>
        <w:tc>
          <w:tcPr>
            <w:tcW w:w="1927" w:type="dxa"/>
            <w:vAlign w:val="center"/>
          </w:tcPr>
          <w:p w14:paraId="1BCB869C" w14:textId="77777777" w:rsidR="00D557E3" w:rsidRPr="00155D6E" w:rsidRDefault="00D557E3" w:rsidP="00826CB8">
            <w:pPr>
              <w:snapToGrid w:val="0"/>
              <w:spacing w:beforeLines="50" w:before="120" w:line="480" w:lineRule="auto"/>
              <w:ind w:right="28"/>
              <w:rPr>
                <w:sz w:val="20"/>
                <w:lang w:val="en-GB" w:eastAsia="zh-CN"/>
              </w:rPr>
            </w:pPr>
            <w:r w:rsidRPr="00155D6E">
              <w:rPr>
                <w:rFonts w:hint="eastAsia"/>
                <w:sz w:val="20"/>
                <w:lang w:val="en-GB" w:eastAsia="zh-CN"/>
              </w:rPr>
              <w:t>Southern yellow pine</w:t>
            </w:r>
          </w:p>
        </w:tc>
        <w:tc>
          <w:tcPr>
            <w:tcW w:w="1371" w:type="dxa"/>
            <w:vAlign w:val="center"/>
          </w:tcPr>
          <w:p w14:paraId="69F7D314" w14:textId="77777777" w:rsidR="00D557E3" w:rsidRPr="00155D6E" w:rsidRDefault="00D557E3" w:rsidP="00826CB8">
            <w:pPr>
              <w:snapToGrid w:val="0"/>
              <w:spacing w:beforeLines="50" w:before="120" w:line="480" w:lineRule="auto"/>
              <w:ind w:right="28"/>
              <w:rPr>
                <w:sz w:val="20"/>
                <w:lang w:val="en-GB" w:eastAsia="zh-CN"/>
              </w:rPr>
            </w:pPr>
            <w:r w:rsidRPr="00155D6E">
              <w:rPr>
                <w:rFonts w:hint="eastAsia"/>
                <w:sz w:val="20"/>
                <w:lang w:val="en-GB" w:eastAsia="zh-CN"/>
              </w:rPr>
              <w:t>20/30/50</w:t>
            </w:r>
          </w:p>
        </w:tc>
        <w:tc>
          <w:tcPr>
            <w:tcW w:w="950" w:type="dxa"/>
            <w:vAlign w:val="center"/>
          </w:tcPr>
          <w:p w14:paraId="6369A03F" w14:textId="77777777" w:rsidR="00D557E3" w:rsidRPr="00155D6E" w:rsidRDefault="00D557E3" w:rsidP="00826CB8">
            <w:pPr>
              <w:snapToGrid w:val="0"/>
              <w:spacing w:beforeLines="50" w:before="120" w:line="480" w:lineRule="auto"/>
              <w:ind w:right="28"/>
              <w:rPr>
                <w:sz w:val="20"/>
                <w:lang w:val="en-GB" w:eastAsia="zh-CN"/>
              </w:rPr>
            </w:pPr>
            <w:r w:rsidRPr="00155D6E">
              <w:rPr>
                <w:rFonts w:hint="eastAsia"/>
                <w:sz w:val="20"/>
                <w:lang w:val="en-GB" w:eastAsia="zh-CN"/>
              </w:rPr>
              <w:t>5</w:t>
            </w:r>
          </w:p>
        </w:tc>
        <w:tc>
          <w:tcPr>
            <w:tcW w:w="2343" w:type="dxa"/>
            <w:vAlign w:val="center"/>
          </w:tcPr>
          <w:p w14:paraId="663585FF" w14:textId="77777777" w:rsidR="00D557E3" w:rsidRPr="00155D6E" w:rsidRDefault="00D557E3" w:rsidP="00826CB8">
            <w:pPr>
              <w:snapToGrid w:val="0"/>
              <w:spacing w:beforeLines="50" w:before="120" w:line="480" w:lineRule="auto"/>
              <w:ind w:right="28"/>
              <w:rPr>
                <w:sz w:val="20"/>
                <w:lang w:val="en-GB" w:eastAsia="zh-CN"/>
              </w:rPr>
            </w:pPr>
            <w:r w:rsidRPr="00155D6E">
              <w:rPr>
                <w:rFonts w:hint="eastAsia"/>
                <w:sz w:val="20"/>
                <w:lang w:val="en-GB" w:eastAsia="zh-CN"/>
              </w:rPr>
              <w:t>538</w:t>
            </w:r>
          </w:p>
        </w:tc>
        <w:tc>
          <w:tcPr>
            <w:tcW w:w="1635" w:type="dxa"/>
            <w:vAlign w:val="center"/>
          </w:tcPr>
          <w:p w14:paraId="2E62842B" w14:textId="77777777" w:rsidR="00D557E3" w:rsidRPr="00155D6E" w:rsidRDefault="00D557E3" w:rsidP="00826CB8">
            <w:pPr>
              <w:snapToGrid w:val="0"/>
              <w:spacing w:beforeLines="50" w:before="120" w:line="480" w:lineRule="auto"/>
              <w:ind w:right="28"/>
              <w:rPr>
                <w:sz w:val="20"/>
                <w:lang w:val="en-GB" w:eastAsia="zh-CN"/>
              </w:rPr>
            </w:pPr>
            <w:r w:rsidRPr="00155D6E">
              <w:rPr>
                <w:rFonts w:hint="eastAsia"/>
                <w:sz w:val="20"/>
                <w:lang w:val="en-GB" w:eastAsia="zh-CN"/>
              </w:rPr>
              <w:t>192/34/24</w:t>
            </w:r>
          </w:p>
        </w:tc>
      </w:tr>
      <w:tr w:rsidR="00D557E3" w:rsidRPr="00155D6E" w14:paraId="38C449B2" w14:textId="77777777" w:rsidTr="00826CB8">
        <w:trPr>
          <w:jc w:val="center"/>
        </w:trPr>
        <w:tc>
          <w:tcPr>
            <w:tcW w:w="1242" w:type="dxa"/>
            <w:vAlign w:val="center"/>
          </w:tcPr>
          <w:p w14:paraId="7069AB0A" w14:textId="1E49C2BC" w:rsidR="00D557E3" w:rsidRPr="00155D6E" w:rsidRDefault="00D557E3" w:rsidP="00826CB8">
            <w:pPr>
              <w:snapToGrid w:val="0"/>
              <w:spacing w:beforeLines="50" w:before="120" w:line="480" w:lineRule="auto"/>
              <w:ind w:right="28"/>
              <w:rPr>
                <w:sz w:val="20"/>
                <w:lang w:eastAsia="zh-CN"/>
              </w:rPr>
            </w:pPr>
            <w:r w:rsidRPr="00155D6E">
              <w:rPr>
                <w:rFonts w:hint="eastAsia"/>
                <w:sz w:val="20"/>
                <w:lang w:eastAsia="zh-CN"/>
              </w:rPr>
              <w:t xml:space="preserve">Hedayati et al. (2017) </w:t>
            </w:r>
            <w:r w:rsidRPr="00155D6E">
              <w:rPr>
                <w:sz w:val="20"/>
                <w:lang w:eastAsia="zh-CN"/>
              </w:rPr>
              <w:fldChar w:fldCharType="begin" w:fldLock="1"/>
            </w:r>
            <w:r w:rsidR="006A1A14">
              <w:rPr>
                <w:sz w:val="20"/>
                <w:lang w:eastAsia="zh-CN"/>
              </w:rPr>
              <w:instrText>ADDIN CSL_CITATION {"citationItems":[{"id":"ITEM-1","itemData":{"DOI":"10.1002/fam.2528","ISSN":"10991018","abstract":"The objective of this research was to measure the pyrolysis and combustion properties of selected structural fuels as a function of fuel moisture content (MC) levels under various external heating conditions. The pyrolysis properties were measured by using the thermogravimetric analysis technique at 3 MC levels (5%, 10%, and 15%) and 3 heating rates (5, 15, and 25K/min.). The combustion properties were measured by using a cone calorimeter at the same MC levels and 3 heat flux levels (20, 30, and 50 kW/m2). In addition, density and thermal conductivity as a function of MC levels were also measured. Statistical analysis was performed over the experimental data by using a 95% confidence interval. Most materials had significant increase in density when the MC levels increased, while the increase was more significant for natural woods than engineered woods. No statistically significant changes in thermal conductivity were observed for most materials. The pyrolysis properties were affected by both the MC and heating rate levels. Both MC and heat flux levels affected the combustion properties.","author":[{"dropping-particle":"","family":"Hedayati","given":"Faraz","non-dropping-particle":"","parse-names":false,"suffix":""},{"dropping-particle":"","family":"Yang","given":"Wenxu","non-dropping-particle":"","parse-names":false,"suffix":""},{"dropping-particle":"","family":"Zhou","given":"Aixi","non-dropping-particle":"","parse-names":false,"suffix":""}],"container-title":"Fire and Materials","id":"ITEM-1","issue":"7","issued":{"date-parts":[["2018"]]},"page":"741-749","title":"Effects of moisture content and heating condition on pyrolysis and combustion properties of structural fuels","type":"article-journal","volume":"42"},"uris":["http://www.mendeley.com/documents/?uuid=bafd5488-e422-4c3b-bebb-e784a4ef710f","http://www.mendeley.com/documents/?uuid=45f302bf-fa4c-4241-a6c4-2d50044e7cc7","http://www.mendeley.com/documents/?uuid=71c1c5d6-1ac2-4a71-9813-6eb9bc73eb52"]}],"mendeley":{"formattedCitation":"[10]","plainTextFormattedCitation":"[10]","previouslyFormattedCitation":"[49]"},"properties":{"noteIndex":0},"schema":"https://github.com/citation-style-language/schema/raw/master/csl-citation.json"}</w:instrText>
            </w:r>
            <w:r w:rsidRPr="00155D6E">
              <w:rPr>
                <w:sz w:val="20"/>
                <w:lang w:eastAsia="zh-CN"/>
              </w:rPr>
              <w:fldChar w:fldCharType="separate"/>
            </w:r>
            <w:r w:rsidR="006A1A14" w:rsidRPr="006A1A14">
              <w:rPr>
                <w:noProof/>
                <w:sz w:val="20"/>
                <w:lang w:eastAsia="zh-CN"/>
              </w:rPr>
              <w:t>[10]</w:t>
            </w:r>
            <w:r w:rsidRPr="00155D6E">
              <w:rPr>
                <w:sz w:val="20"/>
                <w:lang w:eastAsia="zh-CN"/>
              </w:rPr>
              <w:fldChar w:fldCharType="end"/>
            </w:r>
          </w:p>
        </w:tc>
        <w:tc>
          <w:tcPr>
            <w:tcW w:w="1927" w:type="dxa"/>
            <w:vAlign w:val="center"/>
          </w:tcPr>
          <w:p w14:paraId="20D380DE" w14:textId="77777777" w:rsidR="00D557E3" w:rsidRPr="00155D6E" w:rsidRDefault="00D557E3" w:rsidP="00826CB8">
            <w:pPr>
              <w:snapToGrid w:val="0"/>
              <w:spacing w:beforeLines="50" w:before="120" w:line="480" w:lineRule="auto"/>
              <w:ind w:right="28"/>
              <w:rPr>
                <w:sz w:val="20"/>
                <w:lang w:val="en-GB" w:eastAsia="zh-CN"/>
              </w:rPr>
            </w:pPr>
            <w:r w:rsidRPr="00155D6E">
              <w:rPr>
                <w:rFonts w:hint="eastAsia"/>
                <w:sz w:val="20"/>
                <w:lang w:val="en-GB" w:eastAsia="zh-CN"/>
              </w:rPr>
              <w:t>Southern yellow pine</w:t>
            </w:r>
          </w:p>
        </w:tc>
        <w:tc>
          <w:tcPr>
            <w:tcW w:w="1371" w:type="dxa"/>
            <w:vAlign w:val="center"/>
          </w:tcPr>
          <w:p w14:paraId="6D037D38" w14:textId="77777777" w:rsidR="00D557E3" w:rsidRPr="00155D6E" w:rsidRDefault="00D557E3" w:rsidP="00826CB8">
            <w:pPr>
              <w:snapToGrid w:val="0"/>
              <w:spacing w:beforeLines="50" w:before="120" w:line="480" w:lineRule="auto"/>
              <w:ind w:right="28"/>
              <w:rPr>
                <w:sz w:val="20"/>
                <w:lang w:val="en-GB" w:eastAsia="zh-CN"/>
              </w:rPr>
            </w:pPr>
            <w:r w:rsidRPr="00155D6E">
              <w:rPr>
                <w:rFonts w:hint="eastAsia"/>
                <w:sz w:val="20"/>
                <w:lang w:val="en-GB" w:eastAsia="zh-CN"/>
              </w:rPr>
              <w:t>20/30/50</w:t>
            </w:r>
          </w:p>
        </w:tc>
        <w:tc>
          <w:tcPr>
            <w:tcW w:w="950" w:type="dxa"/>
            <w:vAlign w:val="center"/>
          </w:tcPr>
          <w:p w14:paraId="39E7AC81" w14:textId="77777777" w:rsidR="00D557E3" w:rsidRPr="00155D6E" w:rsidRDefault="00D557E3" w:rsidP="00826CB8">
            <w:pPr>
              <w:snapToGrid w:val="0"/>
              <w:spacing w:beforeLines="50" w:before="120" w:line="480" w:lineRule="auto"/>
              <w:ind w:right="28"/>
              <w:rPr>
                <w:sz w:val="20"/>
                <w:lang w:val="en-GB" w:eastAsia="zh-CN"/>
              </w:rPr>
            </w:pPr>
            <w:r w:rsidRPr="00155D6E">
              <w:rPr>
                <w:rFonts w:hint="eastAsia"/>
                <w:sz w:val="20"/>
                <w:lang w:val="en-GB" w:eastAsia="zh-CN"/>
              </w:rPr>
              <w:t>10</w:t>
            </w:r>
          </w:p>
        </w:tc>
        <w:tc>
          <w:tcPr>
            <w:tcW w:w="2343" w:type="dxa"/>
            <w:vAlign w:val="center"/>
          </w:tcPr>
          <w:p w14:paraId="07D19EB8" w14:textId="77777777" w:rsidR="00D557E3" w:rsidRPr="00155D6E" w:rsidRDefault="00D557E3" w:rsidP="00826CB8">
            <w:pPr>
              <w:snapToGrid w:val="0"/>
              <w:spacing w:beforeLines="50" w:before="120" w:line="480" w:lineRule="auto"/>
              <w:ind w:right="28"/>
              <w:rPr>
                <w:sz w:val="20"/>
                <w:lang w:val="en-GB" w:eastAsia="zh-CN"/>
              </w:rPr>
            </w:pPr>
            <w:r w:rsidRPr="00155D6E">
              <w:rPr>
                <w:rFonts w:hint="eastAsia"/>
                <w:sz w:val="20"/>
                <w:lang w:val="en-GB" w:eastAsia="zh-CN"/>
              </w:rPr>
              <w:t>550</w:t>
            </w:r>
          </w:p>
        </w:tc>
        <w:tc>
          <w:tcPr>
            <w:tcW w:w="1635" w:type="dxa"/>
            <w:vAlign w:val="center"/>
          </w:tcPr>
          <w:p w14:paraId="0FC2A1C2" w14:textId="77777777" w:rsidR="00D557E3" w:rsidRPr="00155D6E" w:rsidRDefault="00D557E3" w:rsidP="00826CB8">
            <w:pPr>
              <w:snapToGrid w:val="0"/>
              <w:spacing w:beforeLines="50" w:before="120" w:line="480" w:lineRule="auto"/>
              <w:ind w:right="28"/>
              <w:rPr>
                <w:sz w:val="20"/>
                <w:lang w:val="en-GB" w:eastAsia="zh-CN"/>
              </w:rPr>
            </w:pPr>
            <w:r w:rsidRPr="00155D6E">
              <w:rPr>
                <w:rFonts w:hint="eastAsia"/>
                <w:sz w:val="20"/>
                <w:lang w:val="en-GB" w:eastAsia="zh-CN"/>
              </w:rPr>
              <w:t>357/71/25</w:t>
            </w:r>
          </w:p>
        </w:tc>
      </w:tr>
      <w:tr w:rsidR="00D557E3" w:rsidRPr="00155D6E" w14:paraId="0435C294" w14:textId="77777777" w:rsidTr="00826CB8">
        <w:trPr>
          <w:jc w:val="center"/>
        </w:trPr>
        <w:tc>
          <w:tcPr>
            <w:tcW w:w="1242" w:type="dxa"/>
            <w:vAlign w:val="center"/>
          </w:tcPr>
          <w:p w14:paraId="5D4C10AC" w14:textId="7B261EFA" w:rsidR="00D557E3" w:rsidRPr="00155D6E" w:rsidRDefault="00D557E3" w:rsidP="00826CB8">
            <w:pPr>
              <w:snapToGrid w:val="0"/>
              <w:spacing w:beforeLines="50" w:before="120" w:line="480" w:lineRule="auto"/>
              <w:ind w:right="28"/>
              <w:rPr>
                <w:sz w:val="20"/>
                <w:lang w:eastAsia="zh-CN"/>
              </w:rPr>
            </w:pPr>
            <w:r w:rsidRPr="00155D6E">
              <w:rPr>
                <w:rFonts w:hint="eastAsia"/>
                <w:sz w:val="20"/>
                <w:lang w:eastAsia="zh-CN"/>
              </w:rPr>
              <w:t xml:space="preserve">Hedayati et al. (2017) </w:t>
            </w:r>
            <w:r w:rsidRPr="00155D6E">
              <w:rPr>
                <w:sz w:val="20"/>
                <w:lang w:eastAsia="zh-CN"/>
              </w:rPr>
              <w:lastRenderedPageBreak/>
              <w:fldChar w:fldCharType="begin" w:fldLock="1"/>
            </w:r>
            <w:r w:rsidR="006A1A14">
              <w:rPr>
                <w:sz w:val="20"/>
                <w:lang w:eastAsia="zh-CN"/>
              </w:rPr>
              <w:instrText>ADDIN CSL_CITATION {"citationItems":[{"id":"ITEM-1","itemData":{"DOI":"10.1002/fam.2528","ISSN":"10991018","abstract":"The objective of this research was to measure the pyrolysis and combustion properties of selected structural fuels as a function of fuel moisture content (MC) levels under various external heating conditions. The pyrolysis properties were measured by using the thermogravimetric analysis technique at 3 MC levels (5%, 10%, and 15%) and 3 heating rates (5, 15, and 25K/min.). The combustion properties were measured by using a cone calorimeter at the same MC levels and 3 heat flux levels (20, 30, and 50 kW/m2). In addition, density and thermal conductivity as a function of MC levels were also measured. Statistical analysis was performed over the experimental data by using a 95% confidence interval. Most materials had significant increase in density when the MC levels increased, while the increase was more significant for natural woods than engineered woods. No statistically significant changes in thermal conductivity were observed for most materials. The pyrolysis properties were affected by both the MC and heating rate levels. Both MC and heat flux levels affected the combustion properties.","author":[{"dropping-particle":"","family":"Hedayati","given":"Faraz","non-dropping-particle":"","parse-names":false,"suffix":""},{"dropping-particle":"","family":"Yang","given":"Wenxu","non-dropping-particle":"","parse-names":false,"suffix":""},{"dropping-particle":"","family":"Zhou","given":"Aixi","non-dropping-particle":"","parse-names":false,"suffix":""}],"container-title":"Fire and Materials","id":"ITEM-1","issue":"7","issued":{"date-parts":[["2018"]]},"page":"741-749","title":"Effects of moisture content and heating condition on pyrolysis and combustion properties of structural fuels","type":"article-journal","volume":"42"},"uris":["http://www.mendeley.com/documents/?uuid=bafd5488-e422-4c3b-bebb-e784a4ef710f","http://www.mendeley.com/documents/?uuid=45f302bf-fa4c-4241-a6c4-2d50044e7cc7","http://www.mendeley.com/documents/?uuid=71c1c5d6-1ac2-4a71-9813-6eb9bc73eb52"]}],"mendeley":{"formattedCitation":"[10]","plainTextFormattedCitation":"[10]","previouslyFormattedCitation":"[49]"},"properties":{"noteIndex":0},"schema":"https://github.com/citation-style-language/schema/raw/master/csl-citation.json"}</w:instrText>
            </w:r>
            <w:r w:rsidRPr="00155D6E">
              <w:rPr>
                <w:sz w:val="20"/>
                <w:lang w:eastAsia="zh-CN"/>
              </w:rPr>
              <w:fldChar w:fldCharType="separate"/>
            </w:r>
            <w:r w:rsidR="006A1A14" w:rsidRPr="006A1A14">
              <w:rPr>
                <w:noProof/>
                <w:sz w:val="20"/>
                <w:lang w:eastAsia="zh-CN"/>
              </w:rPr>
              <w:t>[10]</w:t>
            </w:r>
            <w:r w:rsidRPr="00155D6E">
              <w:rPr>
                <w:sz w:val="20"/>
                <w:lang w:eastAsia="zh-CN"/>
              </w:rPr>
              <w:fldChar w:fldCharType="end"/>
            </w:r>
          </w:p>
        </w:tc>
        <w:tc>
          <w:tcPr>
            <w:tcW w:w="1927" w:type="dxa"/>
            <w:vAlign w:val="center"/>
          </w:tcPr>
          <w:p w14:paraId="4A287C9D" w14:textId="77777777" w:rsidR="00D557E3" w:rsidRPr="00155D6E" w:rsidRDefault="00D557E3" w:rsidP="00826CB8">
            <w:pPr>
              <w:snapToGrid w:val="0"/>
              <w:spacing w:beforeLines="50" w:before="120" w:line="480" w:lineRule="auto"/>
              <w:ind w:right="28"/>
              <w:rPr>
                <w:sz w:val="20"/>
                <w:lang w:val="en-GB" w:eastAsia="zh-CN"/>
              </w:rPr>
            </w:pPr>
            <w:r w:rsidRPr="00155D6E">
              <w:rPr>
                <w:rFonts w:hint="eastAsia"/>
                <w:sz w:val="20"/>
                <w:lang w:val="en-GB" w:eastAsia="zh-CN"/>
              </w:rPr>
              <w:lastRenderedPageBreak/>
              <w:t>Southern yellow pine</w:t>
            </w:r>
          </w:p>
        </w:tc>
        <w:tc>
          <w:tcPr>
            <w:tcW w:w="1371" w:type="dxa"/>
            <w:vAlign w:val="center"/>
          </w:tcPr>
          <w:p w14:paraId="0E415C9E" w14:textId="77777777" w:rsidR="00D557E3" w:rsidRPr="00155D6E" w:rsidRDefault="00D557E3" w:rsidP="00826CB8">
            <w:pPr>
              <w:snapToGrid w:val="0"/>
              <w:spacing w:beforeLines="50" w:before="120" w:line="480" w:lineRule="auto"/>
              <w:ind w:right="28"/>
              <w:rPr>
                <w:sz w:val="20"/>
                <w:lang w:val="en-GB" w:eastAsia="zh-CN"/>
              </w:rPr>
            </w:pPr>
            <w:r w:rsidRPr="00155D6E">
              <w:rPr>
                <w:rFonts w:hint="eastAsia"/>
                <w:sz w:val="20"/>
                <w:lang w:val="en-GB" w:eastAsia="zh-CN"/>
              </w:rPr>
              <w:t>20/30/50</w:t>
            </w:r>
          </w:p>
        </w:tc>
        <w:tc>
          <w:tcPr>
            <w:tcW w:w="950" w:type="dxa"/>
            <w:vAlign w:val="center"/>
          </w:tcPr>
          <w:p w14:paraId="7C8ADB1B" w14:textId="77777777" w:rsidR="00D557E3" w:rsidRPr="00155D6E" w:rsidRDefault="00D557E3" w:rsidP="00826CB8">
            <w:pPr>
              <w:snapToGrid w:val="0"/>
              <w:spacing w:beforeLines="50" w:before="120" w:line="480" w:lineRule="auto"/>
              <w:ind w:right="28"/>
              <w:rPr>
                <w:sz w:val="20"/>
                <w:lang w:val="en-GB" w:eastAsia="zh-CN"/>
              </w:rPr>
            </w:pPr>
            <w:r w:rsidRPr="00155D6E">
              <w:rPr>
                <w:rFonts w:hint="eastAsia"/>
                <w:sz w:val="20"/>
                <w:lang w:val="en-GB" w:eastAsia="zh-CN"/>
              </w:rPr>
              <w:t>15</w:t>
            </w:r>
          </w:p>
        </w:tc>
        <w:tc>
          <w:tcPr>
            <w:tcW w:w="2343" w:type="dxa"/>
            <w:vAlign w:val="center"/>
          </w:tcPr>
          <w:p w14:paraId="7604A679" w14:textId="77777777" w:rsidR="00D557E3" w:rsidRPr="00155D6E" w:rsidRDefault="00D557E3" w:rsidP="00826CB8">
            <w:pPr>
              <w:snapToGrid w:val="0"/>
              <w:spacing w:beforeLines="50" w:before="120" w:line="480" w:lineRule="auto"/>
              <w:ind w:right="28"/>
              <w:rPr>
                <w:sz w:val="20"/>
                <w:lang w:val="en-GB" w:eastAsia="zh-CN"/>
              </w:rPr>
            </w:pPr>
            <w:r w:rsidRPr="00155D6E">
              <w:rPr>
                <w:rFonts w:hint="eastAsia"/>
                <w:sz w:val="20"/>
                <w:lang w:val="en-GB" w:eastAsia="zh-CN"/>
              </w:rPr>
              <w:t>626</w:t>
            </w:r>
          </w:p>
        </w:tc>
        <w:tc>
          <w:tcPr>
            <w:tcW w:w="1635" w:type="dxa"/>
            <w:vAlign w:val="center"/>
          </w:tcPr>
          <w:p w14:paraId="2B735FFA" w14:textId="77777777" w:rsidR="00D557E3" w:rsidRPr="00155D6E" w:rsidRDefault="00D557E3" w:rsidP="00826CB8">
            <w:pPr>
              <w:snapToGrid w:val="0"/>
              <w:spacing w:beforeLines="50" w:before="120" w:line="480" w:lineRule="auto"/>
              <w:ind w:right="28"/>
              <w:rPr>
                <w:sz w:val="20"/>
                <w:lang w:val="en-GB" w:eastAsia="zh-CN"/>
              </w:rPr>
            </w:pPr>
            <w:r w:rsidRPr="00155D6E">
              <w:rPr>
                <w:rFonts w:hint="eastAsia"/>
                <w:sz w:val="20"/>
                <w:lang w:val="en-GB" w:eastAsia="zh-CN"/>
              </w:rPr>
              <w:t>703/65/31</w:t>
            </w:r>
          </w:p>
        </w:tc>
      </w:tr>
      <w:tr w:rsidR="00D557E3" w:rsidRPr="00155D6E" w14:paraId="5A3B6E8B" w14:textId="77777777" w:rsidTr="00826CB8">
        <w:trPr>
          <w:jc w:val="center"/>
        </w:trPr>
        <w:tc>
          <w:tcPr>
            <w:tcW w:w="1242" w:type="dxa"/>
            <w:vAlign w:val="center"/>
          </w:tcPr>
          <w:p w14:paraId="1D76698E" w14:textId="161B6EFB" w:rsidR="00D557E3" w:rsidRPr="00155D6E" w:rsidRDefault="00D557E3" w:rsidP="00826CB8">
            <w:pPr>
              <w:snapToGrid w:val="0"/>
              <w:spacing w:beforeLines="50" w:before="120" w:line="480" w:lineRule="auto"/>
              <w:ind w:right="28"/>
              <w:rPr>
                <w:sz w:val="20"/>
                <w:lang w:eastAsia="zh-CN"/>
              </w:rPr>
            </w:pPr>
            <w:r w:rsidRPr="00155D6E">
              <w:rPr>
                <w:rFonts w:hint="eastAsia"/>
                <w:sz w:val="20"/>
                <w:lang w:eastAsia="zh-CN"/>
              </w:rPr>
              <w:t xml:space="preserve">Hedayati et al. (2017) </w:t>
            </w:r>
            <w:r w:rsidRPr="00155D6E">
              <w:rPr>
                <w:sz w:val="20"/>
                <w:lang w:eastAsia="zh-CN"/>
              </w:rPr>
              <w:fldChar w:fldCharType="begin" w:fldLock="1"/>
            </w:r>
            <w:r w:rsidR="006A1A14">
              <w:rPr>
                <w:sz w:val="20"/>
                <w:lang w:eastAsia="zh-CN"/>
              </w:rPr>
              <w:instrText>ADDIN CSL_CITATION {"citationItems":[{"id":"ITEM-1","itemData":{"DOI":"10.1002/fam.2528","ISSN":"10991018","abstract":"The objective of this research was to measure the pyrolysis and combustion properties of selected structural fuels as a function of fuel moisture content (MC) levels under various external heating conditions. The pyrolysis properties were measured by using the thermogravimetric analysis technique at 3 MC levels (5%, 10%, and 15%) and 3 heating rates (5, 15, and 25K/min.). The combustion properties were measured by using a cone calorimeter at the same MC levels and 3 heat flux levels (20, 30, and 50 kW/m2). In addition, density and thermal conductivity as a function of MC levels were also measured. Statistical analysis was performed over the experimental data by using a 95% confidence interval. Most materials had significant increase in density when the MC levels increased, while the increase was more significant for natural woods than engineered woods. No statistically significant changes in thermal conductivity were observed for most materials. The pyrolysis properties were affected by both the MC and heating rate levels. Both MC and heat flux levels affected the combustion properties.","author":[{"dropping-particle":"","family":"Hedayati","given":"Faraz","non-dropping-particle":"","parse-names":false,"suffix":""},{"dropping-particle":"","family":"Yang","given":"Wenxu","non-dropping-particle":"","parse-names":false,"suffix":""},{"dropping-particle":"","family":"Zhou","given":"Aixi","non-dropping-particle":"","parse-names":false,"suffix":""}],"container-title":"Fire and Materials","id":"ITEM-1","issue":"7","issued":{"date-parts":[["2018"]]},"page":"741-749","title":"Effects of moisture content and heating condition on pyrolysis and combustion properties of structural fuels","type":"article-journal","volume":"42"},"uris":["http://www.mendeley.com/documents/?uuid=bafd5488-e422-4c3b-bebb-e784a4ef710f","http://www.mendeley.com/documents/?uuid=45f302bf-fa4c-4241-a6c4-2d50044e7cc7","http://www.mendeley.com/documents/?uuid=71c1c5d6-1ac2-4a71-9813-6eb9bc73eb52"]}],"mendeley":{"formattedCitation":"[10]","plainTextFormattedCitation":"[10]","previouslyFormattedCitation":"[49]"},"properties":{"noteIndex":0},"schema":"https://github.com/citation-style-language/schema/raw/master/csl-citation.json"}</w:instrText>
            </w:r>
            <w:r w:rsidRPr="00155D6E">
              <w:rPr>
                <w:sz w:val="20"/>
                <w:lang w:eastAsia="zh-CN"/>
              </w:rPr>
              <w:fldChar w:fldCharType="separate"/>
            </w:r>
            <w:r w:rsidR="006A1A14" w:rsidRPr="006A1A14">
              <w:rPr>
                <w:noProof/>
                <w:sz w:val="20"/>
                <w:lang w:eastAsia="zh-CN"/>
              </w:rPr>
              <w:t>[10]</w:t>
            </w:r>
            <w:r w:rsidRPr="00155D6E">
              <w:rPr>
                <w:sz w:val="20"/>
                <w:lang w:eastAsia="zh-CN"/>
              </w:rPr>
              <w:fldChar w:fldCharType="end"/>
            </w:r>
          </w:p>
        </w:tc>
        <w:tc>
          <w:tcPr>
            <w:tcW w:w="1927" w:type="dxa"/>
            <w:vAlign w:val="center"/>
          </w:tcPr>
          <w:p w14:paraId="62BC327E" w14:textId="77777777" w:rsidR="00D557E3" w:rsidRPr="00155D6E" w:rsidRDefault="00D557E3" w:rsidP="00826CB8">
            <w:pPr>
              <w:snapToGrid w:val="0"/>
              <w:spacing w:beforeLines="50" w:before="120" w:line="480" w:lineRule="auto"/>
              <w:ind w:right="28"/>
              <w:rPr>
                <w:sz w:val="20"/>
                <w:lang w:val="en-GB" w:eastAsia="zh-CN"/>
              </w:rPr>
            </w:pPr>
            <w:r w:rsidRPr="00155D6E">
              <w:rPr>
                <w:rFonts w:hint="eastAsia"/>
                <w:sz w:val="20"/>
                <w:lang w:val="en-GB" w:eastAsia="zh-CN"/>
              </w:rPr>
              <w:t>Spruce-pine-fir</w:t>
            </w:r>
          </w:p>
        </w:tc>
        <w:tc>
          <w:tcPr>
            <w:tcW w:w="1371" w:type="dxa"/>
            <w:vAlign w:val="center"/>
          </w:tcPr>
          <w:p w14:paraId="68E9F7AB" w14:textId="77777777" w:rsidR="00D557E3" w:rsidRPr="00155D6E" w:rsidRDefault="00D557E3" w:rsidP="00826CB8">
            <w:pPr>
              <w:snapToGrid w:val="0"/>
              <w:spacing w:beforeLines="50" w:before="120" w:line="480" w:lineRule="auto"/>
              <w:ind w:right="28"/>
              <w:rPr>
                <w:sz w:val="20"/>
                <w:lang w:val="en-GB" w:eastAsia="zh-CN"/>
              </w:rPr>
            </w:pPr>
            <w:r w:rsidRPr="00155D6E">
              <w:rPr>
                <w:rFonts w:hint="eastAsia"/>
                <w:sz w:val="20"/>
                <w:lang w:val="en-GB" w:eastAsia="zh-CN"/>
              </w:rPr>
              <w:t>20/30/50</w:t>
            </w:r>
          </w:p>
        </w:tc>
        <w:tc>
          <w:tcPr>
            <w:tcW w:w="950" w:type="dxa"/>
            <w:vAlign w:val="center"/>
          </w:tcPr>
          <w:p w14:paraId="72CF4A89" w14:textId="77777777" w:rsidR="00D557E3" w:rsidRPr="00155D6E" w:rsidRDefault="00D557E3" w:rsidP="00826CB8">
            <w:pPr>
              <w:snapToGrid w:val="0"/>
              <w:spacing w:beforeLines="50" w:before="120" w:line="480" w:lineRule="auto"/>
              <w:ind w:right="28"/>
              <w:rPr>
                <w:sz w:val="20"/>
                <w:lang w:val="en-GB" w:eastAsia="zh-CN"/>
              </w:rPr>
            </w:pPr>
            <w:r w:rsidRPr="00155D6E">
              <w:rPr>
                <w:rFonts w:hint="eastAsia"/>
                <w:sz w:val="20"/>
                <w:lang w:val="en-GB" w:eastAsia="zh-CN"/>
              </w:rPr>
              <w:t>5</w:t>
            </w:r>
          </w:p>
        </w:tc>
        <w:tc>
          <w:tcPr>
            <w:tcW w:w="2343" w:type="dxa"/>
            <w:vAlign w:val="center"/>
          </w:tcPr>
          <w:p w14:paraId="156B6DCC" w14:textId="77777777" w:rsidR="00D557E3" w:rsidRPr="00155D6E" w:rsidRDefault="00D557E3" w:rsidP="00826CB8">
            <w:pPr>
              <w:snapToGrid w:val="0"/>
              <w:spacing w:beforeLines="50" w:before="120" w:line="480" w:lineRule="auto"/>
              <w:ind w:right="28"/>
              <w:rPr>
                <w:sz w:val="20"/>
                <w:lang w:val="en-GB" w:eastAsia="zh-CN"/>
              </w:rPr>
            </w:pPr>
            <w:r w:rsidRPr="00155D6E">
              <w:rPr>
                <w:rFonts w:hint="eastAsia"/>
                <w:sz w:val="20"/>
                <w:lang w:val="en-GB" w:eastAsia="zh-CN"/>
              </w:rPr>
              <w:t>392</w:t>
            </w:r>
          </w:p>
        </w:tc>
        <w:tc>
          <w:tcPr>
            <w:tcW w:w="1635" w:type="dxa"/>
            <w:vAlign w:val="center"/>
          </w:tcPr>
          <w:p w14:paraId="555FE0AF" w14:textId="77777777" w:rsidR="00D557E3" w:rsidRPr="00155D6E" w:rsidRDefault="00D557E3" w:rsidP="00826CB8">
            <w:pPr>
              <w:snapToGrid w:val="0"/>
              <w:spacing w:beforeLines="50" w:before="120" w:line="480" w:lineRule="auto"/>
              <w:ind w:right="28"/>
              <w:rPr>
                <w:sz w:val="20"/>
                <w:lang w:val="en-GB" w:eastAsia="zh-CN"/>
              </w:rPr>
            </w:pPr>
            <w:r w:rsidRPr="00155D6E">
              <w:rPr>
                <w:rFonts w:hint="eastAsia"/>
                <w:sz w:val="20"/>
                <w:lang w:val="en-GB" w:eastAsia="zh-CN"/>
              </w:rPr>
              <w:t>233/32/10</w:t>
            </w:r>
          </w:p>
        </w:tc>
      </w:tr>
      <w:tr w:rsidR="00D557E3" w:rsidRPr="00155D6E" w14:paraId="3973731A" w14:textId="77777777" w:rsidTr="00826CB8">
        <w:trPr>
          <w:jc w:val="center"/>
        </w:trPr>
        <w:tc>
          <w:tcPr>
            <w:tcW w:w="1242" w:type="dxa"/>
            <w:vAlign w:val="center"/>
          </w:tcPr>
          <w:p w14:paraId="350CA396" w14:textId="1914F50E" w:rsidR="00D557E3" w:rsidRPr="00155D6E" w:rsidRDefault="00D557E3" w:rsidP="00826CB8">
            <w:pPr>
              <w:snapToGrid w:val="0"/>
              <w:spacing w:beforeLines="50" w:before="120" w:line="480" w:lineRule="auto"/>
              <w:ind w:right="28"/>
              <w:rPr>
                <w:sz w:val="20"/>
                <w:lang w:eastAsia="zh-CN"/>
              </w:rPr>
            </w:pPr>
            <w:r w:rsidRPr="00155D6E">
              <w:rPr>
                <w:rFonts w:hint="eastAsia"/>
                <w:sz w:val="20"/>
                <w:lang w:eastAsia="zh-CN"/>
              </w:rPr>
              <w:t xml:space="preserve">Hedayati et al. (2017) </w:t>
            </w:r>
            <w:r w:rsidRPr="00155D6E">
              <w:rPr>
                <w:sz w:val="20"/>
                <w:lang w:eastAsia="zh-CN"/>
              </w:rPr>
              <w:fldChar w:fldCharType="begin" w:fldLock="1"/>
            </w:r>
            <w:r w:rsidR="006A1A14">
              <w:rPr>
                <w:sz w:val="20"/>
                <w:lang w:eastAsia="zh-CN"/>
              </w:rPr>
              <w:instrText>ADDIN CSL_CITATION {"citationItems":[{"id":"ITEM-1","itemData":{"DOI":"10.1002/fam.2528","ISSN":"10991018","abstract":"The objective of this research was to measure the pyrolysis and combustion properties of selected structural fuels as a function of fuel moisture content (MC) levels under various external heating conditions. The pyrolysis properties were measured by using the thermogravimetric analysis technique at 3 MC levels (5%, 10%, and 15%) and 3 heating rates (5, 15, and 25K/min.). The combustion properties were measured by using a cone calorimeter at the same MC levels and 3 heat flux levels (20, 30, and 50 kW/m2). In addition, density and thermal conductivity as a function of MC levels were also measured. Statistical analysis was performed over the experimental data by using a 95% confidence interval. Most materials had significant increase in density when the MC levels increased, while the increase was more significant for natural woods than engineered woods. No statistically significant changes in thermal conductivity were observed for most materials. The pyrolysis properties were affected by both the MC and heating rate levels. Both MC and heat flux levels affected the combustion properties.","author":[{"dropping-particle":"","family":"Hedayati","given":"Faraz","non-dropping-particle":"","parse-names":false,"suffix":""},{"dropping-particle":"","family":"Yang","given":"Wenxu","non-dropping-particle":"","parse-names":false,"suffix":""},{"dropping-particle":"","family":"Zhou","given":"Aixi","non-dropping-particle":"","parse-names":false,"suffix":""}],"container-title":"Fire and Materials","id":"ITEM-1","issue":"7","issued":{"date-parts":[["2018"]]},"page":"741-749","title":"Effects of moisture content and heating condition on pyrolysis and combustion properties of structural fuels","type":"article-journal","volume":"42"},"uris":["http://www.mendeley.com/documents/?uuid=bafd5488-e422-4c3b-bebb-e784a4ef710f","http://www.mendeley.com/documents/?uuid=45f302bf-fa4c-4241-a6c4-2d50044e7cc7","http://www.mendeley.com/documents/?uuid=71c1c5d6-1ac2-4a71-9813-6eb9bc73eb52"]}],"mendeley":{"formattedCitation":"[10]","plainTextFormattedCitation":"[10]","previouslyFormattedCitation":"[49]"},"properties":{"noteIndex":0},"schema":"https://github.com/citation-style-language/schema/raw/master/csl-citation.json"}</w:instrText>
            </w:r>
            <w:r w:rsidRPr="00155D6E">
              <w:rPr>
                <w:sz w:val="20"/>
                <w:lang w:eastAsia="zh-CN"/>
              </w:rPr>
              <w:fldChar w:fldCharType="separate"/>
            </w:r>
            <w:r w:rsidR="006A1A14" w:rsidRPr="006A1A14">
              <w:rPr>
                <w:noProof/>
                <w:sz w:val="20"/>
                <w:lang w:eastAsia="zh-CN"/>
              </w:rPr>
              <w:t>[10]</w:t>
            </w:r>
            <w:r w:rsidRPr="00155D6E">
              <w:rPr>
                <w:sz w:val="20"/>
                <w:lang w:eastAsia="zh-CN"/>
              </w:rPr>
              <w:fldChar w:fldCharType="end"/>
            </w:r>
          </w:p>
        </w:tc>
        <w:tc>
          <w:tcPr>
            <w:tcW w:w="1927" w:type="dxa"/>
            <w:vAlign w:val="center"/>
          </w:tcPr>
          <w:p w14:paraId="40EC8A35" w14:textId="77777777" w:rsidR="00D557E3" w:rsidRPr="00155D6E" w:rsidRDefault="00D557E3" w:rsidP="00826CB8">
            <w:pPr>
              <w:snapToGrid w:val="0"/>
              <w:spacing w:beforeLines="50" w:before="120" w:line="480" w:lineRule="auto"/>
              <w:ind w:right="28"/>
              <w:rPr>
                <w:sz w:val="20"/>
                <w:lang w:val="en-GB" w:eastAsia="zh-CN"/>
              </w:rPr>
            </w:pPr>
            <w:r w:rsidRPr="00155D6E">
              <w:rPr>
                <w:rFonts w:hint="eastAsia"/>
                <w:sz w:val="20"/>
                <w:lang w:val="en-GB" w:eastAsia="zh-CN"/>
              </w:rPr>
              <w:t>Spruce-pine-fir</w:t>
            </w:r>
          </w:p>
        </w:tc>
        <w:tc>
          <w:tcPr>
            <w:tcW w:w="1371" w:type="dxa"/>
            <w:vAlign w:val="center"/>
          </w:tcPr>
          <w:p w14:paraId="4D7EEF7D" w14:textId="77777777" w:rsidR="00D557E3" w:rsidRPr="00155D6E" w:rsidRDefault="00D557E3" w:rsidP="00826CB8">
            <w:pPr>
              <w:snapToGrid w:val="0"/>
              <w:spacing w:beforeLines="50" w:before="120" w:line="480" w:lineRule="auto"/>
              <w:ind w:right="28"/>
              <w:rPr>
                <w:sz w:val="20"/>
                <w:lang w:val="en-GB" w:eastAsia="zh-CN"/>
              </w:rPr>
            </w:pPr>
            <w:r w:rsidRPr="00155D6E">
              <w:rPr>
                <w:rFonts w:hint="eastAsia"/>
                <w:sz w:val="20"/>
                <w:lang w:val="en-GB" w:eastAsia="zh-CN"/>
              </w:rPr>
              <w:t>20/30/50</w:t>
            </w:r>
          </w:p>
        </w:tc>
        <w:tc>
          <w:tcPr>
            <w:tcW w:w="950" w:type="dxa"/>
            <w:vAlign w:val="center"/>
          </w:tcPr>
          <w:p w14:paraId="19B67F41" w14:textId="77777777" w:rsidR="00D557E3" w:rsidRPr="00155D6E" w:rsidRDefault="00D557E3" w:rsidP="00826CB8">
            <w:pPr>
              <w:snapToGrid w:val="0"/>
              <w:spacing w:beforeLines="50" w:before="120" w:line="480" w:lineRule="auto"/>
              <w:ind w:right="28"/>
              <w:rPr>
                <w:sz w:val="20"/>
                <w:lang w:val="en-GB" w:eastAsia="zh-CN"/>
              </w:rPr>
            </w:pPr>
            <w:r w:rsidRPr="00155D6E">
              <w:rPr>
                <w:rFonts w:hint="eastAsia"/>
                <w:sz w:val="20"/>
                <w:lang w:val="en-GB" w:eastAsia="zh-CN"/>
              </w:rPr>
              <w:t>10</w:t>
            </w:r>
          </w:p>
        </w:tc>
        <w:tc>
          <w:tcPr>
            <w:tcW w:w="2343" w:type="dxa"/>
            <w:vAlign w:val="center"/>
          </w:tcPr>
          <w:p w14:paraId="093CA939" w14:textId="77777777" w:rsidR="00D557E3" w:rsidRPr="00155D6E" w:rsidRDefault="00D557E3" w:rsidP="00826CB8">
            <w:pPr>
              <w:snapToGrid w:val="0"/>
              <w:spacing w:beforeLines="50" w:before="120" w:line="480" w:lineRule="auto"/>
              <w:ind w:right="28"/>
              <w:rPr>
                <w:sz w:val="20"/>
                <w:lang w:val="en-GB" w:eastAsia="zh-CN"/>
              </w:rPr>
            </w:pPr>
            <w:r w:rsidRPr="00155D6E">
              <w:rPr>
                <w:rFonts w:hint="eastAsia"/>
                <w:sz w:val="20"/>
                <w:lang w:val="en-GB" w:eastAsia="zh-CN"/>
              </w:rPr>
              <w:t>413</w:t>
            </w:r>
          </w:p>
        </w:tc>
        <w:tc>
          <w:tcPr>
            <w:tcW w:w="1635" w:type="dxa"/>
            <w:vAlign w:val="center"/>
          </w:tcPr>
          <w:p w14:paraId="7734A38E" w14:textId="77777777" w:rsidR="00D557E3" w:rsidRPr="00155D6E" w:rsidRDefault="00D557E3" w:rsidP="00826CB8">
            <w:pPr>
              <w:snapToGrid w:val="0"/>
              <w:spacing w:beforeLines="50" w:before="120" w:line="480" w:lineRule="auto"/>
              <w:ind w:right="28"/>
              <w:rPr>
                <w:sz w:val="20"/>
                <w:lang w:val="en-GB" w:eastAsia="zh-CN"/>
              </w:rPr>
            </w:pPr>
            <w:r w:rsidRPr="00155D6E">
              <w:rPr>
                <w:rFonts w:hint="eastAsia"/>
                <w:sz w:val="20"/>
                <w:lang w:val="en-GB" w:eastAsia="zh-CN"/>
              </w:rPr>
              <w:t>307/56/15</w:t>
            </w:r>
          </w:p>
        </w:tc>
      </w:tr>
      <w:tr w:rsidR="00D557E3" w:rsidRPr="00155D6E" w14:paraId="31114A21" w14:textId="77777777" w:rsidTr="00826CB8">
        <w:trPr>
          <w:jc w:val="center"/>
        </w:trPr>
        <w:tc>
          <w:tcPr>
            <w:tcW w:w="1242" w:type="dxa"/>
            <w:vAlign w:val="center"/>
          </w:tcPr>
          <w:p w14:paraId="1D13714F" w14:textId="0BD32218" w:rsidR="00D557E3" w:rsidRPr="00155D6E" w:rsidRDefault="00D557E3" w:rsidP="00826CB8">
            <w:pPr>
              <w:snapToGrid w:val="0"/>
              <w:spacing w:beforeLines="50" w:before="120" w:line="480" w:lineRule="auto"/>
              <w:ind w:right="28"/>
              <w:rPr>
                <w:sz w:val="20"/>
                <w:lang w:eastAsia="zh-CN"/>
              </w:rPr>
            </w:pPr>
            <w:r w:rsidRPr="00155D6E">
              <w:rPr>
                <w:rFonts w:hint="eastAsia"/>
                <w:sz w:val="20"/>
                <w:lang w:eastAsia="zh-CN"/>
              </w:rPr>
              <w:t xml:space="preserve">Hedayati et al. (2017) </w:t>
            </w:r>
            <w:r w:rsidRPr="00155D6E">
              <w:rPr>
                <w:sz w:val="20"/>
                <w:lang w:eastAsia="zh-CN"/>
              </w:rPr>
              <w:fldChar w:fldCharType="begin" w:fldLock="1"/>
            </w:r>
            <w:r w:rsidR="006A1A14">
              <w:rPr>
                <w:sz w:val="20"/>
                <w:lang w:eastAsia="zh-CN"/>
              </w:rPr>
              <w:instrText>ADDIN CSL_CITATION {"citationItems":[{"id":"ITEM-1","itemData":{"DOI":"10.1002/fam.2528","ISSN":"10991018","abstract":"The objective of this research was to measure the pyrolysis and combustion properties of selected structural fuels as a function of fuel moisture content (MC) levels under various external heating conditions. The pyrolysis properties were measured by using the thermogravimetric analysis technique at 3 MC levels (5%, 10%, and 15%) and 3 heating rates (5, 15, and 25K/min.). The combustion properties were measured by using a cone calorimeter at the same MC levels and 3 heat flux levels (20, 30, and 50 kW/m2). In addition, density and thermal conductivity as a function of MC levels were also measured. Statistical analysis was performed over the experimental data by using a 95% confidence interval. Most materials had significant increase in density when the MC levels increased, while the increase was more significant for natural woods than engineered woods. No statistically significant changes in thermal conductivity were observed for most materials. The pyrolysis properties were affected by both the MC and heating rate levels. Both MC and heat flux levels affected the combustion properties.","author":[{"dropping-particle":"","family":"Hedayati","given":"Faraz","non-dropping-particle":"","parse-names":false,"suffix":""},{"dropping-particle":"","family":"Yang","given":"Wenxu","non-dropping-particle":"","parse-names":false,"suffix":""},{"dropping-particle":"","family":"Zhou","given":"Aixi","non-dropping-particle":"","parse-names":false,"suffix":""}],"container-title":"Fire and Materials","id":"ITEM-1","issue":"7","issued":{"date-parts":[["2018"]]},"page":"741-749","title":"Effects of moisture content and heating condition on pyrolysis and combustion properties of structural fuels","type":"article-journal","volume":"42"},"uris":["http://www.mendeley.com/documents/?uuid=bafd5488-e422-4c3b-bebb-e784a4ef710f","http://www.mendeley.com/documents/?uuid=45f302bf-fa4c-4241-a6c4-2d50044e7cc7","http://www.mendeley.com/documents/?uuid=71c1c5d6-1ac2-4a71-9813-6eb9bc73eb52"]}],"mendeley":{"formattedCitation":"[10]","plainTextFormattedCitation":"[10]","previouslyFormattedCitation":"[49]"},"properties":{"noteIndex":0},"schema":"https://github.com/citation-style-language/schema/raw/master/csl-citation.json"}</w:instrText>
            </w:r>
            <w:r w:rsidRPr="00155D6E">
              <w:rPr>
                <w:sz w:val="20"/>
                <w:lang w:eastAsia="zh-CN"/>
              </w:rPr>
              <w:fldChar w:fldCharType="separate"/>
            </w:r>
            <w:r w:rsidR="006A1A14" w:rsidRPr="006A1A14">
              <w:rPr>
                <w:noProof/>
                <w:sz w:val="20"/>
                <w:lang w:eastAsia="zh-CN"/>
              </w:rPr>
              <w:t>[10]</w:t>
            </w:r>
            <w:r w:rsidRPr="00155D6E">
              <w:rPr>
                <w:sz w:val="20"/>
                <w:lang w:eastAsia="zh-CN"/>
              </w:rPr>
              <w:fldChar w:fldCharType="end"/>
            </w:r>
          </w:p>
        </w:tc>
        <w:tc>
          <w:tcPr>
            <w:tcW w:w="1927" w:type="dxa"/>
            <w:vAlign w:val="center"/>
          </w:tcPr>
          <w:p w14:paraId="0DEE9468" w14:textId="77777777" w:rsidR="00D557E3" w:rsidRPr="00155D6E" w:rsidRDefault="00D557E3" w:rsidP="00826CB8">
            <w:pPr>
              <w:snapToGrid w:val="0"/>
              <w:spacing w:beforeLines="50" w:before="120" w:line="480" w:lineRule="auto"/>
              <w:ind w:right="28"/>
              <w:rPr>
                <w:sz w:val="20"/>
                <w:lang w:val="en-GB" w:eastAsia="zh-CN"/>
              </w:rPr>
            </w:pPr>
            <w:r w:rsidRPr="00155D6E">
              <w:rPr>
                <w:rFonts w:hint="eastAsia"/>
                <w:sz w:val="20"/>
                <w:lang w:val="en-GB" w:eastAsia="zh-CN"/>
              </w:rPr>
              <w:t>Spruce-pine-fir</w:t>
            </w:r>
          </w:p>
        </w:tc>
        <w:tc>
          <w:tcPr>
            <w:tcW w:w="1371" w:type="dxa"/>
            <w:vAlign w:val="center"/>
          </w:tcPr>
          <w:p w14:paraId="14C00FCF" w14:textId="77777777" w:rsidR="00D557E3" w:rsidRPr="00155D6E" w:rsidRDefault="00D557E3" w:rsidP="00826CB8">
            <w:pPr>
              <w:snapToGrid w:val="0"/>
              <w:spacing w:beforeLines="50" w:before="120" w:line="480" w:lineRule="auto"/>
              <w:ind w:right="28"/>
              <w:rPr>
                <w:sz w:val="20"/>
                <w:lang w:val="en-GB" w:eastAsia="zh-CN"/>
              </w:rPr>
            </w:pPr>
            <w:r w:rsidRPr="00155D6E">
              <w:rPr>
                <w:rFonts w:hint="eastAsia"/>
                <w:sz w:val="20"/>
                <w:lang w:val="en-GB" w:eastAsia="zh-CN"/>
              </w:rPr>
              <w:t>20/30/50</w:t>
            </w:r>
          </w:p>
        </w:tc>
        <w:tc>
          <w:tcPr>
            <w:tcW w:w="950" w:type="dxa"/>
            <w:vAlign w:val="center"/>
          </w:tcPr>
          <w:p w14:paraId="272B2A41" w14:textId="77777777" w:rsidR="00D557E3" w:rsidRPr="00155D6E" w:rsidRDefault="00D557E3" w:rsidP="00826CB8">
            <w:pPr>
              <w:snapToGrid w:val="0"/>
              <w:spacing w:beforeLines="50" w:before="120" w:line="480" w:lineRule="auto"/>
              <w:ind w:right="28"/>
              <w:rPr>
                <w:sz w:val="20"/>
                <w:lang w:val="en-GB" w:eastAsia="zh-CN"/>
              </w:rPr>
            </w:pPr>
            <w:r w:rsidRPr="00155D6E">
              <w:rPr>
                <w:rFonts w:hint="eastAsia"/>
                <w:sz w:val="20"/>
                <w:lang w:val="en-GB" w:eastAsia="zh-CN"/>
              </w:rPr>
              <w:t>15</w:t>
            </w:r>
          </w:p>
        </w:tc>
        <w:tc>
          <w:tcPr>
            <w:tcW w:w="2343" w:type="dxa"/>
            <w:vAlign w:val="center"/>
          </w:tcPr>
          <w:p w14:paraId="3E00BFFA" w14:textId="77777777" w:rsidR="00D557E3" w:rsidRPr="00155D6E" w:rsidRDefault="00D557E3" w:rsidP="00826CB8">
            <w:pPr>
              <w:snapToGrid w:val="0"/>
              <w:spacing w:beforeLines="50" w:before="120" w:line="480" w:lineRule="auto"/>
              <w:ind w:right="28"/>
              <w:rPr>
                <w:sz w:val="20"/>
                <w:lang w:val="en-GB" w:eastAsia="zh-CN"/>
              </w:rPr>
            </w:pPr>
            <w:r w:rsidRPr="00155D6E">
              <w:rPr>
                <w:rFonts w:hint="eastAsia"/>
                <w:sz w:val="20"/>
                <w:lang w:val="en-GB" w:eastAsia="zh-CN"/>
              </w:rPr>
              <w:t>423</w:t>
            </w:r>
          </w:p>
        </w:tc>
        <w:tc>
          <w:tcPr>
            <w:tcW w:w="1635" w:type="dxa"/>
            <w:vAlign w:val="center"/>
          </w:tcPr>
          <w:p w14:paraId="3DD1B4C9" w14:textId="77777777" w:rsidR="00D557E3" w:rsidRPr="00155D6E" w:rsidRDefault="00D557E3" w:rsidP="00826CB8">
            <w:pPr>
              <w:snapToGrid w:val="0"/>
              <w:spacing w:beforeLines="50" w:before="120" w:line="480" w:lineRule="auto"/>
              <w:ind w:right="28"/>
              <w:rPr>
                <w:sz w:val="20"/>
                <w:lang w:val="en-GB" w:eastAsia="zh-CN"/>
              </w:rPr>
            </w:pPr>
            <w:r w:rsidRPr="00155D6E">
              <w:rPr>
                <w:rFonts w:hint="eastAsia"/>
                <w:sz w:val="20"/>
                <w:lang w:val="en-GB" w:eastAsia="zh-CN"/>
              </w:rPr>
              <w:t>465/49/17</w:t>
            </w:r>
          </w:p>
        </w:tc>
      </w:tr>
      <w:tr w:rsidR="00D557E3" w:rsidRPr="00155D6E" w14:paraId="7BE37BD3" w14:textId="77777777" w:rsidTr="00826CB8">
        <w:trPr>
          <w:jc w:val="center"/>
        </w:trPr>
        <w:tc>
          <w:tcPr>
            <w:tcW w:w="1242" w:type="dxa"/>
            <w:vAlign w:val="center"/>
          </w:tcPr>
          <w:p w14:paraId="7F5595EC" w14:textId="4B00F090" w:rsidR="00D557E3" w:rsidRPr="00155D6E" w:rsidRDefault="00D557E3" w:rsidP="00826CB8">
            <w:pPr>
              <w:snapToGrid w:val="0"/>
              <w:spacing w:beforeLines="50" w:before="120" w:line="480" w:lineRule="auto"/>
              <w:ind w:right="28"/>
              <w:rPr>
                <w:sz w:val="20"/>
                <w:lang w:eastAsia="zh-CN"/>
              </w:rPr>
            </w:pPr>
            <w:r w:rsidRPr="00155D6E">
              <w:rPr>
                <w:rFonts w:hint="eastAsia"/>
                <w:sz w:val="20"/>
                <w:lang w:eastAsia="zh-CN"/>
              </w:rPr>
              <w:t xml:space="preserve">Nguyen et al. (2019) </w:t>
            </w:r>
            <w:r w:rsidRPr="00155D6E">
              <w:rPr>
                <w:sz w:val="20"/>
                <w:lang w:eastAsia="zh-CN"/>
              </w:rPr>
              <w:fldChar w:fldCharType="begin" w:fldLock="1"/>
            </w:r>
            <w:r w:rsidR="006A1A14">
              <w:rPr>
                <w:sz w:val="20"/>
                <w:lang w:eastAsia="zh-CN"/>
              </w:rPr>
              <w:instrText>ADDIN CSL_CITATION {"citationItems":[{"id":"ITEM-1","itemData":{"DOI":"10.1007/s00107-019-01401-2","ISBN":"0123456789","ISSN":"1436736X","abstract":"Poplar (Populus adenopoda Maxim.) and radiata pine (Pinus radiata Don.) wood were treated with an aqueous solution containing styrene-acrylic copolymer (SAC) and sodium silicate (SS). The effects of this treatment on the thermal stability and combustion behavior of the wood were determined. Thermogravimetric (TG) analysis showed that treatment in the presence of SS resulted in earlier thermal degradation compared to samples untreated and treated with SAC alone. Cone calorimetry showed that treatment of wood with SAC alone resulted in increased total heat release, total smoke production, and CO and CO2 concentration. Wood treated with SAC/SS was more difficult to ignite as evidenced by longer ignition time and higher limiting oxygen index; however, the treatment did not reduce the production of smoke and carbon oxide. Scanning electron microscopy and energy dispersive X-ray analysis of residual char indicated that SS was mainly deposited in the lumina of vessel or tracheid, and SS distribution in wood was not uniform. These findings demonstrate that incorporation of SS retards the flame of SAC-treated wood; however, the fire risk is not reduced due to dense smoke and CO production.","author":[{"dropping-particle":"","family":"Nguyen","given":"Thi Tham","non-dropping-particle":"","parse-names":false,"suffix":""},{"dropping-particle":"","family":"Nguyen","given":"Thi Vinh Khanh","non-dropping-particle":"","parse-names":false,"suffix":""},{"dropping-particle":"","family":"Xiao","given":"Zefang","non-dropping-particle":"","parse-names":false,"suffix":""},{"dropping-particle":"","family":"Wang","given":"Fengqiang","non-dropping-particle":"","parse-names":false,"suffix":""},{"dropping-particle":"","family":"Zheng","given":"Zhongguo","non-dropping-particle":"","parse-names":false,"suffix":""},{"dropping-particle":"","family":"Che","given":"Wenbo","non-dropping-particle":"","parse-names":false,"suffix":""},{"dropping-particle":"","family":"Xie","given":"Yanjun","non-dropping-particle":"","parse-names":false,"suffix":""}],"container-title":"European Journal of Wood and Wood Products","id":"ITEM-1","issue":"3","issued":{"date-parts":[["2019"]]},"page":"439-452","publisher":"Springer Berlin Heidelberg","title":"Combustion behavior of poplar (Populus adenopoda Maxim.) and radiata pine (Pinus radiata Don.) treated with a combination of styrene-acrylic copolymer and sodium silicate","type":"article-journal","volume":"77"},"uris":["http://www.mendeley.com/documents/?uuid=e347b477-8e2c-47b0-b415-28a21b1e2d1b","http://www.mendeley.com/documents/?uuid=ef1420b2-b053-41e6-a3c7-88aa956c4707","http://www.mendeley.com/documents/?uuid=d53b8f19-757d-4c21-afe8-3a9ec2918c2d"]}],"mendeley":{"formattedCitation":"[11]","plainTextFormattedCitation":"[11]","previouslyFormattedCitation":"[61]"},"properties":{"noteIndex":0},"schema":"https://github.com/citation-style-language/schema/raw/master/csl-citation.json"}</w:instrText>
            </w:r>
            <w:r w:rsidRPr="00155D6E">
              <w:rPr>
                <w:sz w:val="20"/>
                <w:lang w:eastAsia="zh-CN"/>
              </w:rPr>
              <w:fldChar w:fldCharType="separate"/>
            </w:r>
            <w:r w:rsidR="006A1A14" w:rsidRPr="006A1A14">
              <w:rPr>
                <w:noProof/>
                <w:sz w:val="20"/>
                <w:lang w:eastAsia="zh-CN"/>
              </w:rPr>
              <w:t>[11]</w:t>
            </w:r>
            <w:r w:rsidRPr="00155D6E">
              <w:rPr>
                <w:sz w:val="20"/>
                <w:lang w:eastAsia="zh-CN"/>
              </w:rPr>
              <w:fldChar w:fldCharType="end"/>
            </w:r>
          </w:p>
        </w:tc>
        <w:tc>
          <w:tcPr>
            <w:tcW w:w="1927" w:type="dxa"/>
            <w:vAlign w:val="center"/>
          </w:tcPr>
          <w:p w14:paraId="116578F2" w14:textId="77777777" w:rsidR="00D557E3" w:rsidRPr="00155D6E" w:rsidRDefault="00D557E3" w:rsidP="00826CB8">
            <w:pPr>
              <w:snapToGrid w:val="0"/>
              <w:spacing w:beforeLines="50" w:before="120" w:line="480" w:lineRule="auto"/>
              <w:ind w:right="28"/>
              <w:rPr>
                <w:sz w:val="20"/>
                <w:lang w:val="en-GB" w:eastAsia="zh-CN"/>
              </w:rPr>
            </w:pPr>
            <w:r w:rsidRPr="00155D6E">
              <w:rPr>
                <w:rFonts w:hint="eastAsia"/>
                <w:sz w:val="20"/>
                <w:lang w:val="en-GB" w:eastAsia="zh-CN"/>
              </w:rPr>
              <w:t>Poplar</w:t>
            </w:r>
          </w:p>
        </w:tc>
        <w:tc>
          <w:tcPr>
            <w:tcW w:w="1371" w:type="dxa"/>
            <w:vAlign w:val="center"/>
          </w:tcPr>
          <w:p w14:paraId="7CDD9947" w14:textId="77777777" w:rsidR="00D557E3" w:rsidRPr="00155D6E" w:rsidRDefault="00D557E3" w:rsidP="00826CB8">
            <w:pPr>
              <w:snapToGrid w:val="0"/>
              <w:spacing w:beforeLines="50" w:before="120" w:line="480" w:lineRule="auto"/>
              <w:ind w:right="28"/>
              <w:rPr>
                <w:sz w:val="20"/>
                <w:lang w:val="en-GB" w:eastAsia="zh-CN"/>
              </w:rPr>
            </w:pPr>
            <w:r w:rsidRPr="00155D6E">
              <w:rPr>
                <w:rFonts w:hint="eastAsia"/>
                <w:sz w:val="20"/>
                <w:lang w:val="en-GB" w:eastAsia="zh-CN"/>
              </w:rPr>
              <w:t>50</w:t>
            </w:r>
          </w:p>
        </w:tc>
        <w:tc>
          <w:tcPr>
            <w:tcW w:w="950" w:type="dxa"/>
            <w:vAlign w:val="center"/>
          </w:tcPr>
          <w:p w14:paraId="5C4E2FED" w14:textId="77777777" w:rsidR="00D557E3" w:rsidRPr="00155D6E" w:rsidRDefault="00D557E3" w:rsidP="00826CB8">
            <w:pPr>
              <w:snapToGrid w:val="0"/>
              <w:spacing w:beforeLines="50" w:before="120" w:line="480" w:lineRule="auto"/>
              <w:ind w:right="28"/>
              <w:rPr>
                <w:sz w:val="20"/>
                <w:lang w:val="en-GB" w:eastAsia="zh-CN"/>
              </w:rPr>
            </w:pPr>
            <w:r w:rsidRPr="00155D6E">
              <w:rPr>
                <w:rFonts w:hint="eastAsia"/>
                <w:sz w:val="20"/>
                <w:lang w:val="en-GB" w:eastAsia="zh-CN"/>
              </w:rPr>
              <w:t>0</w:t>
            </w:r>
          </w:p>
        </w:tc>
        <w:tc>
          <w:tcPr>
            <w:tcW w:w="2343" w:type="dxa"/>
            <w:vAlign w:val="center"/>
          </w:tcPr>
          <w:p w14:paraId="3E91901B" w14:textId="77777777" w:rsidR="00D557E3" w:rsidRPr="00155D6E" w:rsidRDefault="00D557E3" w:rsidP="00826CB8">
            <w:pPr>
              <w:snapToGrid w:val="0"/>
              <w:spacing w:beforeLines="50" w:before="120" w:line="480" w:lineRule="auto"/>
              <w:ind w:right="28"/>
              <w:rPr>
                <w:sz w:val="20"/>
                <w:lang w:val="en-GB" w:eastAsia="zh-CN"/>
              </w:rPr>
            </w:pPr>
            <w:r w:rsidRPr="00155D6E">
              <w:rPr>
                <w:rFonts w:hint="eastAsia"/>
                <w:sz w:val="20"/>
                <w:lang w:val="en-GB" w:eastAsia="zh-CN"/>
              </w:rPr>
              <w:t>530</w:t>
            </w:r>
          </w:p>
        </w:tc>
        <w:tc>
          <w:tcPr>
            <w:tcW w:w="1635" w:type="dxa"/>
            <w:vAlign w:val="center"/>
          </w:tcPr>
          <w:p w14:paraId="7152430F" w14:textId="77777777" w:rsidR="00D557E3" w:rsidRPr="00155D6E" w:rsidRDefault="00D557E3" w:rsidP="00826CB8">
            <w:pPr>
              <w:snapToGrid w:val="0"/>
              <w:spacing w:beforeLines="50" w:before="120" w:line="480" w:lineRule="auto"/>
              <w:ind w:right="28"/>
              <w:rPr>
                <w:sz w:val="20"/>
                <w:lang w:val="en-GB" w:eastAsia="zh-CN"/>
              </w:rPr>
            </w:pPr>
            <w:r w:rsidRPr="00155D6E">
              <w:rPr>
                <w:rFonts w:hint="eastAsia"/>
                <w:sz w:val="20"/>
                <w:lang w:val="en-GB" w:eastAsia="zh-CN"/>
              </w:rPr>
              <w:t>24</w:t>
            </w:r>
          </w:p>
        </w:tc>
      </w:tr>
      <w:tr w:rsidR="00D557E3" w:rsidRPr="00D557E3" w14:paraId="1D2842B3" w14:textId="77777777" w:rsidTr="00826CB8">
        <w:trPr>
          <w:jc w:val="center"/>
        </w:trPr>
        <w:tc>
          <w:tcPr>
            <w:tcW w:w="1242" w:type="dxa"/>
            <w:vAlign w:val="center"/>
          </w:tcPr>
          <w:p w14:paraId="611244B6" w14:textId="781746C6" w:rsidR="00D557E3" w:rsidRPr="00155D6E" w:rsidRDefault="00D557E3" w:rsidP="00826CB8">
            <w:pPr>
              <w:snapToGrid w:val="0"/>
              <w:spacing w:beforeLines="50" w:before="120" w:line="480" w:lineRule="auto"/>
              <w:ind w:right="28"/>
              <w:rPr>
                <w:sz w:val="20"/>
                <w:lang w:eastAsia="zh-CN"/>
              </w:rPr>
            </w:pPr>
            <w:r w:rsidRPr="00155D6E">
              <w:rPr>
                <w:rFonts w:hint="eastAsia"/>
                <w:sz w:val="20"/>
                <w:lang w:eastAsia="zh-CN"/>
              </w:rPr>
              <w:t xml:space="preserve">Nguyen et al. (2019) </w:t>
            </w:r>
            <w:r w:rsidRPr="00155D6E">
              <w:rPr>
                <w:sz w:val="20"/>
                <w:lang w:eastAsia="zh-CN"/>
              </w:rPr>
              <w:fldChar w:fldCharType="begin" w:fldLock="1"/>
            </w:r>
            <w:r w:rsidR="006A1A14">
              <w:rPr>
                <w:sz w:val="20"/>
                <w:lang w:eastAsia="zh-CN"/>
              </w:rPr>
              <w:instrText>ADDIN CSL_CITATION {"citationItems":[{"id":"ITEM-1","itemData":{"DOI":"10.1007/s00107-019-01401-2","ISBN":"0123456789","ISSN":"1436736X","abstract":"Poplar (Populus adenopoda Maxim.) and radiata pine (Pinus radiata Don.) wood were treated with an aqueous solution containing styrene-acrylic copolymer (SAC) and sodium silicate (SS). The effects of this treatment on the thermal stability and combustion behavior of the wood were determined. Thermogravimetric (TG) analysis showed that treatment in the presence of SS resulted in earlier thermal degradation compared to samples untreated and treated with SAC alone. Cone calorimetry showed that treatment of wood with SAC alone resulted in increased total heat release, total smoke production, and CO and CO2 concentration. Wood treated with SAC/SS was more difficult to ignite as evidenced by longer ignition time and higher limiting oxygen index; however, the treatment did not reduce the production of smoke and carbon oxide. Scanning electron microscopy and energy dispersive X-ray analysis of residual char indicated that SS was mainly deposited in the lumina of vessel or tracheid, and SS distribution in wood was not uniform. These findings demonstrate that incorporation of SS retards the flame of SAC-treated wood; however, the fire risk is not reduced due to dense smoke and CO production.","author":[{"dropping-particle":"","family":"Nguyen","given":"Thi Tham","non-dropping-particle":"","parse-names":false,"suffix":""},{"dropping-particle":"","family":"Nguyen","given":"Thi Vinh Khanh","non-dropping-particle":"","parse-names":false,"suffix":""},{"dropping-particle":"","family":"Xiao","given":"Zefang","non-dropping-particle":"","parse-names":false,"suffix":""},{"dropping-particle":"","family":"Wang","given":"Fengqiang","non-dropping-particle":"","parse-names":false,"suffix":""},{"dropping-particle":"","family":"Zheng","given":"Zhongguo","non-dropping-particle":"","parse-names":false,"suffix":""},{"dropping-particle":"","family":"Che","given":"Wenbo","non-dropping-particle":"","parse-names":false,"suffix":""},{"dropping-particle":"","family":"Xie","given":"Yanjun","non-dropping-particle":"","parse-names":false,"suffix":""}],"container-title":"European Journal of Wood and Wood Products","id":"ITEM-1","issue":"3","issued":{"date-parts":[["2019"]]},"page":"439-452","publisher":"Springer Berlin Heidelberg","title":"Combustion behavior of poplar (Populus adenopoda Maxim.) and radiata pine (Pinus radiata Don.) treated with a combination of styrene-acrylic copolymer and sodium silicate","type":"article-journal","volume":"77"},"uris":["http://www.mendeley.com/documents/?uuid=d53b8f19-757d-4c21-afe8-3a9ec2918c2d","http://www.mendeley.com/documents/?uuid=ef1420b2-b053-41e6-a3c7-88aa956c4707","http://www.mendeley.com/documents/?uuid=e347b477-8e2c-47b0-b415-28a21b1e2d1b"]}],"mendeley":{"formattedCitation":"[11]","plainTextFormattedCitation":"[11]","previouslyFormattedCitation":"[61]"},"properties":{"noteIndex":0},"schema":"https://github.com/citation-style-language/schema/raw/master/csl-citation.json"}</w:instrText>
            </w:r>
            <w:r w:rsidRPr="00155D6E">
              <w:rPr>
                <w:sz w:val="20"/>
                <w:lang w:eastAsia="zh-CN"/>
              </w:rPr>
              <w:fldChar w:fldCharType="separate"/>
            </w:r>
            <w:r w:rsidR="006A1A14" w:rsidRPr="006A1A14">
              <w:rPr>
                <w:noProof/>
                <w:sz w:val="20"/>
                <w:lang w:eastAsia="zh-CN"/>
              </w:rPr>
              <w:t>[11]</w:t>
            </w:r>
            <w:r w:rsidRPr="00155D6E">
              <w:rPr>
                <w:sz w:val="20"/>
                <w:lang w:eastAsia="zh-CN"/>
              </w:rPr>
              <w:fldChar w:fldCharType="end"/>
            </w:r>
          </w:p>
        </w:tc>
        <w:tc>
          <w:tcPr>
            <w:tcW w:w="1927" w:type="dxa"/>
            <w:vAlign w:val="center"/>
          </w:tcPr>
          <w:p w14:paraId="14E2EC16" w14:textId="77777777" w:rsidR="00D557E3" w:rsidRPr="00D557E3" w:rsidRDefault="00D557E3" w:rsidP="00826CB8">
            <w:pPr>
              <w:snapToGrid w:val="0"/>
              <w:spacing w:beforeLines="50" w:before="120" w:line="480" w:lineRule="auto"/>
              <w:ind w:right="28"/>
              <w:rPr>
                <w:sz w:val="20"/>
                <w:lang w:eastAsia="zh-CN"/>
              </w:rPr>
            </w:pPr>
            <w:r w:rsidRPr="00D557E3">
              <w:rPr>
                <w:sz w:val="20"/>
                <w:lang w:eastAsia="zh-CN"/>
              </w:rPr>
              <w:t>R</w:t>
            </w:r>
            <w:r w:rsidRPr="00D557E3">
              <w:rPr>
                <w:rFonts w:hint="eastAsia"/>
                <w:sz w:val="20"/>
                <w:lang w:eastAsia="zh-CN"/>
              </w:rPr>
              <w:t>adiata pine</w:t>
            </w:r>
          </w:p>
        </w:tc>
        <w:tc>
          <w:tcPr>
            <w:tcW w:w="1371" w:type="dxa"/>
            <w:vAlign w:val="center"/>
          </w:tcPr>
          <w:p w14:paraId="6087C608" w14:textId="77777777" w:rsidR="00D557E3" w:rsidRPr="00D557E3" w:rsidRDefault="00D557E3" w:rsidP="00826CB8">
            <w:pPr>
              <w:snapToGrid w:val="0"/>
              <w:spacing w:beforeLines="50" w:before="120" w:line="480" w:lineRule="auto"/>
              <w:ind w:right="28"/>
              <w:rPr>
                <w:sz w:val="20"/>
                <w:lang w:eastAsia="zh-CN"/>
              </w:rPr>
            </w:pPr>
            <w:r w:rsidRPr="00D557E3">
              <w:rPr>
                <w:rFonts w:hint="eastAsia"/>
                <w:sz w:val="20"/>
                <w:lang w:eastAsia="zh-CN"/>
              </w:rPr>
              <w:t>50</w:t>
            </w:r>
          </w:p>
        </w:tc>
        <w:tc>
          <w:tcPr>
            <w:tcW w:w="950" w:type="dxa"/>
            <w:vAlign w:val="center"/>
          </w:tcPr>
          <w:p w14:paraId="53C50A08" w14:textId="77777777" w:rsidR="00D557E3" w:rsidRPr="00D557E3" w:rsidRDefault="00D557E3" w:rsidP="00826CB8">
            <w:pPr>
              <w:snapToGrid w:val="0"/>
              <w:spacing w:beforeLines="50" w:before="120" w:line="480" w:lineRule="auto"/>
              <w:ind w:right="28"/>
              <w:rPr>
                <w:sz w:val="20"/>
                <w:lang w:eastAsia="zh-CN"/>
              </w:rPr>
            </w:pPr>
            <w:r w:rsidRPr="00D557E3">
              <w:rPr>
                <w:rFonts w:hint="eastAsia"/>
                <w:sz w:val="20"/>
                <w:lang w:eastAsia="zh-CN"/>
              </w:rPr>
              <w:t>0</w:t>
            </w:r>
          </w:p>
        </w:tc>
        <w:tc>
          <w:tcPr>
            <w:tcW w:w="2343" w:type="dxa"/>
            <w:vAlign w:val="center"/>
          </w:tcPr>
          <w:p w14:paraId="491EA8AD" w14:textId="77777777" w:rsidR="00D557E3" w:rsidRPr="00D557E3" w:rsidRDefault="00D557E3" w:rsidP="00826CB8">
            <w:pPr>
              <w:snapToGrid w:val="0"/>
              <w:spacing w:beforeLines="50" w:before="120" w:line="480" w:lineRule="auto"/>
              <w:ind w:right="28"/>
              <w:rPr>
                <w:sz w:val="20"/>
                <w:lang w:eastAsia="zh-CN"/>
              </w:rPr>
            </w:pPr>
            <w:r w:rsidRPr="00D557E3">
              <w:rPr>
                <w:rFonts w:hint="eastAsia"/>
                <w:sz w:val="20"/>
                <w:lang w:eastAsia="zh-CN"/>
              </w:rPr>
              <w:t>410</w:t>
            </w:r>
          </w:p>
        </w:tc>
        <w:tc>
          <w:tcPr>
            <w:tcW w:w="1635" w:type="dxa"/>
            <w:vAlign w:val="center"/>
          </w:tcPr>
          <w:p w14:paraId="3839D189" w14:textId="77777777" w:rsidR="00D557E3" w:rsidRPr="00D557E3" w:rsidRDefault="00D557E3" w:rsidP="00826CB8">
            <w:pPr>
              <w:snapToGrid w:val="0"/>
              <w:spacing w:beforeLines="50" w:before="120" w:line="480" w:lineRule="auto"/>
              <w:ind w:right="28"/>
              <w:rPr>
                <w:sz w:val="20"/>
                <w:lang w:eastAsia="zh-CN"/>
              </w:rPr>
            </w:pPr>
            <w:r w:rsidRPr="00D557E3">
              <w:rPr>
                <w:rFonts w:hint="eastAsia"/>
                <w:sz w:val="20"/>
                <w:lang w:eastAsia="zh-CN"/>
              </w:rPr>
              <w:t>28</w:t>
            </w:r>
          </w:p>
        </w:tc>
      </w:tr>
      <w:tr w:rsidR="00D557E3" w:rsidRPr="00155D6E" w14:paraId="59C45D6E" w14:textId="77777777" w:rsidTr="00826CB8">
        <w:trPr>
          <w:jc w:val="center"/>
        </w:trPr>
        <w:tc>
          <w:tcPr>
            <w:tcW w:w="1242" w:type="dxa"/>
            <w:vAlign w:val="center"/>
          </w:tcPr>
          <w:p w14:paraId="2C937CE8" w14:textId="12D2CC92" w:rsidR="00D557E3" w:rsidRPr="00155D6E" w:rsidRDefault="00D557E3" w:rsidP="00826CB8">
            <w:pPr>
              <w:snapToGrid w:val="0"/>
              <w:spacing w:beforeLines="50" w:before="120" w:line="480" w:lineRule="auto"/>
              <w:ind w:right="28"/>
              <w:rPr>
                <w:sz w:val="20"/>
                <w:lang w:eastAsia="zh-CN"/>
              </w:rPr>
            </w:pPr>
            <w:r w:rsidRPr="00155D6E">
              <w:rPr>
                <w:rFonts w:hint="eastAsia"/>
                <w:sz w:val="20"/>
                <w:lang w:eastAsia="zh-CN"/>
              </w:rPr>
              <w:t xml:space="preserve">Batiot et al. (2014) </w:t>
            </w:r>
            <w:r w:rsidRPr="00155D6E">
              <w:rPr>
                <w:sz w:val="20"/>
                <w:lang w:eastAsia="zh-CN"/>
              </w:rPr>
              <w:fldChar w:fldCharType="begin" w:fldLock="1"/>
            </w:r>
            <w:r w:rsidR="006A1A14">
              <w:rPr>
                <w:sz w:val="20"/>
                <w:lang w:eastAsia="zh-CN"/>
              </w:rPr>
              <w:instrText>ADDIN CSL_CITATION {"citationItems":[{"id":"ITEM-1","itemData":{"DOI":"10.1002/fam.2192","ISBN":"03080501\\n10991018","ISSN":"03080501","abstract":"Red phosphorus (RP) was used to improve the fire performance of wood flour – low density polyethylene (LDPE) composites containing ammonium polyphosphate (APP). The fire performance of LDPE-based composites was investigated by using limiting oxygen index (LOI), UL-94 standard, thermogravimetric analysis, and cone calorimeter. The addition of 30wt% APP increased the LOI value from 17.5 to 24.2 and still burned to clamp (BC) in UL-94 test. The RP showed beneficial effect when combinedly used with APP. The maximum beneficial effect was seen at ratio of 5:1 (APP : RP) with the highest LOI value of 27.2 and UL-94 rating of V0. RP showed its beneficial effect via increasing the gas phase action of the flame re- tardant system. Copyright © 2015 John Wiley &amp; Sons, Ltd. Received","author":[{"dropping-particle":"","family":"Batiot","given":"Benjamin","non-dropping-particle":"","parse-names":false,"suffix":""},{"dropping-particle":"","family":"Luche","given":"Jocelyn","non-dropping-particle":"","parse-names":false,"suffix":""},{"dropping-particle":"","family":"Rogaume","given":"Thomas","non-dropping-particle":"","parse-names":false,"suffix":""}],"container-title":"Fire and Materials","id":"ITEM-1","issued":{"date-parts":[["2014"]]},"page":"418-431","title":"Thermal and chemical analysis of flammability and combustibility of fir wood in cone calorimeter coupled to FTIR apparatus","type":"article-journal","volume":"38"},"uris":["http://www.mendeley.com/documents/?uuid=8dd80993-b0e4-410f-8a85-508077296669"]}],"mendeley":{"formattedCitation":"[12]","plainTextFormattedCitation":"[12]","previouslyFormattedCitation":"[62]"},"properties":{"noteIndex":0},"schema":"https://github.com/citation-style-language/schema/raw/master/csl-citation.json"}</w:instrText>
            </w:r>
            <w:r w:rsidRPr="00155D6E">
              <w:rPr>
                <w:sz w:val="20"/>
                <w:lang w:eastAsia="zh-CN"/>
              </w:rPr>
              <w:fldChar w:fldCharType="separate"/>
            </w:r>
            <w:r w:rsidR="006A1A14" w:rsidRPr="006A1A14">
              <w:rPr>
                <w:noProof/>
                <w:sz w:val="20"/>
                <w:lang w:eastAsia="zh-CN"/>
              </w:rPr>
              <w:t>[12]</w:t>
            </w:r>
            <w:r w:rsidRPr="00155D6E">
              <w:rPr>
                <w:sz w:val="20"/>
                <w:lang w:eastAsia="zh-CN"/>
              </w:rPr>
              <w:fldChar w:fldCharType="end"/>
            </w:r>
          </w:p>
        </w:tc>
        <w:tc>
          <w:tcPr>
            <w:tcW w:w="1927" w:type="dxa"/>
            <w:vAlign w:val="center"/>
          </w:tcPr>
          <w:p w14:paraId="312BACBE" w14:textId="77777777" w:rsidR="00D557E3" w:rsidRPr="00155D6E" w:rsidRDefault="00D557E3" w:rsidP="00826CB8">
            <w:pPr>
              <w:snapToGrid w:val="0"/>
              <w:spacing w:beforeLines="50" w:before="120" w:line="480" w:lineRule="auto"/>
              <w:ind w:right="28"/>
              <w:rPr>
                <w:sz w:val="20"/>
                <w:lang w:val="en-GB" w:eastAsia="zh-CN"/>
              </w:rPr>
            </w:pPr>
            <w:r w:rsidRPr="00155D6E">
              <w:rPr>
                <w:rFonts w:hint="eastAsia"/>
                <w:sz w:val="20"/>
                <w:lang w:val="en-GB" w:eastAsia="zh-CN"/>
              </w:rPr>
              <w:t>Fir</w:t>
            </w:r>
          </w:p>
        </w:tc>
        <w:tc>
          <w:tcPr>
            <w:tcW w:w="1371" w:type="dxa"/>
            <w:vAlign w:val="center"/>
          </w:tcPr>
          <w:p w14:paraId="738ED468" w14:textId="77777777" w:rsidR="00D557E3" w:rsidRPr="00155D6E" w:rsidRDefault="00D557E3" w:rsidP="00826CB8">
            <w:pPr>
              <w:snapToGrid w:val="0"/>
              <w:spacing w:beforeLines="50" w:before="120" w:line="480" w:lineRule="auto"/>
              <w:ind w:right="28"/>
              <w:rPr>
                <w:sz w:val="20"/>
                <w:lang w:val="en-GB" w:eastAsia="zh-CN"/>
              </w:rPr>
            </w:pPr>
            <w:r w:rsidRPr="00155D6E">
              <w:rPr>
                <w:rFonts w:hint="eastAsia"/>
                <w:sz w:val="20"/>
                <w:lang w:val="en-GB" w:eastAsia="zh-CN"/>
              </w:rPr>
              <w:t>15/20/30/40/50/60</w:t>
            </w:r>
          </w:p>
        </w:tc>
        <w:tc>
          <w:tcPr>
            <w:tcW w:w="950" w:type="dxa"/>
            <w:vAlign w:val="center"/>
          </w:tcPr>
          <w:p w14:paraId="49777C63" w14:textId="77777777" w:rsidR="00D557E3" w:rsidRPr="00155D6E" w:rsidRDefault="00D557E3" w:rsidP="00826CB8">
            <w:pPr>
              <w:snapToGrid w:val="0"/>
              <w:spacing w:beforeLines="50" w:before="120" w:line="480" w:lineRule="auto"/>
              <w:ind w:right="28"/>
              <w:rPr>
                <w:sz w:val="20"/>
                <w:lang w:val="en-GB" w:eastAsia="zh-CN"/>
              </w:rPr>
            </w:pPr>
            <w:r w:rsidRPr="00155D6E">
              <w:rPr>
                <w:rFonts w:hint="eastAsia"/>
                <w:sz w:val="20"/>
                <w:lang w:val="en-GB" w:eastAsia="zh-CN"/>
              </w:rPr>
              <w:t>0</w:t>
            </w:r>
          </w:p>
        </w:tc>
        <w:tc>
          <w:tcPr>
            <w:tcW w:w="2343" w:type="dxa"/>
            <w:vAlign w:val="center"/>
          </w:tcPr>
          <w:p w14:paraId="07EBBD4E" w14:textId="77777777" w:rsidR="00D557E3" w:rsidRPr="00155D6E" w:rsidRDefault="00D557E3" w:rsidP="00826CB8">
            <w:pPr>
              <w:snapToGrid w:val="0"/>
              <w:spacing w:beforeLines="50" w:before="120" w:line="480" w:lineRule="auto"/>
              <w:ind w:right="28"/>
              <w:rPr>
                <w:sz w:val="20"/>
                <w:lang w:val="en-GB" w:eastAsia="zh-CN"/>
              </w:rPr>
            </w:pPr>
            <w:r w:rsidRPr="00155D6E">
              <w:rPr>
                <w:rFonts w:hint="eastAsia"/>
                <w:sz w:val="20"/>
                <w:lang w:val="en-GB" w:eastAsia="zh-CN"/>
              </w:rPr>
              <w:t>395</w:t>
            </w:r>
          </w:p>
        </w:tc>
        <w:tc>
          <w:tcPr>
            <w:tcW w:w="1635" w:type="dxa"/>
            <w:vAlign w:val="center"/>
          </w:tcPr>
          <w:p w14:paraId="79CA1CEB" w14:textId="77777777" w:rsidR="00D557E3" w:rsidRPr="00155D6E" w:rsidRDefault="00D557E3" w:rsidP="00826CB8">
            <w:pPr>
              <w:snapToGrid w:val="0"/>
              <w:spacing w:beforeLines="50" w:before="120" w:line="480" w:lineRule="auto"/>
              <w:ind w:right="28"/>
              <w:rPr>
                <w:sz w:val="20"/>
                <w:lang w:val="en-GB" w:eastAsia="zh-CN"/>
              </w:rPr>
            </w:pPr>
            <w:r w:rsidRPr="00155D6E">
              <w:rPr>
                <w:rFonts w:hint="eastAsia"/>
                <w:sz w:val="20"/>
                <w:lang w:val="en-GB" w:eastAsia="zh-CN"/>
              </w:rPr>
              <w:t>725/111/25/17/9/6</w:t>
            </w:r>
          </w:p>
        </w:tc>
      </w:tr>
      <w:tr w:rsidR="00D557E3" w:rsidRPr="00155D6E" w14:paraId="165611ED" w14:textId="77777777" w:rsidTr="00826CB8">
        <w:trPr>
          <w:jc w:val="center"/>
        </w:trPr>
        <w:tc>
          <w:tcPr>
            <w:tcW w:w="1242" w:type="dxa"/>
            <w:vAlign w:val="center"/>
          </w:tcPr>
          <w:p w14:paraId="5D411AC1" w14:textId="2299FCD6" w:rsidR="00D557E3" w:rsidRPr="00155D6E" w:rsidRDefault="00D557E3" w:rsidP="00826CB8">
            <w:pPr>
              <w:snapToGrid w:val="0"/>
              <w:spacing w:beforeLines="50" w:before="120" w:line="480" w:lineRule="auto"/>
              <w:ind w:right="28"/>
              <w:rPr>
                <w:sz w:val="20"/>
                <w:lang w:eastAsia="zh-CN"/>
              </w:rPr>
            </w:pPr>
            <w:r w:rsidRPr="00155D6E">
              <w:rPr>
                <w:rFonts w:hint="eastAsia"/>
                <w:sz w:val="20"/>
                <w:lang w:eastAsia="zh-CN"/>
              </w:rPr>
              <w:t xml:space="preserve">Batiot et al. (2014) </w:t>
            </w:r>
            <w:r w:rsidRPr="00155D6E">
              <w:rPr>
                <w:sz w:val="20"/>
                <w:lang w:eastAsia="zh-CN"/>
              </w:rPr>
              <w:fldChar w:fldCharType="begin" w:fldLock="1"/>
            </w:r>
            <w:r w:rsidR="006A1A14">
              <w:rPr>
                <w:sz w:val="20"/>
                <w:lang w:eastAsia="zh-CN"/>
              </w:rPr>
              <w:instrText>ADDIN CSL_CITATION {"citationItems":[{"id":"ITEM-1","itemData":{"DOI":"10.1002/fam.2192","ISBN":"03080501\\n10991018","ISSN":"03080501","abstract":"Red phosphorus (RP) was used to improve the fire performance of wood flour – low density polyethylene (LDPE) composites containing ammonium polyphosphate (APP). The fire performance of LDPE-based composites was investigated by using limiting oxygen index (LOI), UL-94 standard, thermogravimetric analysis, and cone calorimeter. The addition of 30wt% APP increased the LOI value from 17.5 to 24.2 and still burned to clamp (BC) in UL-94 test. The RP showed beneficial effect when combinedly used with APP. The maximum beneficial effect was seen at ratio of 5:1 (APP : RP) with the highest LOI value of 27.2 and UL-94 rating of V0. RP showed its beneficial effect via increasing the gas phase action of the flame re- tardant system. Copyright © 2015 John Wiley &amp; Sons, Ltd. Received","author":[{"dropping-particle":"","family":"Batiot","given":"Benjamin","non-dropping-particle":"","parse-names":false,"suffix":""},{"dropping-particle":"","family":"Luche","given":"Jocelyn","non-dropping-particle":"","parse-names":false,"suffix":""},{"dropping-particle":"","family":"Rogaume","given":"Thomas","non-dropping-particle":"","parse-names":false,"suffix":""}],"container-title":"Fire and Materials","id":"ITEM-1","issued":{"date-parts":[["2014"]]},"page":"418-431","title":"Thermal and chemical analysis of flammability and combustibility of fir wood in cone calorimeter coupled to FTIR apparatus","type":"article-journal","volume":"38"},"uris":["http://www.mendeley.com/documents/?uuid=8dd80993-b0e4-410f-8a85-508077296669"]}],"mendeley":{"formattedCitation":"[12]","plainTextFormattedCitation":"[12]","previouslyFormattedCitation":"[62]"},"properties":{"noteIndex":0},"schema":"https://github.com/citation-style-language/schema/raw/master/csl-citation.json"}</w:instrText>
            </w:r>
            <w:r w:rsidRPr="00155D6E">
              <w:rPr>
                <w:sz w:val="20"/>
                <w:lang w:eastAsia="zh-CN"/>
              </w:rPr>
              <w:fldChar w:fldCharType="separate"/>
            </w:r>
            <w:r w:rsidR="006A1A14" w:rsidRPr="006A1A14">
              <w:rPr>
                <w:noProof/>
                <w:sz w:val="20"/>
                <w:lang w:eastAsia="zh-CN"/>
              </w:rPr>
              <w:t>[12]</w:t>
            </w:r>
            <w:r w:rsidRPr="00155D6E">
              <w:rPr>
                <w:sz w:val="20"/>
                <w:lang w:eastAsia="zh-CN"/>
              </w:rPr>
              <w:fldChar w:fldCharType="end"/>
            </w:r>
          </w:p>
        </w:tc>
        <w:tc>
          <w:tcPr>
            <w:tcW w:w="1927" w:type="dxa"/>
            <w:vAlign w:val="center"/>
          </w:tcPr>
          <w:p w14:paraId="25AC3721" w14:textId="77777777" w:rsidR="00D557E3" w:rsidRPr="00155D6E" w:rsidRDefault="00D557E3" w:rsidP="00826CB8">
            <w:pPr>
              <w:snapToGrid w:val="0"/>
              <w:spacing w:beforeLines="50" w:before="120" w:line="480" w:lineRule="auto"/>
              <w:ind w:right="28"/>
              <w:rPr>
                <w:sz w:val="20"/>
                <w:lang w:val="en-GB" w:eastAsia="zh-CN"/>
              </w:rPr>
            </w:pPr>
            <w:r w:rsidRPr="00155D6E">
              <w:rPr>
                <w:rFonts w:hint="eastAsia"/>
                <w:sz w:val="20"/>
                <w:lang w:val="en-GB" w:eastAsia="zh-CN"/>
              </w:rPr>
              <w:t>Fir</w:t>
            </w:r>
          </w:p>
        </w:tc>
        <w:tc>
          <w:tcPr>
            <w:tcW w:w="1371" w:type="dxa"/>
            <w:vAlign w:val="center"/>
          </w:tcPr>
          <w:p w14:paraId="5ACBBEBC" w14:textId="77777777" w:rsidR="00D557E3" w:rsidRPr="00155D6E" w:rsidRDefault="00D557E3" w:rsidP="00826CB8">
            <w:pPr>
              <w:snapToGrid w:val="0"/>
              <w:spacing w:beforeLines="50" w:before="120" w:line="480" w:lineRule="auto"/>
              <w:ind w:right="28"/>
              <w:rPr>
                <w:sz w:val="20"/>
                <w:lang w:val="en-GB" w:eastAsia="zh-CN"/>
              </w:rPr>
            </w:pPr>
            <w:r w:rsidRPr="00155D6E">
              <w:rPr>
                <w:rFonts w:hint="eastAsia"/>
                <w:sz w:val="20"/>
                <w:lang w:val="en-GB" w:eastAsia="zh-CN"/>
              </w:rPr>
              <w:t>15/20/30/40/50/60</w:t>
            </w:r>
          </w:p>
        </w:tc>
        <w:tc>
          <w:tcPr>
            <w:tcW w:w="950" w:type="dxa"/>
            <w:vAlign w:val="center"/>
          </w:tcPr>
          <w:p w14:paraId="556112A7" w14:textId="77777777" w:rsidR="00D557E3" w:rsidRPr="00155D6E" w:rsidRDefault="00D557E3" w:rsidP="00826CB8">
            <w:pPr>
              <w:snapToGrid w:val="0"/>
              <w:spacing w:beforeLines="50" w:before="120" w:line="480" w:lineRule="auto"/>
              <w:ind w:right="28"/>
              <w:rPr>
                <w:sz w:val="20"/>
                <w:lang w:val="en-GB" w:eastAsia="zh-CN"/>
              </w:rPr>
            </w:pPr>
            <w:r w:rsidRPr="00155D6E">
              <w:rPr>
                <w:rFonts w:hint="eastAsia"/>
                <w:sz w:val="20"/>
                <w:lang w:val="en-GB" w:eastAsia="zh-CN"/>
              </w:rPr>
              <w:t>9</w:t>
            </w:r>
          </w:p>
        </w:tc>
        <w:tc>
          <w:tcPr>
            <w:tcW w:w="2343" w:type="dxa"/>
            <w:vAlign w:val="center"/>
          </w:tcPr>
          <w:p w14:paraId="08158124" w14:textId="77777777" w:rsidR="00D557E3" w:rsidRPr="00155D6E" w:rsidRDefault="00D557E3" w:rsidP="00826CB8">
            <w:pPr>
              <w:snapToGrid w:val="0"/>
              <w:spacing w:beforeLines="50" w:before="120" w:line="480" w:lineRule="auto"/>
              <w:ind w:right="28"/>
              <w:rPr>
                <w:sz w:val="20"/>
                <w:lang w:val="en-GB" w:eastAsia="zh-CN"/>
              </w:rPr>
            </w:pPr>
            <w:r w:rsidRPr="00155D6E">
              <w:rPr>
                <w:rFonts w:hint="eastAsia"/>
                <w:sz w:val="20"/>
                <w:lang w:val="en-GB" w:eastAsia="zh-CN"/>
              </w:rPr>
              <w:t>438</w:t>
            </w:r>
          </w:p>
        </w:tc>
        <w:tc>
          <w:tcPr>
            <w:tcW w:w="1635" w:type="dxa"/>
            <w:vAlign w:val="center"/>
          </w:tcPr>
          <w:p w14:paraId="3C07E7D8" w14:textId="77777777" w:rsidR="00D557E3" w:rsidRPr="00155D6E" w:rsidRDefault="00D557E3" w:rsidP="00826CB8">
            <w:pPr>
              <w:snapToGrid w:val="0"/>
              <w:spacing w:beforeLines="50" w:before="120" w:line="480" w:lineRule="auto"/>
              <w:ind w:right="28"/>
              <w:rPr>
                <w:sz w:val="20"/>
                <w:lang w:val="en-GB" w:eastAsia="zh-CN"/>
              </w:rPr>
            </w:pPr>
            <w:r w:rsidRPr="00155D6E">
              <w:rPr>
                <w:rFonts w:hint="eastAsia"/>
                <w:sz w:val="20"/>
                <w:lang w:val="en-GB" w:eastAsia="zh-CN"/>
              </w:rPr>
              <w:t>1074/355/41/27/18/10</w:t>
            </w:r>
          </w:p>
        </w:tc>
      </w:tr>
      <w:tr w:rsidR="00D557E3" w:rsidRPr="00155D6E" w14:paraId="12D574F8" w14:textId="77777777" w:rsidTr="00826CB8">
        <w:trPr>
          <w:jc w:val="center"/>
        </w:trPr>
        <w:tc>
          <w:tcPr>
            <w:tcW w:w="1242" w:type="dxa"/>
            <w:vAlign w:val="center"/>
          </w:tcPr>
          <w:p w14:paraId="7EFA7D5F" w14:textId="5D83DB5C" w:rsidR="00D557E3" w:rsidRPr="00155D6E" w:rsidRDefault="00D557E3" w:rsidP="00826CB8">
            <w:pPr>
              <w:snapToGrid w:val="0"/>
              <w:spacing w:beforeLines="50" w:before="120" w:line="480" w:lineRule="auto"/>
              <w:ind w:right="28"/>
              <w:rPr>
                <w:sz w:val="20"/>
                <w:lang w:eastAsia="zh-CN"/>
              </w:rPr>
            </w:pPr>
            <w:r w:rsidRPr="00155D6E">
              <w:rPr>
                <w:rFonts w:hint="eastAsia"/>
                <w:sz w:val="20"/>
                <w:lang w:eastAsia="zh-CN"/>
              </w:rPr>
              <w:t xml:space="preserve">Jin and Chung (2020) </w:t>
            </w:r>
            <w:r w:rsidRPr="00155D6E">
              <w:rPr>
                <w:sz w:val="20"/>
                <w:lang w:eastAsia="zh-CN"/>
              </w:rPr>
              <w:fldChar w:fldCharType="begin" w:fldLock="1"/>
            </w:r>
            <w:r w:rsidR="006A1A14">
              <w:rPr>
                <w:sz w:val="20"/>
                <w:lang w:eastAsia="zh-CN"/>
              </w:rPr>
              <w:instrText xml:space="preserve">ADDIN CSL_CITATION {"citationItems":[{"id":"ITEM-1","itemData":{"DOI":"10.1177/0734904120948215","ISSN":"15308049","abstract":"This study investigated the fire risk properties of cypress wood for the construction of interiors, especially focusing on heat and smoke hazard properties in fire scenarios. Fire risk characteristics were measured using a cone calorimeter (ISO 5660-1). The external heat flux was maintained at 50 kW/m2. The flame retardants used were metal oxide and metal silicate; they were mixed with a water glass solution. Flame retardants and the silicon compound were dispersed in a concentration of 20 wt% versus 80 wt%, respectively, during 24 h using a magnetic stirrer. The fire performance indexes of the specimens increased by 3–16 times, compared with uncoated specimen and the fire growth index of the specimens increased by 70%–92%. The smoke performance index of the specimens increased by 9–66 times, compared with uncoated specimens. The smoke risk as shown by the smoke performance index </w:instrText>
            </w:r>
            <w:r w:rsidR="006A1A14">
              <w:rPr>
                <w:rFonts w:hint="eastAsia"/>
                <w:sz w:val="20"/>
                <w:lang w:eastAsia="zh-CN"/>
              </w:rPr>
              <w:instrText>increased in the following order: SnO &lt; mica &lt; Co3O4 &lt; ZrSiO4 &lt; cypress. The smoke growth index decreased from 93% to 98%, compared with uncoated wood. The smoke risk due to smoke growth index increased in the following order: SnO &lt; mica &lt; ZrSiO4</w:instrText>
            </w:r>
            <w:r w:rsidR="006A1A14">
              <w:rPr>
                <w:rFonts w:hint="eastAsia"/>
                <w:sz w:val="20"/>
                <w:lang w:eastAsia="zh-CN"/>
              </w:rPr>
              <w:instrText>≈</w:instrText>
            </w:r>
            <w:r w:rsidR="006A1A14">
              <w:rPr>
                <w:rFonts w:hint="eastAsia"/>
                <w:sz w:val="20"/>
                <w:lang w:eastAsia="zh-CN"/>
              </w:rPr>
              <w:instrText xml:space="preserve"> Co3O4 &lt; cypress. The smoke intensity decreased from a minimum of 85% to a maximum of 99%, compared with uncoated wood. The concentration of CO gas generated after combustion was decreased by 24%</w:instrText>
            </w:r>
            <w:r w:rsidR="006A1A14">
              <w:rPr>
                <w:rFonts w:hint="eastAsia"/>
                <w:sz w:val="20"/>
                <w:lang w:eastAsia="zh-CN"/>
              </w:rPr>
              <w:instrText>–</w:instrText>
            </w:r>
            <w:r w:rsidR="006A1A14">
              <w:rPr>
                <w:rFonts w:hint="eastAsia"/>
                <w:sz w:val="20"/>
                <w:lang w:eastAsia="zh-CN"/>
              </w:rPr>
              <w:instrText xml:space="preserve">67%. They increased in the following order: mica </w:instrText>
            </w:r>
            <w:r w:rsidR="006A1A14">
              <w:rPr>
                <w:rFonts w:hint="eastAsia"/>
                <w:sz w:val="20"/>
                <w:lang w:eastAsia="zh-CN"/>
              </w:rPr>
              <w:instrText>≈</w:instrText>
            </w:r>
            <w:r w:rsidR="006A1A14">
              <w:rPr>
                <w:rFonts w:hint="eastAsia"/>
                <w:sz w:val="20"/>
                <w:lang w:eastAsia="zh-CN"/>
              </w:rPr>
              <w:instrText xml:space="preserve"> ZrSiO4 &lt; SnO &lt; C</w:instrText>
            </w:r>
            <w:r w:rsidR="006A1A14">
              <w:rPr>
                <w:sz w:val="20"/>
                <w:lang w:eastAsia="zh-CN"/>
              </w:rPr>
              <w:instrText>o3O4 &lt; cypress. A comprehensive assessment of fire performance shows that flame retardants decreased heat hazards, smoke hazards, and CO toxicity.","author":[{"dropping-particle":"","family":"Jin","given":"Eui","non-dropping-particle":"","parse-names":false,"suffix":""},{"dropping-particle":"","family":"Chung","given":"Yeong Jin","non-dropping-particle":"","parse-names":false,"suffix":""}],"container-title":"Journal of Fire Sciences","id":"ITEM-1","issue":"6","issued":{"date-parts":[["2020"]]},"page":"504-521","title":"Fire risk assessment of cypress wood coated with metal oxide and metal silicate flame retardant using cone calorimeter","type":"article-journal","volume":"38"},"uris":["http://www.mendeley.com/documents/?uuid=0d939e5c-f6d5-44f8-ba88-3ea36685003a"]}],"mendeley":{"formattedCitation":"[13]","plainTextFormattedCitation":"[13]","previouslyFormattedCitation":"[63]"},"properties":{"noteIndex":0},"schema":"https://github.com/citation-style-language/schema/raw/master/csl-citation.json"}</w:instrText>
            </w:r>
            <w:r w:rsidRPr="00155D6E">
              <w:rPr>
                <w:sz w:val="20"/>
                <w:lang w:eastAsia="zh-CN"/>
              </w:rPr>
              <w:fldChar w:fldCharType="separate"/>
            </w:r>
            <w:r w:rsidR="006A1A14" w:rsidRPr="006A1A14">
              <w:rPr>
                <w:noProof/>
                <w:sz w:val="20"/>
                <w:lang w:eastAsia="zh-CN"/>
              </w:rPr>
              <w:t>[13]</w:t>
            </w:r>
            <w:r w:rsidRPr="00155D6E">
              <w:rPr>
                <w:sz w:val="20"/>
                <w:lang w:eastAsia="zh-CN"/>
              </w:rPr>
              <w:fldChar w:fldCharType="end"/>
            </w:r>
          </w:p>
        </w:tc>
        <w:tc>
          <w:tcPr>
            <w:tcW w:w="1927" w:type="dxa"/>
            <w:vAlign w:val="center"/>
          </w:tcPr>
          <w:p w14:paraId="6AA8A244" w14:textId="77777777" w:rsidR="00D557E3" w:rsidRPr="00155D6E" w:rsidRDefault="00D557E3" w:rsidP="00826CB8">
            <w:pPr>
              <w:snapToGrid w:val="0"/>
              <w:spacing w:beforeLines="50" w:before="120" w:line="480" w:lineRule="auto"/>
              <w:ind w:right="28"/>
              <w:rPr>
                <w:sz w:val="20"/>
                <w:lang w:val="en-GB" w:eastAsia="zh-CN"/>
              </w:rPr>
            </w:pPr>
            <w:r w:rsidRPr="00155D6E">
              <w:rPr>
                <w:rFonts w:hint="eastAsia"/>
                <w:sz w:val="20"/>
                <w:lang w:val="en-GB" w:eastAsia="zh-CN"/>
              </w:rPr>
              <w:t>Cypress</w:t>
            </w:r>
          </w:p>
        </w:tc>
        <w:tc>
          <w:tcPr>
            <w:tcW w:w="1371" w:type="dxa"/>
            <w:vAlign w:val="center"/>
          </w:tcPr>
          <w:p w14:paraId="6265F52D" w14:textId="77777777" w:rsidR="00D557E3" w:rsidRPr="00155D6E" w:rsidRDefault="00D557E3" w:rsidP="00826CB8">
            <w:pPr>
              <w:snapToGrid w:val="0"/>
              <w:spacing w:beforeLines="50" w:before="120" w:line="480" w:lineRule="auto"/>
              <w:ind w:right="28"/>
              <w:rPr>
                <w:sz w:val="20"/>
                <w:lang w:val="en-GB" w:eastAsia="zh-CN"/>
              </w:rPr>
            </w:pPr>
            <w:r w:rsidRPr="00155D6E">
              <w:rPr>
                <w:rFonts w:hint="eastAsia"/>
                <w:sz w:val="20"/>
                <w:lang w:val="en-GB" w:eastAsia="zh-CN"/>
              </w:rPr>
              <w:t>50</w:t>
            </w:r>
          </w:p>
        </w:tc>
        <w:tc>
          <w:tcPr>
            <w:tcW w:w="950" w:type="dxa"/>
            <w:vAlign w:val="center"/>
          </w:tcPr>
          <w:p w14:paraId="7C7B9D74" w14:textId="77777777" w:rsidR="00D557E3" w:rsidRPr="00155D6E" w:rsidRDefault="00D557E3" w:rsidP="00826CB8">
            <w:pPr>
              <w:snapToGrid w:val="0"/>
              <w:spacing w:beforeLines="50" w:before="120" w:line="480" w:lineRule="auto"/>
              <w:ind w:right="28"/>
              <w:rPr>
                <w:sz w:val="20"/>
                <w:lang w:val="en-GB" w:eastAsia="zh-CN"/>
              </w:rPr>
            </w:pPr>
            <w:r w:rsidRPr="00155D6E">
              <w:rPr>
                <w:rFonts w:hint="eastAsia"/>
                <w:sz w:val="20"/>
                <w:lang w:val="en-GB" w:eastAsia="zh-CN"/>
              </w:rPr>
              <w:t>7.3</w:t>
            </w:r>
          </w:p>
        </w:tc>
        <w:tc>
          <w:tcPr>
            <w:tcW w:w="2343" w:type="dxa"/>
            <w:vAlign w:val="center"/>
          </w:tcPr>
          <w:p w14:paraId="2D5470BD" w14:textId="77777777" w:rsidR="00D557E3" w:rsidRPr="00155D6E" w:rsidRDefault="00D557E3" w:rsidP="00826CB8">
            <w:pPr>
              <w:snapToGrid w:val="0"/>
              <w:spacing w:beforeLines="50" w:before="120" w:line="480" w:lineRule="auto"/>
              <w:ind w:right="28"/>
              <w:rPr>
                <w:sz w:val="20"/>
                <w:lang w:val="en-GB" w:eastAsia="zh-CN"/>
              </w:rPr>
            </w:pPr>
            <w:r w:rsidRPr="00155D6E">
              <w:rPr>
                <w:rFonts w:hint="eastAsia"/>
                <w:sz w:val="20"/>
                <w:lang w:val="en-GB" w:eastAsia="zh-CN"/>
              </w:rPr>
              <w:t>418</w:t>
            </w:r>
          </w:p>
        </w:tc>
        <w:tc>
          <w:tcPr>
            <w:tcW w:w="1635" w:type="dxa"/>
            <w:vAlign w:val="center"/>
          </w:tcPr>
          <w:p w14:paraId="1B75D768" w14:textId="77777777" w:rsidR="00D557E3" w:rsidRPr="00155D6E" w:rsidRDefault="00D557E3" w:rsidP="00826CB8">
            <w:pPr>
              <w:snapToGrid w:val="0"/>
              <w:spacing w:beforeLines="50" w:before="120" w:line="480" w:lineRule="auto"/>
              <w:ind w:right="28"/>
              <w:rPr>
                <w:sz w:val="20"/>
                <w:lang w:eastAsia="zh-CN"/>
              </w:rPr>
            </w:pPr>
            <w:r w:rsidRPr="00155D6E">
              <w:rPr>
                <w:rFonts w:hint="eastAsia"/>
                <w:sz w:val="20"/>
                <w:lang w:val="en-GB" w:eastAsia="zh-CN"/>
              </w:rPr>
              <w:t>7</w:t>
            </w:r>
          </w:p>
        </w:tc>
      </w:tr>
      <w:tr w:rsidR="00D557E3" w:rsidRPr="00155D6E" w14:paraId="550C469E" w14:textId="77777777" w:rsidTr="00826CB8">
        <w:trPr>
          <w:jc w:val="center"/>
        </w:trPr>
        <w:tc>
          <w:tcPr>
            <w:tcW w:w="1242" w:type="dxa"/>
            <w:vAlign w:val="center"/>
          </w:tcPr>
          <w:p w14:paraId="21F50CD0" w14:textId="02D81A93" w:rsidR="00D557E3" w:rsidRPr="00155D6E" w:rsidRDefault="00D557E3" w:rsidP="00826CB8">
            <w:pPr>
              <w:snapToGrid w:val="0"/>
              <w:spacing w:beforeLines="50" w:before="120" w:line="480" w:lineRule="auto"/>
              <w:ind w:right="28"/>
              <w:rPr>
                <w:sz w:val="20"/>
                <w:lang w:eastAsia="zh-CN"/>
              </w:rPr>
            </w:pPr>
            <w:r w:rsidRPr="00155D6E">
              <w:rPr>
                <w:rFonts w:hint="eastAsia"/>
                <w:sz w:val="20"/>
                <w:lang w:eastAsia="zh-CN"/>
              </w:rPr>
              <w:t xml:space="preserve">Xu et al. (2015) </w:t>
            </w:r>
            <w:r w:rsidRPr="00155D6E">
              <w:rPr>
                <w:sz w:val="20"/>
                <w:lang w:eastAsia="zh-CN"/>
              </w:rPr>
              <w:fldChar w:fldCharType="begin" w:fldLock="1"/>
            </w:r>
            <w:r w:rsidR="006A1A14">
              <w:rPr>
                <w:sz w:val="20"/>
                <w:lang w:eastAsia="zh-CN"/>
              </w:rPr>
              <w:instrText>ADDIN CSL_CITATION {"citationItems":[{"id":"ITEM-1","itemData":{"DOI":"10.1016/j.conbuildmat.2015.08.062","ISSN":"09500618","abstract":"Abstract Cone calorimeter tests conducted at three levels of heat flux, 25, 50 and 75 kW/m&lt;sup&gt;2&lt;/sup&gt;, were employed to investigate the combustion and charring properties of five common constructional wood species: three softwood species: Douglas fir (Pseudotsuga menziesii), Scots Pine (Pinus sylvestris) and Southern pine (genus Pinus), and two hardwood species: Shorea (genus Dipterocarpaceae) and Merbau (Intsia bijuga). The ignitability and combustibility parameters of these five species were calculated and the time to ignition, heat release and mass loss rates, specific extinction area, effective heat of combustion, and CO and CO&lt;inf&gt;2&lt;/inf&gt; yield compared. The measured charring rates from the cone calorimeter tests were transformed to equivalent charring rates for standard furnace tests and compared with those promulgated by European and Australian standards. It is shown that transforming cone calorimeter data obtained under conditions of 50 kW/m&lt;sup&gt;2&lt;/sup&gt; and fire exposure greater than 30 min to equivalent furnace data using the concept of 'local fire intensity' resulted in relative good with standard-promulgated values for charring depths less than 30 mm. Merbau, having a density almost twice the other four species, demonstrated superior fire performance in all parameters considered. The other four species were essentially indistinguishable in terms of their overall performance. Finally, this study demonstrates the utility of the relatively inexpensive cone calorimeter test, for the rapid assessment of combustion and particularly charring performance of timber.","author":[{"dropping-particle":"","family":"Xu","given":"Qingfeng","non-dropping-particle":"","parse-names":false,"suffix":""},{"dropping-particle":"","family":"Chen","given":"Lingzhu","non-dropping-particle":"","parse-names":false,"suffix":""},{"dropping-particle":"","family":"Harries","given":"Kent A.","non-dropping-particle":"","parse-names":false,"suffix":""},{"dropping-particle":"","family":"Zhang","given":"Fuwen","non-dropping-particle":"","parse-names":false,"suffix":""},{"dropping-particle":"","family":"Liu","given":"Qiong","non-dropping-particle":"","parse-names":false,"suffix":""},{"dropping-particle":"","family":"Feng","given":"Jinghui","non-dropping-particle":"","parse-names":false,"suffix":""}],"container-title":"Construction and Building Materials","id":"ITEM-1","issued":{"date-parts":[["2015"]]},"page":"416-427","publisher":"Elsevier Ltd","title":"Combustion and charring properties of five common constructional wood species from cone calorimeter tests","type":"article-journal","volume":"96"},"uris":["http://www.mendeley.com/documents/?uuid=72a53695-cb8a-4616-b118-2f4d852ed189","http://www.mendeley.com/documents/?uuid=91477d3c-2074-4852-bed5-8d9d9825339f","http://www.mendeley.com/documents/?uuid=961ab639-167b-440b-8127-69bd9e5604cf"]}],"mendeley":{"formattedCitation":"[14]","plainTextFormattedCitation":"[14]","previouslyFormattedCitation":"[64]"},"properties":{"noteIndex":0},"schema":"https://github.com/citation-style-language/schema/raw/master/csl-citation.json"}</w:instrText>
            </w:r>
            <w:r w:rsidRPr="00155D6E">
              <w:rPr>
                <w:sz w:val="20"/>
                <w:lang w:eastAsia="zh-CN"/>
              </w:rPr>
              <w:fldChar w:fldCharType="separate"/>
            </w:r>
            <w:r w:rsidR="006A1A14" w:rsidRPr="006A1A14">
              <w:rPr>
                <w:noProof/>
                <w:sz w:val="20"/>
                <w:lang w:eastAsia="zh-CN"/>
              </w:rPr>
              <w:t>[14]</w:t>
            </w:r>
            <w:r w:rsidRPr="00155D6E">
              <w:rPr>
                <w:sz w:val="20"/>
                <w:lang w:eastAsia="zh-CN"/>
              </w:rPr>
              <w:fldChar w:fldCharType="end"/>
            </w:r>
          </w:p>
        </w:tc>
        <w:tc>
          <w:tcPr>
            <w:tcW w:w="1927" w:type="dxa"/>
            <w:vAlign w:val="center"/>
          </w:tcPr>
          <w:p w14:paraId="50F93C50" w14:textId="77777777" w:rsidR="00D557E3" w:rsidRPr="00155D6E" w:rsidRDefault="00D557E3" w:rsidP="00826CB8">
            <w:pPr>
              <w:snapToGrid w:val="0"/>
              <w:spacing w:beforeLines="50" w:before="120" w:line="480" w:lineRule="auto"/>
              <w:ind w:right="28"/>
              <w:rPr>
                <w:sz w:val="20"/>
                <w:lang w:val="en-GB" w:eastAsia="zh-CN"/>
              </w:rPr>
            </w:pPr>
            <w:r>
              <w:rPr>
                <w:rFonts w:hint="eastAsia"/>
                <w:sz w:val="20"/>
                <w:lang w:val="en-GB" w:eastAsia="zh-CN"/>
              </w:rPr>
              <w:t>Douglas fir</w:t>
            </w:r>
          </w:p>
        </w:tc>
        <w:tc>
          <w:tcPr>
            <w:tcW w:w="1371" w:type="dxa"/>
            <w:vAlign w:val="center"/>
          </w:tcPr>
          <w:p w14:paraId="048B9E1C" w14:textId="77777777" w:rsidR="00D557E3" w:rsidRPr="00155D6E" w:rsidRDefault="00D557E3" w:rsidP="00826CB8">
            <w:pPr>
              <w:snapToGrid w:val="0"/>
              <w:spacing w:beforeLines="50" w:before="120" w:line="480" w:lineRule="auto"/>
              <w:ind w:right="28"/>
              <w:rPr>
                <w:sz w:val="20"/>
                <w:lang w:val="en-GB" w:eastAsia="zh-CN"/>
              </w:rPr>
            </w:pPr>
            <w:r>
              <w:rPr>
                <w:rFonts w:hint="eastAsia"/>
                <w:sz w:val="20"/>
                <w:lang w:val="en-GB" w:eastAsia="zh-CN"/>
              </w:rPr>
              <w:t>25/50/75</w:t>
            </w:r>
          </w:p>
        </w:tc>
        <w:tc>
          <w:tcPr>
            <w:tcW w:w="950" w:type="dxa"/>
            <w:vAlign w:val="center"/>
          </w:tcPr>
          <w:p w14:paraId="7B3D51DD" w14:textId="77777777" w:rsidR="00D557E3" w:rsidRPr="00155D6E" w:rsidRDefault="00D557E3" w:rsidP="00826CB8">
            <w:pPr>
              <w:snapToGrid w:val="0"/>
              <w:spacing w:beforeLines="50" w:before="120" w:line="480" w:lineRule="auto"/>
              <w:ind w:right="28"/>
              <w:rPr>
                <w:sz w:val="20"/>
                <w:lang w:val="en-GB" w:eastAsia="zh-CN"/>
              </w:rPr>
            </w:pPr>
            <w:r>
              <w:rPr>
                <w:rFonts w:hint="eastAsia"/>
                <w:sz w:val="20"/>
                <w:lang w:val="en-GB" w:eastAsia="zh-CN"/>
              </w:rPr>
              <w:t>14</w:t>
            </w:r>
          </w:p>
        </w:tc>
        <w:tc>
          <w:tcPr>
            <w:tcW w:w="2343" w:type="dxa"/>
            <w:vAlign w:val="center"/>
          </w:tcPr>
          <w:p w14:paraId="7A7A863D" w14:textId="77777777" w:rsidR="00D557E3" w:rsidRPr="00155D6E" w:rsidRDefault="00D557E3" w:rsidP="00826CB8">
            <w:pPr>
              <w:snapToGrid w:val="0"/>
              <w:spacing w:beforeLines="50" w:before="120" w:line="480" w:lineRule="auto"/>
              <w:ind w:right="28"/>
              <w:rPr>
                <w:sz w:val="20"/>
                <w:lang w:val="en-GB" w:eastAsia="zh-CN"/>
              </w:rPr>
            </w:pPr>
            <w:r>
              <w:rPr>
                <w:rFonts w:hint="eastAsia"/>
                <w:sz w:val="20"/>
                <w:lang w:val="en-GB" w:eastAsia="zh-CN"/>
              </w:rPr>
              <w:t>470</w:t>
            </w:r>
          </w:p>
        </w:tc>
        <w:tc>
          <w:tcPr>
            <w:tcW w:w="1635" w:type="dxa"/>
            <w:vAlign w:val="center"/>
          </w:tcPr>
          <w:p w14:paraId="497CD536" w14:textId="77777777" w:rsidR="00D557E3" w:rsidRPr="00155D6E" w:rsidRDefault="00D557E3" w:rsidP="00826CB8">
            <w:pPr>
              <w:snapToGrid w:val="0"/>
              <w:spacing w:beforeLines="50" w:before="120" w:line="480" w:lineRule="auto"/>
              <w:ind w:right="28"/>
              <w:rPr>
                <w:sz w:val="20"/>
                <w:lang w:val="en-GB" w:eastAsia="zh-CN"/>
              </w:rPr>
            </w:pPr>
            <w:r>
              <w:rPr>
                <w:rFonts w:hint="eastAsia"/>
                <w:sz w:val="20"/>
                <w:lang w:val="en-GB" w:eastAsia="zh-CN"/>
              </w:rPr>
              <w:t>169/23/7</w:t>
            </w:r>
          </w:p>
        </w:tc>
      </w:tr>
      <w:tr w:rsidR="00D557E3" w:rsidRPr="00155D6E" w14:paraId="4BD6B24D" w14:textId="77777777" w:rsidTr="00826CB8">
        <w:trPr>
          <w:jc w:val="center"/>
        </w:trPr>
        <w:tc>
          <w:tcPr>
            <w:tcW w:w="1242" w:type="dxa"/>
            <w:vAlign w:val="center"/>
          </w:tcPr>
          <w:p w14:paraId="52FDF89C" w14:textId="5DF150CE" w:rsidR="00D557E3" w:rsidRPr="00155D6E" w:rsidRDefault="00D557E3" w:rsidP="00826CB8">
            <w:pPr>
              <w:snapToGrid w:val="0"/>
              <w:spacing w:beforeLines="50" w:before="120" w:line="480" w:lineRule="auto"/>
              <w:ind w:right="28"/>
              <w:rPr>
                <w:sz w:val="20"/>
                <w:lang w:eastAsia="zh-CN"/>
              </w:rPr>
            </w:pPr>
            <w:r w:rsidRPr="00155D6E">
              <w:rPr>
                <w:rFonts w:hint="eastAsia"/>
                <w:sz w:val="20"/>
                <w:lang w:eastAsia="zh-CN"/>
              </w:rPr>
              <w:lastRenderedPageBreak/>
              <w:t xml:space="preserve">Xu et al. (2015) </w:t>
            </w:r>
            <w:r w:rsidRPr="00155D6E">
              <w:rPr>
                <w:sz w:val="20"/>
                <w:lang w:eastAsia="zh-CN"/>
              </w:rPr>
              <w:fldChar w:fldCharType="begin" w:fldLock="1"/>
            </w:r>
            <w:r w:rsidR="006A1A14">
              <w:rPr>
                <w:sz w:val="20"/>
                <w:lang w:eastAsia="zh-CN"/>
              </w:rPr>
              <w:instrText>ADDIN CSL_CITATION {"citationItems":[{"id":"ITEM-1","itemData":{"DOI":"10.1016/j.conbuildmat.2015.08.062","ISSN":"09500618","abstract":"Abstract Cone calorimeter tests conducted at three levels of heat flux, 25, 50 and 75 kW/m&lt;sup&gt;2&lt;/sup&gt;, were employed to investigate the combustion and charring properties of five common constructional wood species: three softwood species: Douglas fir (Pseudotsuga menziesii), Scots Pine (Pinus sylvestris) and Southern pine (genus Pinus), and two hardwood species: Shorea (genus Dipterocarpaceae) and Merbau (Intsia bijuga). The ignitability and combustibility parameters of these five species were calculated and the time to ignition, heat release and mass loss rates, specific extinction area, effective heat of combustion, and CO and CO&lt;inf&gt;2&lt;/inf&gt; yield compared. The measured charring rates from the cone calorimeter tests were transformed to equivalent charring rates for standard furnace tests and compared with those promulgated by European and Australian standards. It is shown that transforming cone calorimeter data obtained under conditions of 50 kW/m&lt;sup&gt;2&lt;/sup&gt; and fire exposure greater than 30 min to equivalent furnace data using the concept of 'local fire intensity' resulted in relative good with standard-promulgated values for charring depths less than 30 mm. Merbau, having a density almost twice the other four species, demonstrated superior fire performance in all parameters considered. The other four species were essentially indistinguishable in terms of their overall performance. Finally, this study demonstrates the utility of the relatively inexpensive cone calorimeter test, for the rapid assessment of combustion and particularly charring performance of timber.","author":[{"dropping-particle":"","family":"Xu","given":"Qingfeng","non-dropping-particle":"","parse-names":false,"suffix":""},{"dropping-particle":"","family":"Chen","given":"Lingzhu","non-dropping-particle":"","parse-names":false,"suffix":""},{"dropping-particle":"","family":"Harries","given":"Kent A.","non-dropping-particle":"","parse-names":false,"suffix":""},{"dropping-particle":"","family":"Zhang","given":"Fuwen","non-dropping-particle":"","parse-names":false,"suffix":""},{"dropping-particle":"","family":"Liu","given":"Qiong","non-dropping-particle":"","parse-names":false,"suffix":""},{"dropping-particle":"","family":"Feng","given":"Jinghui","non-dropping-particle":"","parse-names":false,"suffix":""}],"container-title":"Construction and Building Materials","id":"ITEM-1","issued":{"date-parts":[["2015"]]},"page":"416-427","publisher":"Elsevier Ltd","title":"Combustion and charring properties of five common constructional wood species from cone calorimeter tests","type":"article-journal","volume":"96"},"uris":["http://www.mendeley.com/documents/?uuid=961ab639-167b-440b-8127-69bd9e5604cf","http://www.mendeley.com/documents/?uuid=91477d3c-2074-4852-bed5-8d9d9825339f","http://www.mendeley.com/documents/?uuid=72a53695-cb8a-4616-b118-2f4d852ed189"]}],"mendeley":{"formattedCitation":"[14]","plainTextFormattedCitation":"[14]","previouslyFormattedCitation":"[64]"},"properties":{"noteIndex":0},"schema":"https://github.com/citation-style-language/schema/raw/master/csl-citation.json"}</w:instrText>
            </w:r>
            <w:r w:rsidRPr="00155D6E">
              <w:rPr>
                <w:sz w:val="20"/>
                <w:lang w:eastAsia="zh-CN"/>
              </w:rPr>
              <w:fldChar w:fldCharType="separate"/>
            </w:r>
            <w:r w:rsidR="006A1A14" w:rsidRPr="006A1A14">
              <w:rPr>
                <w:noProof/>
                <w:sz w:val="20"/>
                <w:lang w:eastAsia="zh-CN"/>
              </w:rPr>
              <w:t>[14]</w:t>
            </w:r>
            <w:r w:rsidRPr="00155D6E">
              <w:rPr>
                <w:sz w:val="20"/>
                <w:lang w:eastAsia="zh-CN"/>
              </w:rPr>
              <w:fldChar w:fldCharType="end"/>
            </w:r>
          </w:p>
        </w:tc>
        <w:tc>
          <w:tcPr>
            <w:tcW w:w="1927" w:type="dxa"/>
            <w:vAlign w:val="center"/>
          </w:tcPr>
          <w:p w14:paraId="74375102" w14:textId="77777777" w:rsidR="00D557E3" w:rsidRPr="00155D6E" w:rsidRDefault="00D557E3" w:rsidP="00826CB8">
            <w:pPr>
              <w:snapToGrid w:val="0"/>
              <w:spacing w:beforeLines="50" w:before="120" w:line="480" w:lineRule="auto"/>
              <w:ind w:right="28"/>
              <w:rPr>
                <w:sz w:val="20"/>
                <w:lang w:val="en-GB" w:eastAsia="zh-CN"/>
              </w:rPr>
            </w:pPr>
            <w:r>
              <w:rPr>
                <w:rFonts w:hint="eastAsia"/>
                <w:sz w:val="20"/>
                <w:lang w:val="en-GB" w:eastAsia="zh-CN"/>
              </w:rPr>
              <w:t>Scots pine</w:t>
            </w:r>
          </w:p>
        </w:tc>
        <w:tc>
          <w:tcPr>
            <w:tcW w:w="1371" w:type="dxa"/>
            <w:vAlign w:val="center"/>
          </w:tcPr>
          <w:p w14:paraId="092BBFDA" w14:textId="77777777" w:rsidR="00D557E3" w:rsidRPr="00155D6E" w:rsidRDefault="00D557E3" w:rsidP="00826CB8">
            <w:pPr>
              <w:snapToGrid w:val="0"/>
              <w:spacing w:beforeLines="50" w:before="120" w:line="480" w:lineRule="auto"/>
              <w:ind w:right="28"/>
              <w:rPr>
                <w:sz w:val="20"/>
                <w:lang w:val="en-GB" w:eastAsia="zh-CN"/>
              </w:rPr>
            </w:pPr>
            <w:r>
              <w:rPr>
                <w:rFonts w:hint="eastAsia"/>
                <w:sz w:val="20"/>
                <w:lang w:val="en-GB" w:eastAsia="zh-CN"/>
              </w:rPr>
              <w:t>25/50/75</w:t>
            </w:r>
          </w:p>
        </w:tc>
        <w:tc>
          <w:tcPr>
            <w:tcW w:w="950" w:type="dxa"/>
            <w:vAlign w:val="center"/>
          </w:tcPr>
          <w:p w14:paraId="6E6BC710" w14:textId="77777777" w:rsidR="00D557E3" w:rsidRPr="00155D6E" w:rsidRDefault="00D557E3" w:rsidP="00826CB8">
            <w:pPr>
              <w:snapToGrid w:val="0"/>
              <w:spacing w:beforeLines="50" w:before="120" w:line="480" w:lineRule="auto"/>
              <w:ind w:right="28"/>
              <w:rPr>
                <w:sz w:val="20"/>
                <w:lang w:val="en-GB" w:eastAsia="zh-CN"/>
              </w:rPr>
            </w:pPr>
            <w:r>
              <w:rPr>
                <w:rFonts w:hint="eastAsia"/>
                <w:sz w:val="20"/>
                <w:lang w:val="en-GB" w:eastAsia="zh-CN"/>
              </w:rPr>
              <w:t>17.5</w:t>
            </w:r>
          </w:p>
        </w:tc>
        <w:tc>
          <w:tcPr>
            <w:tcW w:w="2343" w:type="dxa"/>
            <w:vAlign w:val="center"/>
          </w:tcPr>
          <w:p w14:paraId="37C0ABD8" w14:textId="77777777" w:rsidR="00D557E3" w:rsidRPr="00155D6E" w:rsidRDefault="00D557E3" w:rsidP="00826CB8">
            <w:pPr>
              <w:snapToGrid w:val="0"/>
              <w:spacing w:beforeLines="50" w:before="120" w:line="480" w:lineRule="auto"/>
              <w:ind w:right="28"/>
              <w:rPr>
                <w:sz w:val="20"/>
                <w:lang w:val="en-GB" w:eastAsia="zh-CN"/>
              </w:rPr>
            </w:pPr>
            <w:r>
              <w:rPr>
                <w:rFonts w:hint="eastAsia"/>
                <w:sz w:val="20"/>
                <w:lang w:val="en-GB" w:eastAsia="zh-CN"/>
              </w:rPr>
              <w:t>460</w:t>
            </w:r>
          </w:p>
        </w:tc>
        <w:tc>
          <w:tcPr>
            <w:tcW w:w="1635" w:type="dxa"/>
            <w:vAlign w:val="center"/>
          </w:tcPr>
          <w:p w14:paraId="758D6132" w14:textId="77777777" w:rsidR="00D557E3" w:rsidRPr="00155D6E" w:rsidRDefault="00D557E3" w:rsidP="00826CB8">
            <w:pPr>
              <w:snapToGrid w:val="0"/>
              <w:spacing w:beforeLines="50" w:before="120" w:line="480" w:lineRule="auto"/>
              <w:ind w:right="28"/>
              <w:rPr>
                <w:sz w:val="20"/>
                <w:lang w:val="en-GB" w:eastAsia="zh-CN"/>
              </w:rPr>
            </w:pPr>
            <w:r>
              <w:rPr>
                <w:rFonts w:hint="eastAsia"/>
                <w:sz w:val="20"/>
                <w:lang w:val="en-GB" w:eastAsia="zh-CN"/>
              </w:rPr>
              <w:t>206/16/6</w:t>
            </w:r>
          </w:p>
        </w:tc>
      </w:tr>
      <w:tr w:rsidR="00D557E3" w:rsidRPr="00155D6E" w14:paraId="126CA2F0" w14:textId="77777777" w:rsidTr="00826CB8">
        <w:trPr>
          <w:jc w:val="center"/>
        </w:trPr>
        <w:tc>
          <w:tcPr>
            <w:tcW w:w="1242" w:type="dxa"/>
            <w:vAlign w:val="center"/>
          </w:tcPr>
          <w:p w14:paraId="0683069F" w14:textId="4D5B7636" w:rsidR="00D557E3" w:rsidRPr="00155D6E" w:rsidRDefault="00D557E3" w:rsidP="00826CB8">
            <w:pPr>
              <w:snapToGrid w:val="0"/>
              <w:spacing w:beforeLines="50" w:before="120" w:line="480" w:lineRule="auto"/>
              <w:ind w:right="28"/>
              <w:rPr>
                <w:sz w:val="20"/>
                <w:lang w:eastAsia="zh-CN"/>
              </w:rPr>
            </w:pPr>
            <w:r w:rsidRPr="00155D6E">
              <w:rPr>
                <w:rFonts w:hint="eastAsia"/>
                <w:sz w:val="20"/>
                <w:lang w:eastAsia="zh-CN"/>
              </w:rPr>
              <w:t xml:space="preserve">Xu et al. (2015) </w:t>
            </w:r>
            <w:r w:rsidRPr="00155D6E">
              <w:rPr>
                <w:sz w:val="20"/>
                <w:lang w:eastAsia="zh-CN"/>
              </w:rPr>
              <w:fldChar w:fldCharType="begin" w:fldLock="1"/>
            </w:r>
            <w:r w:rsidR="006A1A14">
              <w:rPr>
                <w:sz w:val="20"/>
                <w:lang w:eastAsia="zh-CN"/>
              </w:rPr>
              <w:instrText>ADDIN CSL_CITATION {"citationItems":[{"id":"ITEM-1","itemData":{"DOI":"10.1016/j.conbuildmat.2015.08.062","ISSN":"09500618","abstract":"Abstract Cone calorimeter tests conducted at three levels of heat flux, 25, 50 and 75 kW/m&lt;sup&gt;2&lt;/sup&gt;, were employed to investigate the combustion and charring properties of five common constructional wood species: three softwood species: Douglas fir (Pseudotsuga menziesii), Scots Pine (Pinus sylvestris) and Southern pine (genus Pinus), and two hardwood species: Shorea (genus Dipterocarpaceae) and Merbau (Intsia bijuga). The ignitability and combustibility parameters of these five species were calculated and the time to ignition, heat release and mass loss rates, specific extinction area, effective heat of combustion, and CO and CO&lt;inf&gt;2&lt;/inf&gt; yield compared. The measured charring rates from the cone calorimeter tests were transformed to equivalent charring rates for standard furnace tests and compared with those promulgated by European and Australian standards. It is shown that transforming cone calorimeter data obtained under conditions of 50 kW/m&lt;sup&gt;2&lt;/sup&gt; and fire exposure greater than 30 min to equivalent furnace data using the concept of 'local fire intensity' resulted in relative good with standard-promulgated values for charring depths less than 30 mm. Merbau, having a density almost twice the other four species, demonstrated superior fire performance in all parameters considered. The other four species were essentially indistinguishable in terms of their overall performance. Finally, this study demonstrates the utility of the relatively inexpensive cone calorimeter test, for the rapid assessment of combustion and particularly charring performance of timber.","author":[{"dropping-particle":"","family":"Xu","given":"Qingfeng","non-dropping-particle":"","parse-names":false,"suffix":""},{"dropping-particle":"","family":"Chen","given":"Lingzhu","non-dropping-particle":"","parse-names":false,"suffix":""},{"dropping-particle":"","family":"Harries","given":"Kent A.","non-dropping-particle":"","parse-names":false,"suffix":""},{"dropping-particle":"","family":"Zhang","given":"Fuwen","non-dropping-particle":"","parse-names":false,"suffix":""},{"dropping-particle":"","family":"Liu","given":"Qiong","non-dropping-particle":"","parse-names":false,"suffix":""},{"dropping-particle":"","family":"Feng","given":"Jinghui","non-dropping-particle":"","parse-names":false,"suffix":""}],"container-title":"Construction and Building Materials","id":"ITEM-1","issued":{"date-parts":[["2015"]]},"page":"416-427","publisher":"Elsevier Ltd","title":"Combustion and charring properties of five common constructional wood species from cone calorimeter tests","type":"article-journal","volume":"96"},"uris":["http://www.mendeley.com/documents/?uuid=961ab639-167b-440b-8127-69bd9e5604cf","http://www.mendeley.com/documents/?uuid=91477d3c-2074-4852-bed5-8d9d9825339f","http://www.mendeley.com/documents/?uuid=72a53695-cb8a-4616-b118-2f4d852ed189"]}],"mendeley":{"formattedCitation":"[14]","plainTextFormattedCitation":"[14]","previouslyFormattedCitation":"[64]"},"properties":{"noteIndex":0},"schema":"https://github.com/citation-style-language/schema/raw/master/csl-citation.json"}</w:instrText>
            </w:r>
            <w:r w:rsidRPr="00155D6E">
              <w:rPr>
                <w:sz w:val="20"/>
                <w:lang w:eastAsia="zh-CN"/>
              </w:rPr>
              <w:fldChar w:fldCharType="separate"/>
            </w:r>
            <w:r w:rsidR="006A1A14" w:rsidRPr="006A1A14">
              <w:rPr>
                <w:noProof/>
                <w:sz w:val="20"/>
                <w:lang w:eastAsia="zh-CN"/>
              </w:rPr>
              <w:t>[14]</w:t>
            </w:r>
            <w:r w:rsidRPr="00155D6E">
              <w:rPr>
                <w:sz w:val="20"/>
                <w:lang w:eastAsia="zh-CN"/>
              </w:rPr>
              <w:fldChar w:fldCharType="end"/>
            </w:r>
          </w:p>
        </w:tc>
        <w:tc>
          <w:tcPr>
            <w:tcW w:w="1927" w:type="dxa"/>
            <w:vAlign w:val="center"/>
          </w:tcPr>
          <w:p w14:paraId="6BA1C2A6" w14:textId="77777777" w:rsidR="00D557E3" w:rsidRPr="00155D6E" w:rsidRDefault="00D557E3" w:rsidP="00826CB8">
            <w:pPr>
              <w:snapToGrid w:val="0"/>
              <w:spacing w:beforeLines="50" w:before="120" w:line="480" w:lineRule="auto"/>
              <w:ind w:right="28"/>
              <w:rPr>
                <w:sz w:val="20"/>
                <w:lang w:val="en-GB" w:eastAsia="zh-CN"/>
              </w:rPr>
            </w:pPr>
            <w:r>
              <w:rPr>
                <w:rFonts w:hint="eastAsia"/>
                <w:sz w:val="20"/>
                <w:lang w:val="en-GB" w:eastAsia="zh-CN"/>
              </w:rPr>
              <w:t>Southern pine</w:t>
            </w:r>
          </w:p>
        </w:tc>
        <w:tc>
          <w:tcPr>
            <w:tcW w:w="1371" w:type="dxa"/>
            <w:vAlign w:val="center"/>
          </w:tcPr>
          <w:p w14:paraId="37B53FAF" w14:textId="77777777" w:rsidR="00D557E3" w:rsidRPr="00155D6E" w:rsidRDefault="00D557E3" w:rsidP="00826CB8">
            <w:pPr>
              <w:snapToGrid w:val="0"/>
              <w:spacing w:beforeLines="50" w:before="120" w:line="480" w:lineRule="auto"/>
              <w:ind w:right="28"/>
              <w:rPr>
                <w:sz w:val="20"/>
                <w:lang w:val="en-GB" w:eastAsia="zh-CN"/>
              </w:rPr>
            </w:pPr>
            <w:r>
              <w:rPr>
                <w:rFonts w:hint="eastAsia"/>
                <w:sz w:val="20"/>
                <w:lang w:val="en-GB" w:eastAsia="zh-CN"/>
              </w:rPr>
              <w:t>25/50/75</w:t>
            </w:r>
          </w:p>
        </w:tc>
        <w:tc>
          <w:tcPr>
            <w:tcW w:w="950" w:type="dxa"/>
            <w:vAlign w:val="center"/>
          </w:tcPr>
          <w:p w14:paraId="3F58ED46" w14:textId="77777777" w:rsidR="00D557E3" w:rsidRPr="00155D6E" w:rsidRDefault="00D557E3" w:rsidP="00826CB8">
            <w:pPr>
              <w:snapToGrid w:val="0"/>
              <w:spacing w:beforeLines="50" w:before="120" w:line="480" w:lineRule="auto"/>
              <w:ind w:right="28"/>
              <w:rPr>
                <w:sz w:val="20"/>
                <w:lang w:val="en-GB" w:eastAsia="zh-CN"/>
              </w:rPr>
            </w:pPr>
            <w:r>
              <w:rPr>
                <w:rFonts w:hint="eastAsia"/>
                <w:sz w:val="20"/>
                <w:lang w:val="en-GB" w:eastAsia="zh-CN"/>
              </w:rPr>
              <w:t>17</w:t>
            </w:r>
          </w:p>
        </w:tc>
        <w:tc>
          <w:tcPr>
            <w:tcW w:w="2343" w:type="dxa"/>
            <w:vAlign w:val="center"/>
          </w:tcPr>
          <w:p w14:paraId="519361F5" w14:textId="77777777" w:rsidR="00D557E3" w:rsidRPr="00155D6E" w:rsidRDefault="00D557E3" w:rsidP="00826CB8">
            <w:pPr>
              <w:snapToGrid w:val="0"/>
              <w:spacing w:beforeLines="50" w:before="120" w:line="480" w:lineRule="auto"/>
              <w:ind w:right="28"/>
              <w:rPr>
                <w:sz w:val="20"/>
                <w:lang w:val="en-GB" w:eastAsia="zh-CN"/>
              </w:rPr>
            </w:pPr>
            <w:r>
              <w:rPr>
                <w:rFonts w:hint="eastAsia"/>
                <w:sz w:val="20"/>
                <w:lang w:val="en-GB" w:eastAsia="zh-CN"/>
              </w:rPr>
              <w:t>420</w:t>
            </w:r>
          </w:p>
        </w:tc>
        <w:tc>
          <w:tcPr>
            <w:tcW w:w="1635" w:type="dxa"/>
            <w:vAlign w:val="center"/>
          </w:tcPr>
          <w:p w14:paraId="1E21D171" w14:textId="77777777" w:rsidR="00D557E3" w:rsidRPr="00155D6E" w:rsidRDefault="00D557E3" w:rsidP="00826CB8">
            <w:pPr>
              <w:snapToGrid w:val="0"/>
              <w:spacing w:beforeLines="50" w:before="120" w:line="480" w:lineRule="auto"/>
              <w:ind w:right="28"/>
              <w:rPr>
                <w:sz w:val="20"/>
                <w:lang w:val="en-GB" w:eastAsia="zh-CN"/>
              </w:rPr>
            </w:pPr>
            <w:r>
              <w:rPr>
                <w:rFonts w:hint="eastAsia"/>
                <w:sz w:val="20"/>
                <w:lang w:val="en-GB" w:eastAsia="zh-CN"/>
              </w:rPr>
              <w:t>225/29/8</w:t>
            </w:r>
          </w:p>
        </w:tc>
      </w:tr>
      <w:tr w:rsidR="00D557E3" w:rsidRPr="00155D6E" w14:paraId="0D0B6359" w14:textId="77777777" w:rsidTr="00826CB8">
        <w:trPr>
          <w:jc w:val="center"/>
        </w:trPr>
        <w:tc>
          <w:tcPr>
            <w:tcW w:w="1242" w:type="dxa"/>
            <w:vAlign w:val="center"/>
          </w:tcPr>
          <w:p w14:paraId="6CB37E38" w14:textId="243FD3C1" w:rsidR="00D557E3" w:rsidRPr="00155D6E" w:rsidRDefault="00D557E3" w:rsidP="00826CB8">
            <w:pPr>
              <w:snapToGrid w:val="0"/>
              <w:spacing w:beforeLines="50" w:before="120" w:line="480" w:lineRule="auto"/>
              <w:ind w:right="28"/>
              <w:rPr>
                <w:sz w:val="20"/>
                <w:lang w:eastAsia="zh-CN"/>
              </w:rPr>
            </w:pPr>
            <w:r w:rsidRPr="00155D6E">
              <w:rPr>
                <w:rFonts w:hint="eastAsia"/>
                <w:sz w:val="20"/>
                <w:lang w:eastAsia="zh-CN"/>
              </w:rPr>
              <w:t xml:space="preserve">Xu et al. (2015) </w:t>
            </w:r>
            <w:r w:rsidRPr="00155D6E">
              <w:rPr>
                <w:sz w:val="20"/>
                <w:lang w:eastAsia="zh-CN"/>
              </w:rPr>
              <w:fldChar w:fldCharType="begin" w:fldLock="1"/>
            </w:r>
            <w:r w:rsidR="006A1A14">
              <w:rPr>
                <w:sz w:val="20"/>
                <w:lang w:eastAsia="zh-CN"/>
              </w:rPr>
              <w:instrText>ADDIN CSL_CITATION {"citationItems":[{"id":"ITEM-1","itemData":{"DOI":"10.1016/j.conbuildmat.2015.08.062","ISSN":"09500618","abstract":"Abstract Cone calorimeter tests conducted at three levels of heat flux, 25, 50 and 75 kW/m&lt;sup&gt;2&lt;/sup&gt;, were employed to investigate the combustion and charring properties of five common constructional wood species: three softwood species: Douglas fir (Pseudotsuga menziesii), Scots Pine (Pinus sylvestris) and Southern pine (genus Pinus), and two hardwood species: Shorea (genus Dipterocarpaceae) and Merbau (Intsia bijuga). The ignitability and combustibility parameters of these five species were calculated and the time to ignition, heat release and mass loss rates, specific extinction area, effective heat of combustion, and CO and CO&lt;inf&gt;2&lt;/inf&gt; yield compared. The measured charring rates from the cone calorimeter tests were transformed to equivalent charring rates for standard furnace tests and compared with those promulgated by European and Australian standards. It is shown that transforming cone calorimeter data obtained under conditions of 50 kW/m&lt;sup&gt;2&lt;/sup&gt; and fire exposure greater than 30 min to equivalent furnace data using the concept of 'local fire intensity' resulted in relative good with standard-promulgated values for charring depths less than 30 mm. Merbau, having a density almost twice the other four species, demonstrated superior fire performance in all parameters considered. The other four species were essentially indistinguishable in terms of their overall performance. Finally, this study demonstrates the utility of the relatively inexpensive cone calorimeter test, for the rapid assessment of combustion and particularly charring performance of timber.","author":[{"dropping-particle":"","family":"Xu","given":"Qingfeng","non-dropping-particle":"","parse-names":false,"suffix":""},{"dropping-particle":"","family":"Chen","given":"Lingzhu","non-dropping-particle":"","parse-names":false,"suffix":""},{"dropping-particle":"","family":"Harries","given":"Kent A.","non-dropping-particle":"","parse-names":false,"suffix":""},{"dropping-particle":"","family":"Zhang","given":"Fuwen","non-dropping-particle":"","parse-names":false,"suffix":""},{"dropping-particle":"","family":"Liu","given":"Qiong","non-dropping-particle":"","parse-names":false,"suffix":""},{"dropping-particle":"","family":"Feng","given":"Jinghui","non-dropping-particle":"","parse-names":false,"suffix":""}],"container-title":"Construction and Building Materials","id":"ITEM-1","issued":{"date-parts":[["2015"]]},"page":"416-427","publisher":"Elsevier Ltd","title":"Combustion and charring properties of five common constructional wood species from cone calorimeter tests","type":"article-journal","volume":"96"},"uris":["http://www.mendeley.com/documents/?uuid=961ab639-167b-440b-8127-69bd9e5604cf","http://www.mendeley.com/documents/?uuid=91477d3c-2074-4852-bed5-8d9d9825339f","http://www.mendeley.com/documents/?uuid=72a53695-cb8a-4616-b118-2f4d852ed189"]}],"mendeley":{"formattedCitation":"[14]","plainTextFormattedCitation":"[14]","previouslyFormattedCitation":"[64]"},"properties":{"noteIndex":0},"schema":"https://github.com/citation-style-language/schema/raw/master/csl-citation.json"}</w:instrText>
            </w:r>
            <w:r w:rsidRPr="00155D6E">
              <w:rPr>
                <w:sz w:val="20"/>
                <w:lang w:eastAsia="zh-CN"/>
              </w:rPr>
              <w:fldChar w:fldCharType="separate"/>
            </w:r>
            <w:r w:rsidR="006A1A14" w:rsidRPr="006A1A14">
              <w:rPr>
                <w:noProof/>
                <w:sz w:val="20"/>
                <w:lang w:eastAsia="zh-CN"/>
              </w:rPr>
              <w:t>[14]</w:t>
            </w:r>
            <w:r w:rsidRPr="00155D6E">
              <w:rPr>
                <w:sz w:val="20"/>
                <w:lang w:eastAsia="zh-CN"/>
              </w:rPr>
              <w:fldChar w:fldCharType="end"/>
            </w:r>
          </w:p>
        </w:tc>
        <w:tc>
          <w:tcPr>
            <w:tcW w:w="1927" w:type="dxa"/>
            <w:vAlign w:val="center"/>
          </w:tcPr>
          <w:p w14:paraId="3CFE0A8D" w14:textId="77777777" w:rsidR="00D557E3" w:rsidRPr="00155D6E" w:rsidRDefault="00D557E3" w:rsidP="00826CB8">
            <w:pPr>
              <w:snapToGrid w:val="0"/>
              <w:spacing w:beforeLines="50" w:before="120" w:line="480" w:lineRule="auto"/>
              <w:ind w:right="28"/>
              <w:rPr>
                <w:sz w:val="20"/>
                <w:lang w:val="en-GB" w:eastAsia="zh-CN"/>
              </w:rPr>
            </w:pPr>
            <w:proofErr w:type="spellStart"/>
            <w:r>
              <w:rPr>
                <w:rFonts w:hint="eastAsia"/>
                <w:sz w:val="20"/>
                <w:lang w:val="en-GB" w:eastAsia="zh-CN"/>
              </w:rPr>
              <w:t>Shorea</w:t>
            </w:r>
            <w:proofErr w:type="spellEnd"/>
          </w:p>
        </w:tc>
        <w:tc>
          <w:tcPr>
            <w:tcW w:w="1371" w:type="dxa"/>
            <w:vAlign w:val="center"/>
          </w:tcPr>
          <w:p w14:paraId="78E7A5C0" w14:textId="77777777" w:rsidR="00D557E3" w:rsidRPr="00155D6E" w:rsidRDefault="00D557E3" w:rsidP="00826CB8">
            <w:pPr>
              <w:snapToGrid w:val="0"/>
              <w:spacing w:beforeLines="50" w:before="120" w:line="480" w:lineRule="auto"/>
              <w:ind w:right="28"/>
              <w:rPr>
                <w:sz w:val="20"/>
                <w:lang w:val="en-GB" w:eastAsia="zh-CN"/>
              </w:rPr>
            </w:pPr>
            <w:r>
              <w:rPr>
                <w:rFonts w:hint="eastAsia"/>
                <w:sz w:val="20"/>
                <w:lang w:val="en-GB" w:eastAsia="zh-CN"/>
              </w:rPr>
              <w:t>25/50/75</w:t>
            </w:r>
          </w:p>
        </w:tc>
        <w:tc>
          <w:tcPr>
            <w:tcW w:w="950" w:type="dxa"/>
            <w:vAlign w:val="center"/>
          </w:tcPr>
          <w:p w14:paraId="69CEB17B" w14:textId="77777777" w:rsidR="00D557E3" w:rsidRPr="00155D6E" w:rsidRDefault="00D557E3" w:rsidP="00826CB8">
            <w:pPr>
              <w:snapToGrid w:val="0"/>
              <w:spacing w:beforeLines="50" w:before="120" w:line="480" w:lineRule="auto"/>
              <w:ind w:right="28"/>
              <w:rPr>
                <w:sz w:val="20"/>
                <w:lang w:val="en-GB" w:eastAsia="zh-CN"/>
              </w:rPr>
            </w:pPr>
            <w:r>
              <w:rPr>
                <w:rFonts w:hint="eastAsia"/>
                <w:sz w:val="20"/>
                <w:lang w:val="en-GB" w:eastAsia="zh-CN"/>
              </w:rPr>
              <w:t>15.2</w:t>
            </w:r>
          </w:p>
        </w:tc>
        <w:tc>
          <w:tcPr>
            <w:tcW w:w="2343" w:type="dxa"/>
            <w:vAlign w:val="center"/>
          </w:tcPr>
          <w:p w14:paraId="397BA9E7" w14:textId="77777777" w:rsidR="00D557E3" w:rsidRPr="00155D6E" w:rsidRDefault="00D557E3" w:rsidP="00826CB8">
            <w:pPr>
              <w:snapToGrid w:val="0"/>
              <w:spacing w:beforeLines="50" w:before="120" w:line="480" w:lineRule="auto"/>
              <w:ind w:right="28"/>
              <w:rPr>
                <w:sz w:val="20"/>
                <w:lang w:val="en-GB" w:eastAsia="zh-CN"/>
              </w:rPr>
            </w:pPr>
            <w:r>
              <w:rPr>
                <w:rFonts w:hint="eastAsia"/>
                <w:sz w:val="20"/>
                <w:lang w:val="en-GB" w:eastAsia="zh-CN"/>
              </w:rPr>
              <w:t>420</w:t>
            </w:r>
          </w:p>
        </w:tc>
        <w:tc>
          <w:tcPr>
            <w:tcW w:w="1635" w:type="dxa"/>
            <w:vAlign w:val="center"/>
          </w:tcPr>
          <w:p w14:paraId="5831E42C" w14:textId="77777777" w:rsidR="00D557E3" w:rsidRPr="00155D6E" w:rsidRDefault="00D557E3" w:rsidP="00826CB8">
            <w:pPr>
              <w:snapToGrid w:val="0"/>
              <w:spacing w:beforeLines="50" w:before="120" w:line="480" w:lineRule="auto"/>
              <w:ind w:right="28"/>
              <w:rPr>
                <w:sz w:val="20"/>
                <w:lang w:val="en-GB" w:eastAsia="zh-CN"/>
              </w:rPr>
            </w:pPr>
            <w:r>
              <w:rPr>
                <w:rFonts w:hint="eastAsia"/>
                <w:sz w:val="20"/>
                <w:lang w:val="en-GB" w:eastAsia="zh-CN"/>
              </w:rPr>
              <w:t>120/13/5</w:t>
            </w:r>
          </w:p>
        </w:tc>
      </w:tr>
      <w:tr w:rsidR="00D557E3" w:rsidRPr="00155D6E" w14:paraId="2109286B" w14:textId="77777777" w:rsidTr="00826CB8">
        <w:trPr>
          <w:jc w:val="center"/>
        </w:trPr>
        <w:tc>
          <w:tcPr>
            <w:tcW w:w="1242" w:type="dxa"/>
            <w:vAlign w:val="center"/>
          </w:tcPr>
          <w:p w14:paraId="08EF0E60" w14:textId="42683430" w:rsidR="00D557E3" w:rsidRPr="00155D6E" w:rsidRDefault="00D557E3" w:rsidP="00826CB8">
            <w:pPr>
              <w:snapToGrid w:val="0"/>
              <w:spacing w:beforeLines="50" w:before="120" w:line="480" w:lineRule="auto"/>
              <w:ind w:right="28"/>
              <w:rPr>
                <w:sz w:val="20"/>
                <w:lang w:eastAsia="zh-CN"/>
              </w:rPr>
            </w:pPr>
            <w:r w:rsidRPr="00155D6E">
              <w:rPr>
                <w:rFonts w:hint="eastAsia"/>
                <w:sz w:val="20"/>
                <w:lang w:eastAsia="zh-CN"/>
              </w:rPr>
              <w:t xml:space="preserve">Xu et al. (2015) </w:t>
            </w:r>
            <w:r w:rsidRPr="00155D6E">
              <w:rPr>
                <w:sz w:val="20"/>
                <w:lang w:eastAsia="zh-CN"/>
              </w:rPr>
              <w:fldChar w:fldCharType="begin" w:fldLock="1"/>
            </w:r>
            <w:r w:rsidR="006A1A14">
              <w:rPr>
                <w:sz w:val="20"/>
                <w:lang w:eastAsia="zh-CN"/>
              </w:rPr>
              <w:instrText>ADDIN CSL_CITATION {"citationItems":[{"id":"ITEM-1","itemData":{"DOI":"10.1016/j.conbuildmat.2015.08.062","ISSN":"09500618","abstract":"Abstract Cone calorimeter tests conducted at three levels of heat flux, 25, 50 and 75 kW/m&lt;sup&gt;2&lt;/sup&gt;, were employed to investigate the combustion and charring properties of five common constructional wood species: three softwood species: Douglas fir (Pseudotsuga menziesii), Scots Pine (Pinus sylvestris) and Southern pine (genus Pinus), and two hardwood species: Shorea (genus Dipterocarpaceae) and Merbau (Intsia bijuga). The ignitability and combustibility parameters of these five species were calculated and the time to ignition, heat release and mass loss rates, specific extinction area, effective heat of combustion, and CO and CO&lt;inf&gt;2&lt;/inf&gt; yield compared. The measured charring rates from the cone calorimeter tests were transformed to equivalent charring rates for standard furnace tests and compared with those promulgated by European and Australian standards. It is shown that transforming cone calorimeter data obtained under conditions of 50 kW/m&lt;sup&gt;2&lt;/sup&gt; and fire exposure greater than 30 min to equivalent furnace data using the concept of 'local fire intensity' resulted in relative good with standard-promulgated values for charring depths less than 30 mm. Merbau, having a density almost twice the other four species, demonstrated superior fire performance in all parameters considered. The other four species were essentially indistinguishable in terms of their overall performance. Finally, this study demonstrates the utility of the relatively inexpensive cone calorimeter test, for the rapid assessment of combustion and particularly charring performance of timber.","author":[{"dropping-particle":"","family":"Xu","given":"Qingfeng","non-dropping-particle":"","parse-names":false,"suffix":""},{"dropping-particle":"","family":"Chen","given":"Lingzhu","non-dropping-particle":"","parse-names":false,"suffix":""},{"dropping-particle":"","family":"Harries","given":"Kent A.","non-dropping-particle":"","parse-names":false,"suffix":""},{"dropping-particle":"","family":"Zhang","given":"Fuwen","non-dropping-particle":"","parse-names":false,"suffix":""},{"dropping-particle":"","family":"Liu","given":"Qiong","non-dropping-particle":"","parse-names":false,"suffix":""},{"dropping-particle":"","family":"Feng","given":"Jinghui","non-dropping-particle":"","parse-names":false,"suffix":""}],"container-title":"Construction and Building Materials","id":"ITEM-1","issued":{"date-parts":[["2015"]]},"page":"416-427","publisher":"Elsevier Ltd","title":"Combustion and charring properties of five common constructional wood species from cone calorimeter tests","type":"article-journal","volume":"96"},"uris":["http://www.mendeley.com/documents/?uuid=961ab639-167b-440b-8127-69bd9e5604cf","http://www.mendeley.com/documents/?uuid=91477d3c-2074-4852-bed5-8d9d9825339f","http://www.mendeley.com/documents/?uuid=72a53695-cb8a-4616-b118-2f4d852ed189"]}],"mendeley":{"formattedCitation":"[14]","plainTextFormattedCitation":"[14]","previouslyFormattedCitation":"[64]"},"properties":{"noteIndex":0},"schema":"https://github.com/citation-style-language/schema/raw/master/csl-citation.json"}</w:instrText>
            </w:r>
            <w:r w:rsidRPr="00155D6E">
              <w:rPr>
                <w:sz w:val="20"/>
                <w:lang w:eastAsia="zh-CN"/>
              </w:rPr>
              <w:fldChar w:fldCharType="separate"/>
            </w:r>
            <w:r w:rsidR="006A1A14" w:rsidRPr="006A1A14">
              <w:rPr>
                <w:noProof/>
                <w:sz w:val="20"/>
                <w:lang w:eastAsia="zh-CN"/>
              </w:rPr>
              <w:t>[14]</w:t>
            </w:r>
            <w:r w:rsidRPr="00155D6E">
              <w:rPr>
                <w:sz w:val="20"/>
                <w:lang w:eastAsia="zh-CN"/>
              </w:rPr>
              <w:fldChar w:fldCharType="end"/>
            </w:r>
          </w:p>
        </w:tc>
        <w:tc>
          <w:tcPr>
            <w:tcW w:w="1927" w:type="dxa"/>
            <w:vAlign w:val="center"/>
          </w:tcPr>
          <w:p w14:paraId="56071F76" w14:textId="77777777" w:rsidR="00D557E3" w:rsidRPr="00155D6E" w:rsidRDefault="00D557E3" w:rsidP="00826CB8">
            <w:pPr>
              <w:snapToGrid w:val="0"/>
              <w:spacing w:beforeLines="50" w:before="120" w:line="480" w:lineRule="auto"/>
              <w:ind w:right="28"/>
              <w:rPr>
                <w:sz w:val="20"/>
                <w:lang w:val="en-GB" w:eastAsia="zh-CN"/>
              </w:rPr>
            </w:pPr>
            <w:r>
              <w:rPr>
                <w:rFonts w:hint="eastAsia"/>
                <w:sz w:val="20"/>
                <w:lang w:val="en-GB" w:eastAsia="zh-CN"/>
              </w:rPr>
              <w:t>Merbau</w:t>
            </w:r>
          </w:p>
        </w:tc>
        <w:tc>
          <w:tcPr>
            <w:tcW w:w="1371" w:type="dxa"/>
            <w:vAlign w:val="center"/>
          </w:tcPr>
          <w:p w14:paraId="6A4EE09C" w14:textId="77777777" w:rsidR="00D557E3" w:rsidRPr="00155D6E" w:rsidRDefault="00D557E3" w:rsidP="00826CB8">
            <w:pPr>
              <w:snapToGrid w:val="0"/>
              <w:spacing w:beforeLines="50" w:before="120" w:line="480" w:lineRule="auto"/>
              <w:ind w:right="28"/>
              <w:rPr>
                <w:sz w:val="20"/>
                <w:lang w:val="en-GB" w:eastAsia="zh-CN"/>
              </w:rPr>
            </w:pPr>
            <w:r>
              <w:rPr>
                <w:rFonts w:hint="eastAsia"/>
                <w:sz w:val="20"/>
                <w:lang w:val="en-GB" w:eastAsia="zh-CN"/>
              </w:rPr>
              <w:t>50/75</w:t>
            </w:r>
          </w:p>
        </w:tc>
        <w:tc>
          <w:tcPr>
            <w:tcW w:w="950" w:type="dxa"/>
            <w:vAlign w:val="center"/>
          </w:tcPr>
          <w:p w14:paraId="6F0BAC57" w14:textId="77777777" w:rsidR="00D557E3" w:rsidRPr="00155D6E" w:rsidRDefault="00D557E3" w:rsidP="00826CB8">
            <w:pPr>
              <w:snapToGrid w:val="0"/>
              <w:spacing w:beforeLines="50" w:before="120" w:line="480" w:lineRule="auto"/>
              <w:ind w:right="28"/>
              <w:rPr>
                <w:sz w:val="20"/>
                <w:lang w:val="en-GB" w:eastAsia="zh-CN"/>
              </w:rPr>
            </w:pPr>
            <w:r>
              <w:rPr>
                <w:rFonts w:hint="eastAsia"/>
                <w:sz w:val="20"/>
                <w:lang w:val="en-GB" w:eastAsia="zh-CN"/>
              </w:rPr>
              <w:t>19.5</w:t>
            </w:r>
          </w:p>
        </w:tc>
        <w:tc>
          <w:tcPr>
            <w:tcW w:w="2343" w:type="dxa"/>
            <w:vAlign w:val="center"/>
          </w:tcPr>
          <w:p w14:paraId="2DDF867C" w14:textId="77777777" w:rsidR="00D557E3" w:rsidRPr="00155D6E" w:rsidRDefault="00D557E3" w:rsidP="00826CB8">
            <w:pPr>
              <w:snapToGrid w:val="0"/>
              <w:spacing w:beforeLines="50" w:before="120" w:line="480" w:lineRule="auto"/>
              <w:ind w:right="28"/>
              <w:rPr>
                <w:sz w:val="20"/>
                <w:lang w:val="en-GB" w:eastAsia="zh-CN"/>
              </w:rPr>
            </w:pPr>
            <w:r>
              <w:rPr>
                <w:rFonts w:hint="eastAsia"/>
                <w:sz w:val="20"/>
                <w:lang w:val="en-GB" w:eastAsia="zh-CN"/>
              </w:rPr>
              <w:t>860</w:t>
            </w:r>
          </w:p>
        </w:tc>
        <w:tc>
          <w:tcPr>
            <w:tcW w:w="1635" w:type="dxa"/>
            <w:vAlign w:val="center"/>
          </w:tcPr>
          <w:p w14:paraId="733706B4" w14:textId="77777777" w:rsidR="00D557E3" w:rsidRPr="00155D6E" w:rsidRDefault="00D557E3" w:rsidP="00826CB8">
            <w:pPr>
              <w:snapToGrid w:val="0"/>
              <w:spacing w:beforeLines="50" w:before="120" w:line="480" w:lineRule="auto"/>
              <w:ind w:right="28"/>
              <w:rPr>
                <w:sz w:val="20"/>
                <w:lang w:val="en-GB" w:eastAsia="zh-CN"/>
              </w:rPr>
            </w:pPr>
            <w:r>
              <w:rPr>
                <w:rFonts w:hint="eastAsia"/>
                <w:sz w:val="20"/>
                <w:lang w:val="en-GB" w:eastAsia="zh-CN"/>
              </w:rPr>
              <w:t>148/29</w:t>
            </w:r>
          </w:p>
        </w:tc>
      </w:tr>
      <w:tr w:rsidR="00D557E3" w:rsidRPr="00155D6E" w14:paraId="43FFF213" w14:textId="77777777" w:rsidTr="00826CB8">
        <w:trPr>
          <w:jc w:val="center"/>
        </w:trPr>
        <w:tc>
          <w:tcPr>
            <w:tcW w:w="1242" w:type="dxa"/>
            <w:vAlign w:val="center"/>
          </w:tcPr>
          <w:p w14:paraId="7760629D" w14:textId="36165E27" w:rsidR="00D557E3" w:rsidRPr="00155D6E" w:rsidRDefault="00D557E3" w:rsidP="00826CB8">
            <w:pPr>
              <w:snapToGrid w:val="0"/>
              <w:spacing w:beforeLines="50" w:before="120" w:line="480" w:lineRule="auto"/>
              <w:ind w:right="28"/>
              <w:rPr>
                <w:sz w:val="20"/>
                <w:lang w:eastAsia="zh-CN"/>
              </w:rPr>
            </w:pPr>
            <w:r>
              <w:rPr>
                <w:rFonts w:hint="eastAsia"/>
                <w:sz w:val="20"/>
                <w:lang w:eastAsia="zh-CN"/>
              </w:rPr>
              <w:t xml:space="preserve">Mindykowski et al. (2019) </w:t>
            </w:r>
            <w:r>
              <w:rPr>
                <w:sz w:val="20"/>
                <w:lang w:eastAsia="zh-CN"/>
              </w:rPr>
              <w:fldChar w:fldCharType="begin" w:fldLock="1"/>
            </w:r>
            <w:r w:rsidR="006A1A14">
              <w:rPr>
                <w:sz w:val="20"/>
                <w:lang w:eastAsia="zh-CN"/>
              </w:rPr>
              <w:instrText>ADDIN CSL_CITATION {"citationItems":[{"id":"ITEM-1","itemData":{"DOI":"10.1016/j.firesaf.2018.08.001","ISSN":"03797112","abstract":"A combination of cone heater experiments and asymptotic analysis was used to determine the moisture content of Nordic spruce with varying degree of drying. The fuel moisture content was measured by weighing the specimens before and after a drying procedure in an oven. A high-flux asymptotic solution from an integral model established that the ignition temperature from the experiments (directly linked to the intercept heat flux) was constant for both the dry and the moist wood. As a result, one simple equation was developed that can be used to determine the time to ignition for a piece of wet spruce from the time to ignition of dry wood. This simple correlation, combined with models giving the fuel moisture content of wood from humidity and temperature of air surrounding, can be used as an engineering equation for monitoring the ignition propensity of timber.","author":[{"dropping-particle":"","family":"Mindykowski","given":"P.","non-dropping-particle":"","parse-names":false,"suffix":""},{"dropping-particle":"","family":"Jørgensen","given":"M.","non-dropping-particle":"","parse-names":false,"suffix":""},{"dropping-particle":"","family":"Svensson","given":"S.","non-dropping-particle":"","parse-names":false,"suffix":""},{"dropping-particle":"","family":"Jomaas","given":"G.","non-dropping-particle":"","parse-names":false,"suffix":""}],"container-title":"Fire Safety Journal","id":"ITEM-1","issue":"April 2017","issued":{"date-parts":[["2019"]]},"page":"186-192","publisher":"Elsevier Ltd","title":"A simple correlation for monitoring the ignition propensity of wet nordic spruce wood","type":"article-journal","volume":"107"},"uris":["http://www.mendeley.com/documents/?uuid=a77f6329-8cf9-49b6-a4df-1b42358df627","http://www.mendeley.com/documents/?uuid=ae645878-4da6-4fdf-b7e0-265f2a501b13","http://www.mendeley.com/documents/?uuid=13dd7226-24e1-4fa2-8fc1-46d4ad7623ec"]}],"mendeley":{"formattedCitation":"[15]","plainTextFormattedCitation":"[15]","previouslyFormattedCitation":"[65]"},"properties":{"noteIndex":0},"schema":"https://github.com/citation-style-language/schema/raw/master/csl-citation.json"}</w:instrText>
            </w:r>
            <w:r>
              <w:rPr>
                <w:sz w:val="20"/>
                <w:lang w:eastAsia="zh-CN"/>
              </w:rPr>
              <w:fldChar w:fldCharType="separate"/>
            </w:r>
            <w:r w:rsidR="006A1A14" w:rsidRPr="006A1A14">
              <w:rPr>
                <w:noProof/>
                <w:sz w:val="20"/>
                <w:lang w:eastAsia="zh-CN"/>
              </w:rPr>
              <w:t>[15]</w:t>
            </w:r>
            <w:r>
              <w:rPr>
                <w:sz w:val="20"/>
                <w:lang w:eastAsia="zh-CN"/>
              </w:rPr>
              <w:fldChar w:fldCharType="end"/>
            </w:r>
          </w:p>
        </w:tc>
        <w:tc>
          <w:tcPr>
            <w:tcW w:w="1927" w:type="dxa"/>
            <w:vAlign w:val="center"/>
          </w:tcPr>
          <w:p w14:paraId="47B427C2"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Nordic spruce</w:t>
            </w:r>
          </w:p>
        </w:tc>
        <w:tc>
          <w:tcPr>
            <w:tcW w:w="1371" w:type="dxa"/>
            <w:vAlign w:val="center"/>
          </w:tcPr>
          <w:p w14:paraId="656607BB"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12.5/15/20/25/30/35</w:t>
            </w:r>
          </w:p>
        </w:tc>
        <w:tc>
          <w:tcPr>
            <w:tcW w:w="950" w:type="dxa"/>
            <w:vAlign w:val="center"/>
          </w:tcPr>
          <w:p w14:paraId="16436B00"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12</w:t>
            </w:r>
          </w:p>
        </w:tc>
        <w:tc>
          <w:tcPr>
            <w:tcW w:w="2343" w:type="dxa"/>
            <w:vAlign w:val="center"/>
          </w:tcPr>
          <w:p w14:paraId="336C9F37"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517</w:t>
            </w:r>
          </w:p>
        </w:tc>
        <w:tc>
          <w:tcPr>
            <w:tcW w:w="1635" w:type="dxa"/>
            <w:vAlign w:val="center"/>
          </w:tcPr>
          <w:p w14:paraId="6924CE01"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1588/804/217/89/53/39</w:t>
            </w:r>
          </w:p>
        </w:tc>
      </w:tr>
      <w:tr w:rsidR="00D557E3" w:rsidRPr="00155D6E" w14:paraId="61D3D2CE" w14:textId="77777777" w:rsidTr="00826CB8">
        <w:trPr>
          <w:jc w:val="center"/>
        </w:trPr>
        <w:tc>
          <w:tcPr>
            <w:tcW w:w="1242" w:type="dxa"/>
            <w:vAlign w:val="center"/>
          </w:tcPr>
          <w:p w14:paraId="4CF6AA74" w14:textId="0712BC2F" w:rsidR="00D557E3" w:rsidRPr="00155D6E" w:rsidRDefault="00D557E3" w:rsidP="00826CB8">
            <w:pPr>
              <w:snapToGrid w:val="0"/>
              <w:spacing w:beforeLines="50" w:before="120" w:line="480" w:lineRule="auto"/>
              <w:ind w:right="28"/>
              <w:rPr>
                <w:sz w:val="20"/>
                <w:lang w:eastAsia="zh-CN"/>
              </w:rPr>
            </w:pPr>
            <w:r>
              <w:rPr>
                <w:rFonts w:hint="eastAsia"/>
                <w:sz w:val="20"/>
                <w:lang w:eastAsia="zh-CN"/>
              </w:rPr>
              <w:t xml:space="preserve">Mindykowski et al. (2019) </w:t>
            </w:r>
            <w:r>
              <w:rPr>
                <w:sz w:val="20"/>
                <w:lang w:eastAsia="zh-CN"/>
              </w:rPr>
              <w:fldChar w:fldCharType="begin" w:fldLock="1"/>
            </w:r>
            <w:r w:rsidR="006A1A14">
              <w:rPr>
                <w:sz w:val="20"/>
                <w:lang w:eastAsia="zh-CN"/>
              </w:rPr>
              <w:instrText>ADDIN CSL_CITATION {"citationItems":[{"id":"ITEM-1","itemData":{"DOI":"10.1016/j.firesaf.2018.08.001","ISSN":"03797112","abstract":"A combination of cone heater experiments and asymptotic analysis was used to determine the moisture content of Nordic spruce with varying degree of drying. The fuel moisture content was measured by weighing the specimens before and after a drying procedure in an oven. A high-flux asymptotic solution from an integral model established that the ignition temperature from the experiments (directly linked to the intercept heat flux) was constant for both the dry and the moist wood. As a result, one simple equation was developed that can be used to determine the time to ignition for a piece of wet spruce from the time to ignition of dry wood. This simple correlation, combined with models giving the fuel moisture content of wood from humidity and temperature of air surrounding, can be used as an engineering equation for monitoring the ignition propensity of timber.","author":[{"dropping-particle":"","family":"Mindykowski","given":"P.","non-dropping-particle":"","parse-names":false,"suffix":""},{"dropping-particle":"","family":"Jørgensen","given":"M.","non-dropping-particle":"","parse-names":false,"suffix":""},{"dropping-particle":"","family":"Svensson","given":"S.","non-dropping-particle":"","parse-names":false,"suffix":""},{"dropping-particle":"","family":"Jomaas","given":"G.","non-dropping-particle":"","parse-names":false,"suffix":""}],"container-title":"Fire Safety Journal","id":"ITEM-1","issue":"April 2017","issued":{"date-parts":[["2019"]]},"page":"186-192","publisher":"Elsevier Ltd","title":"A simple correlation for monitoring the ignition propensity of wet nordic spruce wood","type":"article-journal","volume":"107"},"uris":["http://www.mendeley.com/documents/?uuid=13dd7226-24e1-4fa2-8fc1-46d4ad7623ec","http://www.mendeley.com/documents/?uuid=ae645878-4da6-4fdf-b7e0-265f2a501b13","http://www.mendeley.com/documents/?uuid=a77f6329-8cf9-49b6-a4df-1b42358df627"]}],"mendeley":{"formattedCitation":"[15]","plainTextFormattedCitation":"[15]","previouslyFormattedCitation":"[65]"},"properties":{"noteIndex":0},"schema":"https://github.com/citation-style-language/schema/raw/master/csl-citation.json"}</w:instrText>
            </w:r>
            <w:r>
              <w:rPr>
                <w:sz w:val="20"/>
                <w:lang w:eastAsia="zh-CN"/>
              </w:rPr>
              <w:fldChar w:fldCharType="separate"/>
            </w:r>
            <w:r w:rsidR="006A1A14" w:rsidRPr="006A1A14">
              <w:rPr>
                <w:noProof/>
                <w:sz w:val="20"/>
                <w:lang w:eastAsia="zh-CN"/>
              </w:rPr>
              <w:t>[15]</w:t>
            </w:r>
            <w:r>
              <w:rPr>
                <w:sz w:val="20"/>
                <w:lang w:eastAsia="zh-CN"/>
              </w:rPr>
              <w:fldChar w:fldCharType="end"/>
            </w:r>
          </w:p>
        </w:tc>
        <w:tc>
          <w:tcPr>
            <w:tcW w:w="1927" w:type="dxa"/>
            <w:vAlign w:val="center"/>
          </w:tcPr>
          <w:p w14:paraId="2DF5FF08"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Nordic spruce</w:t>
            </w:r>
          </w:p>
        </w:tc>
        <w:tc>
          <w:tcPr>
            <w:tcW w:w="1371" w:type="dxa"/>
            <w:vAlign w:val="center"/>
          </w:tcPr>
          <w:p w14:paraId="5145960B"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12.5/15/20/25/30/35</w:t>
            </w:r>
          </w:p>
        </w:tc>
        <w:tc>
          <w:tcPr>
            <w:tcW w:w="950" w:type="dxa"/>
            <w:vAlign w:val="center"/>
          </w:tcPr>
          <w:p w14:paraId="759A106A"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0</w:t>
            </w:r>
          </w:p>
        </w:tc>
        <w:tc>
          <w:tcPr>
            <w:tcW w:w="2343" w:type="dxa"/>
            <w:vAlign w:val="center"/>
          </w:tcPr>
          <w:p w14:paraId="3274AC58"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437</w:t>
            </w:r>
          </w:p>
        </w:tc>
        <w:tc>
          <w:tcPr>
            <w:tcW w:w="1635" w:type="dxa"/>
            <w:vAlign w:val="center"/>
          </w:tcPr>
          <w:p w14:paraId="41046CEF"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995/618/135/57/41/22</w:t>
            </w:r>
          </w:p>
        </w:tc>
      </w:tr>
      <w:tr w:rsidR="00D557E3" w:rsidRPr="00155D6E" w14:paraId="7CD64261" w14:textId="77777777" w:rsidTr="00826CB8">
        <w:trPr>
          <w:jc w:val="center"/>
        </w:trPr>
        <w:tc>
          <w:tcPr>
            <w:tcW w:w="1242" w:type="dxa"/>
            <w:vAlign w:val="center"/>
          </w:tcPr>
          <w:p w14:paraId="164B1BB4" w14:textId="5E3FA59C" w:rsidR="00D557E3" w:rsidRPr="00155D6E" w:rsidRDefault="00D557E3" w:rsidP="00826CB8">
            <w:pPr>
              <w:snapToGrid w:val="0"/>
              <w:spacing w:beforeLines="50" w:before="120" w:line="480" w:lineRule="auto"/>
              <w:ind w:right="28"/>
              <w:rPr>
                <w:sz w:val="20"/>
                <w:lang w:eastAsia="zh-CN"/>
              </w:rPr>
            </w:pPr>
            <w:r>
              <w:rPr>
                <w:rFonts w:hint="eastAsia"/>
                <w:sz w:val="20"/>
                <w:lang w:eastAsia="zh-CN"/>
              </w:rPr>
              <w:t xml:space="preserve">Haurie et al. (2019) </w:t>
            </w:r>
            <w:r>
              <w:rPr>
                <w:sz w:val="20"/>
                <w:lang w:eastAsia="zh-CN"/>
              </w:rPr>
              <w:fldChar w:fldCharType="begin" w:fldLock="1"/>
            </w:r>
            <w:r w:rsidR="006A1A14">
              <w:rPr>
                <w:sz w:val="20"/>
                <w:lang w:eastAsia="zh-CN"/>
              </w:rPr>
              <w:instrText>ADDIN CSL_CITATION {"citationItems":[{"id":"ITEM-1","itemData":{"DOI":"10.1016/j.firesaf.2018.08.002","ISSN":"03797112","abstract":"Wood is a widely used material in the construction sector, both in structural and non-structural applications. Tropical species are appreciated for their high quality and durability in furniture, outdoor and indoor claddings and floors. However, limited information exists about fire reaction of tropical wood. Density is one of the factors that influence the rate of pyrolysis reactions and consequently the charring rate. However, other wood characteristics such as the mineral content also exert an influence on the pyrolysis combustion of wood. Hardwoods present a complex morphological structure and a significant amount of minerals, extracts and exudates. In this work, we study the fire reaction of seven species of tropical hardwood using various fire tests. Results are compared from one test to other one and are discussed in relation with physicochemical properties of wood species. The results show that although there is some correlation between high density and ignition time, parameters such as morphology and mineral content are also relevant.","author":[{"dropping-particle":"","family":"Haurie","given":"Laia","non-dropping-particle":"","parse-names":false,"suffix":""},{"dropping-particle":"","family":"Giraldo","given":"María Pilar","non-dropping-particle":"","parse-names":false,"suffix":""},{"dropping-particle":"","family":"Lacasta","given":"Ana María","non-dropping-particle":"","parse-names":false,"suffix":""},{"dropping-particle":"","family":"Montón","given":"Joaquín","non-dropping-particle":"","parse-names":false,"suffix":""},{"dropping-particle":"","family":"Sonnier","given":"Rodolphe","non-dropping-particle":"","parse-names":false,"suffix":""}],"container-title":"Fire Safety Journal","id":"ITEM-1","issue":"April 2017","issued":{"date-parts":[["2019"]]},"page":"193-201","title":"Influence of different parameters in the fire behaviour of seven hardwood species","type":"article-journal","volume":"107"},"uris":["http://www.mendeley.com/documents/?uuid=1121530b-78ca-424a-8531-c21b62f6953d","http://www.mendeley.com/documents/?uuid=66e0a015-9956-436c-a163-1ccdff4b6185","http://www.mendeley.com/documents/?uuid=26d6b9a5-4633-45c7-87ad-2ec36b4ddec7"]}],"mendeley":{"formattedCitation":"[16]","plainTextFormattedCitation":"[16]","previouslyFormattedCitation":"[66]"},"properties":{"noteIndex":0},"schema":"https://github.com/citation-style-language/schema/raw/master/csl-citation.json"}</w:instrText>
            </w:r>
            <w:r>
              <w:rPr>
                <w:sz w:val="20"/>
                <w:lang w:eastAsia="zh-CN"/>
              </w:rPr>
              <w:fldChar w:fldCharType="separate"/>
            </w:r>
            <w:r w:rsidR="006A1A14" w:rsidRPr="006A1A14">
              <w:rPr>
                <w:noProof/>
                <w:sz w:val="20"/>
                <w:lang w:eastAsia="zh-CN"/>
              </w:rPr>
              <w:t>[16]</w:t>
            </w:r>
            <w:r>
              <w:rPr>
                <w:sz w:val="20"/>
                <w:lang w:eastAsia="zh-CN"/>
              </w:rPr>
              <w:fldChar w:fldCharType="end"/>
            </w:r>
          </w:p>
        </w:tc>
        <w:tc>
          <w:tcPr>
            <w:tcW w:w="1927" w:type="dxa"/>
            <w:vAlign w:val="center"/>
          </w:tcPr>
          <w:p w14:paraId="5A728D53" w14:textId="77777777" w:rsidR="00D557E3" w:rsidRDefault="00D557E3" w:rsidP="00826CB8">
            <w:pPr>
              <w:snapToGrid w:val="0"/>
              <w:spacing w:beforeLines="50" w:before="120" w:line="480" w:lineRule="auto"/>
              <w:ind w:right="28"/>
              <w:rPr>
                <w:sz w:val="20"/>
                <w:lang w:val="en-GB" w:eastAsia="zh-CN"/>
              </w:rPr>
            </w:pPr>
            <w:r w:rsidRPr="00207841">
              <w:rPr>
                <w:sz w:val="20"/>
                <w:lang w:val="en-GB" w:eastAsia="zh-CN"/>
              </w:rPr>
              <w:t xml:space="preserve">Tabebuia </w:t>
            </w:r>
            <w:proofErr w:type="spellStart"/>
            <w:r w:rsidRPr="00207841">
              <w:rPr>
                <w:sz w:val="20"/>
                <w:lang w:val="en-GB" w:eastAsia="zh-CN"/>
              </w:rPr>
              <w:t>donnell</w:t>
            </w:r>
            <w:proofErr w:type="spellEnd"/>
            <w:r w:rsidRPr="00207841">
              <w:rPr>
                <w:sz w:val="20"/>
                <w:lang w:val="en-GB" w:eastAsia="zh-CN"/>
              </w:rPr>
              <w:t>-smithii</w:t>
            </w:r>
          </w:p>
        </w:tc>
        <w:tc>
          <w:tcPr>
            <w:tcW w:w="1371" w:type="dxa"/>
            <w:vAlign w:val="center"/>
          </w:tcPr>
          <w:p w14:paraId="77A4872F"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35</w:t>
            </w:r>
          </w:p>
        </w:tc>
        <w:tc>
          <w:tcPr>
            <w:tcW w:w="950" w:type="dxa"/>
            <w:vAlign w:val="center"/>
          </w:tcPr>
          <w:p w14:paraId="7DE314B3"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8.9</w:t>
            </w:r>
          </w:p>
        </w:tc>
        <w:tc>
          <w:tcPr>
            <w:tcW w:w="2343" w:type="dxa"/>
            <w:vAlign w:val="center"/>
          </w:tcPr>
          <w:p w14:paraId="0B9E1656"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448</w:t>
            </w:r>
          </w:p>
        </w:tc>
        <w:tc>
          <w:tcPr>
            <w:tcW w:w="1635" w:type="dxa"/>
            <w:vAlign w:val="center"/>
          </w:tcPr>
          <w:p w14:paraId="4ACB85BB"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37</w:t>
            </w:r>
          </w:p>
        </w:tc>
      </w:tr>
      <w:tr w:rsidR="00D557E3" w:rsidRPr="00155D6E" w14:paraId="71183397" w14:textId="77777777" w:rsidTr="00826CB8">
        <w:trPr>
          <w:jc w:val="center"/>
        </w:trPr>
        <w:tc>
          <w:tcPr>
            <w:tcW w:w="1242" w:type="dxa"/>
            <w:vAlign w:val="center"/>
          </w:tcPr>
          <w:p w14:paraId="42BD6F36" w14:textId="626E1831" w:rsidR="00D557E3" w:rsidRPr="00155D6E" w:rsidRDefault="00D557E3" w:rsidP="00826CB8">
            <w:pPr>
              <w:snapToGrid w:val="0"/>
              <w:spacing w:beforeLines="50" w:before="120" w:line="480" w:lineRule="auto"/>
              <w:ind w:right="28"/>
              <w:rPr>
                <w:sz w:val="20"/>
                <w:lang w:eastAsia="zh-CN"/>
              </w:rPr>
            </w:pPr>
            <w:r>
              <w:rPr>
                <w:rFonts w:hint="eastAsia"/>
                <w:sz w:val="20"/>
                <w:lang w:eastAsia="zh-CN"/>
              </w:rPr>
              <w:t xml:space="preserve">Haurie et al. (2019) </w:t>
            </w:r>
            <w:r>
              <w:rPr>
                <w:sz w:val="20"/>
                <w:lang w:eastAsia="zh-CN"/>
              </w:rPr>
              <w:fldChar w:fldCharType="begin" w:fldLock="1"/>
            </w:r>
            <w:r w:rsidR="006A1A14">
              <w:rPr>
                <w:sz w:val="20"/>
                <w:lang w:eastAsia="zh-CN"/>
              </w:rPr>
              <w:instrText>ADDIN CSL_CITATION {"citationItems":[{"id":"ITEM-1","itemData":{"DOI":"10.1016/j.firesaf.2018.08.002","ISSN":"03797112","abstract":"Wood is a widely used material in the construction sector, both in structural and non-structural applications. Tropical species are appreciated for their high quality and durability in furniture, outdoor and indoor claddings and floors. However, limited information exists about fire reaction of tropical wood. Density is one of the factors that influence the rate of pyrolysis reactions and consequently the charring rate. However, other wood characteristics such as the mineral content also exert an influence on the pyrolysis combustion of wood. Hardwoods present a complex morphological structure and a significant amount of minerals, extracts and exudates. In this work, we study the fire reaction of seven species of tropical hardwood using various fire tests. Results are compared from one test to other one and are discussed in relation with physicochemical properties of wood species. The results show that although there is some correlation between high density and ignition time, parameters such as morphology and mineral content are also relevant.","author":[{"dropping-particle":"","family":"Haurie","given":"Laia","non-dropping-particle":"","parse-names":false,"suffix":""},{"dropping-particle":"","family":"Giraldo","given":"María Pilar","non-dropping-particle":"","parse-names":false,"suffix":""},{"dropping-particle":"","family":"Lacasta","given":"Ana María","non-dropping-particle":"","parse-names":false,"suffix":""},{"dropping-particle":"","family":"Montón","given":"Joaquín","non-dropping-particle":"","parse-names":false,"suffix":""},{"dropping-particle":"","family":"Sonnier","given":"Rodolphe","non-dropping-particle":"","parse-names":false,"suffix":""}],"container-title":"Fire Safety Journal","id":"ITEM-1","issue":"April 2017","issued":{"date-parts":[["2019"]]},"page":"193-201","title":"Influence of different parameters in the fire behaviour of seven hardwood species","type":"article-journal","volume":"107"},"uris":["http://www.mendeley.com/documents/?uuid=26d6b9a5-4633-45c7-87ad-2ec36b4ddec7","http://www.mendeley.com/documents/?uuid=66e0a015-9956-436c-a163-1ccdff4b6185","http://www.mendeley.com/documents/?uuid=1121530b-78ca-424a-8531-c21b62f6953d"]}],"mendeley":{"formattedCitation":"[16]","plainTextFormattedCitation":"[16]","previouslyFormattedCitation":"[66]"},"properties":{"noteIndex":0},"schema":"https://github.com/citation-style-language/schema/raw/master/csl-citation.json"}</w:instrText>
            </w:r>
            <w:r>
              <w:rPr>
                <w:sz w:val="20"/>
                <w:lang w:eastAsia="zh-CN"/>
              </w:rPr>
              <w:fldChar w:fldCharType="separate"/>
            </w:r>
            <w:r w:rsidR="006A1A14" w:rsidRPr="006A1A14">
              <w:rPr>
                <w:noProof/>
                <w:sz w:val="20"/>
                <w:lang w:eastAsia="zh-CN"/>
              </w:rPr>
              <w:t>[16]</w:t>
            </w:r>
            <w:r>
              <w:rPr>
                <w:sz w:val="20"/>
                <w:lang w:eastAsia="zh-CN"/>
              </w:rPr>
              <w:fldChar w:fldCharType="end"/>
            </w:r>
          </w:p>
        </w:tc>
        <w:tc>
          <w:tcPr>
            <w:tcW w:w="1927" w:type="dxa"/>
            <w:vAlign w:val="center"/>
          </w:tcPr>
          <w:p w14:paraId="78603AB6" w14:textId="77777777" w:rsidR="00D557E3" w:rsidRPr="00450A6E" w:rsidRDefault="00D557E3" w:rsidP="00826CB8">
            <w:pPr>
              <w:snapToGrid w:val="0"/>
              <w:spacing w:beforeLines="50" w:before="120" w:line="480" w:lineRule="auto"/>
              <w:ind w:right="28"/>
              <w:rPr>
                <w:sz w:val="20"/>
                <w:lang w:val="en-GB" w:eastAsia="zh-CN"/>
              </w:rPr>
            </w:pPr>
            <w:proofErr w:type="spellStart"/>
            <w:r w:rsidRPr="00450A6E">
              <w:rPr>
                <w:sz w:val="20"/>
                <w:lang w:val="en-GB" w:eastAsia="zh-CN"/>
              </w:rPr>
              <w:t>Enterolobium</w:t>
            </w:r>
            <w:proofErr w:type="spellEnd"/>
            <w:r w:rsidRPr="00450A6E">
              <w:rPr>
                <w:sz w:val="20"/>
                <w:lang w:val="en-GB" w:eastAsia="zh-CN"/>
              </w:rPr>
              <w:t xml:space="preserve"> </w:t>
            </w:r>
            <w:proofErr w:type="spellStart"/>
            <w:r w:rsidRPr="00450A6E">
              <w:rPr>
                <w:sz w:val="20"/>
                <w:lang w:val="en-GB" w:eastAsia="zh-CN"/>
              </w:rPr>
              <w:t>cyclocarpum</w:t>
            </w:r>
            <w:proofErr w:type="spellEnd"/>
          </w:p>
          <w:p w14:paraId="1EB95EFE" w14:textId="77777777" w:rsidR="00D557E3" w:rsidRDefault="00D557E3" w:rsidP="00826CB8">
            <w:pPr>
              <w:snapToGrid w:val="0"/>
              <w:spacing w:beforeLines="50" w:before="120" w:line="480" w:lineRule="auto"/>
              <w:ind w:right="28"/>
              <w:rPr>
                <w:sz w:val="20"/>
                <w:lang w:val="en-GB" w:eastAsia="zh-CN"/>
              </w:rPr>
            </w:pPr>
          </w:p>
        </w:tc>
        <w:tc>
          <w:tcPr>
            <w:tcW w:w="1371" w:type="dxa"/>
            <w:vAlign w:val="center"/>
          </w:tcPr>
          <w:p w14:paraId="487DE7F3"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35</w:t>
            </w:r>
          </w:p>
        </w:tc>
        <w:tc>
          <w:tcPr>
            <w:tcW w:w="950" w:type="dxa"/>
            <w:vAlign w:val="center"/>
          </w:tcPr>
          <w:p w14:paraId="21383F87"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8.9</w:t>
            </w:r>
          </w:p>
        </w:tc>
        <w:tc>
          <w:tcPr>
            <w:tcW w:w="2343" w:type="dxa"/>
            <w:vAlign w:val="center"/>
          </w:tcPr>
          <w:p w14:paraId="05E9E740"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504</w:t>
            </w:r>
          </w:p>
        </w:tc>
        <w:tc>
          <w:tcPr>
            <w:tcW w:w="1635" w:type="dxa"/>
            <w:vAlign w:val="center"/>
          </w:tcPr>
          <w:p w14:paraId="7959477B"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35</w:t>
            </w:r>
          </w:p>
        </w:tc>
      </w:tr>
      <w:tr w:rsidR="00D557E3" w:rsidRPr="00155D6E" w14:paraId="103E9FB3" w14:textId="77777777" w:rsidTr="00826CB8">
        <w:trPr>
          <w:jc w:val="center"/>
        </w:trPr>
        <w:tc>
          <w:tcPr>
            <w:tcW w:w="1242" w:type="dxa"/>
            <w:vAlign w:val="center"/>
          </w:tcPr>
          <w:p w14:paraId="48801613" w14:textId="409777F9" w:rsidR="00D557E3" w:rsidRPr="00155D6E" w:rsidRDefault="00D557E3" w:rsidP="00826CB8">
            <w:pPr>
              <w:snapToGrid w:val="0"/>
              <w:spacing w:beforeLines="50" w:before="120" w:line="480" w:lineRule="auto"/>
              <w:ind w:right="28"/>
              <w:rPr>
                <w:sz w:val="20"/>
                <w:lang w:eastAsia="zh-CN"/>
              </w:rPr>
            </w:pPr>
            <w:r>
              <w:rPr>
                <w:rFonts w:hint="eastAsia"/>
                <w:sz w:val="20"/>
                <w:lang w:eastAsia="zh-CN"/>
              </w:rPr>
              <w:t xml:space="preserve">Haurie et al. (2019) </w:t>
            </w:r>
            <w:r>
              <w:rPr>
                <w:sz w:val="20"/>
                <w:lang w:eastAsia="zh-CN"/>
              </w:rPr>
              <w:fldChar w:fldCharType="begin" w:fldLock="1"/>
            </w:r>
            <w:r w:rsidR="006A1A14">
              <w:rPr>
                <w:sz w:val="20"/>
                <w:lang w:eastAsia="zh-CN"/>
              </w:rPr>
              <w:instrText>ADDIN CSL_CITATION {"citationItems":[{"id":"ITEM-1","itemData":{"DOI":"10.1016/j.firesaf.2018.08.002","ISSN":"03797112","abstract":"Wood is a widely used material in the construction sector, both in structural and non-structural applications. Tropical species are appreciated for their high quality and durability in furniture, outdoor and indoor claddings and floors. However, limited information exists about fire reaction of tropical wood. Density is one of the factors that influence the rate of pyrolysis reactions and consequently the charring rate. However, other wood characteristics such as the mineral content also exert an influence on the pyrolysis combustion of wood. Hardwoods present a complex morphological structure and a significant amount of minerals, extracts and exudates. In this work, we study the fire reaction of seven species of tropical hardwood using various fire tests. Results are compared from one test to other one and are discussed in relation with physicochemical properties of wood species. The results show that although there is some correlation between high density and ignition time, parameters such as morphology and mineral content are also relevant.","author":[{"dropping-particle":"","family":"Haurie","given":"Laia","non-dropping-particle":"","parse-names":false,"suffix":""},{"dropping-particle":"","family":"Giraldo","given":"María Pilar","non-dropping-particle":"","parse-names":false,"suffix":""},{"dropping-particle":"","family":"Lacasta","given":"Ana María","non-dropping-particle":"","parse-names":false,"suffix":""},{"dropping-particle":"","family":"Montón","given":"Joaquín","non-dropping-particle":"","parse-names":false,"suffix":""},{"dropping-particle":"","family":"Sonnier","given":"Rodolphe","non-dropping-particle":"","parse-names":false,"suffix":""}],"container-title":"Fire Safety Journal","id":"ITEM-1","issue":"April 2017","issued":{"date-parts":[["2019"]]},"page":"193-201","title":"Influence of different parameters in the fire behaviour of seven hardwood species","type":"article-journal","volume":"107"},"uris":["http://www.mendeley.com/documents/?uuid=26d6b9a5-4633-45c7-87ad-2ec36b4ddec7","http://www.mendeley.com/documents/?uuid=66e0a015-9956-436c-a163-1ccdff4b6185","http://www.mendeley.com/documents/?uuid=1121530b-78ca-424a-8531-c21b62f6953d"]}],"mendeley":{"formattedCitation":"[16]","plainTextFormattedCitation":"[16]","previouslyFormattedCitation":"[66]"},"properties":{"noteIndex":0},"schema":"https://github.com/citation-style-language/schema/raw/master/csl-citation.json"}</w:instrText>
            </w:r>
            <w:r>
              <w:rPr>
                <w:sz w:val="20"/>
                <w:lang w:eastAsia="zh-CN"/>
              </w:rPr>
              <w:fldChar w:fldCharType="separate"/>
            </w:r>
            <w:r w:rsidR="006A1A14" w:rsidRPr="006A1A14">
              <w:rPr>
                <w:noProof/>
                <w:sz w:val="20"/>
                <w:lang w:eastAsia="zh-CN"/>
              </w:rPr>
              <w:t>[16]</w:t>
            </w:r>
            <w:r>
              <w:rPr>
                <w:sz w:val="20"/>
                <w:lang w:eastAsia="zh-CN"/>
              </w:rPr>
              <w:fldChar w:fldCharType="end"/>
            </w:r>
          </w:p>
        </w:tc>
        <w:tc>
          <w:tcPr>
            <w:tcW w:w="1927" w:type="dxa"/>
            <w:vAlign w:val="center"/>
          </w:tcPr>
          <w:p w14:paraId="74DBB83B" w14:textId="77777777" w:rsidR="00D557E3" w:rsidRDefault="00D557E3" w:rsidP="00826CB8">
            <w:pPr>
              <w:snapToGrid w:val="0"/>
              <w:spacing w:beforeLines="50" w:before="120" w:line="480" w:lineRule="auto"/>
              <w:ind w:right="28"/>
              <w:rPr>
                <w:sz w:val="20"/>
                <w:lang w:val="en-GB" w:eastAsia="zh-CN"/>
              </w:rPr>
            </w:pPr>
            <w:r w:rsidRPr="00450A6E">
              <w:rPr>
                <w:sz w:val="20"/>
                <w:lang w:val="en-GB" w:eastAsia="zh-CN"/>
              </w:rPr>
              <w:t>Tabebuia rosea</w:t>
            </w:r>
          </w:p>
        </w:tc>
        <w:tc>
          <w:tcPr>
            <w:tcW w:w="1371" w:type="dxa"/>
            <w:vAlign w:val="center"/>
          </w:tcPr>
          <w:p w14:paraId="2C37ADC4"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35</w:t>
            </w:r>
          </w:p>
        </w:tc>
        <w:tc>
          <w:tcPr>
            <w:tcW w:w="950" w:type="dxa"/>
            <w:vAlign w:val="center"/>
          </w:tcPr>
          <w:p w14:paraId="6F11F544"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9.0</w:t>
            </w:r>
          </w:p>
        </w:tc>
        <w:tc>
          <w:tcPr>
            <w:tcW w:w="2343" w:type="dxa"/>
            <w:vAlign w:val="center"/>
          </w:tcPr>
          <w:p w14:paraId="1EFB3355"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604</w:t>
            </w:r>
          </w:p>
        </w:tc>
        <w:tc>
          <w:tcPr>
            <w:tcW w:w="1635" w:type="dxa"/>
            <w:vAlign w:val="center"/>
          </w:tcPr>
          <w:p w14:paraId="25ED00A6"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56</w:t>
            </w:r>
          </w:p>
        </w:tc>
      </w:tr>
      <w:tr w:rsidR="00D557E3" w:rsidRPr="00155D6E" w14:paraId="32F2066E" w14:textId="77777777" w:rsidTr="00826CB8">
        <w:trPr>
          <w:jc w:val="center"/>
        </w:trPr>
        <w:tc>
          <w:tcPr>
            <w:tcW w:w="1242" w:type="dxa"/>
            <w:vAlign w:val="center"/>
          </w:tcPr>
          <w:p w14:paraId="4D813CC4" w14:textId="398FCCD1" w:rsidR="00D557E3" w:rsidRPr="00155D6E" w:rsidRDefault="00D557E3" w:rsidP="00826CB8">
            <w:pPr>
              <w:snapToGrid w:val="0"/>
              <w:spacing w:beforeLines="50" w:before="120" w:line="480" w:lineRule="auto"/>
              <w:ind w:right="28"/>
              <w:rPr>
                <w:sz w:val="20"/>
                <w:lang w:eastAsia="zh-CN"/>
              </w:rPr>
            </w:pPr>
            <w:r>
              <w:rPr>
                <w:rFonts w:hint="eastAsia"/>
                <w:sz w:val="20"/>
                <w:lang w:eastAsia="zh-CN"/>
              </w:rPr>
              <w:t xml:space="preserve">Haurie et al. (2019) </w:t>
            </w:r>
            <w:r>
              <w:rPr>
                <w:sz w:val="20"/>
                <w:lang w:eastAsia="zh-CN"/>
              </w:rPr>
              <w:fldChar w:fldCharType="begin" w:fldLock="1"/>
            </w:r>
            <w:r w:rsidR="006A1A14">
              <w:rPr>
                <w:sz w:val="20"/>
                <w:lang w:eastAsia="zh-CN"/>
              </w:rPr>
              <w:instrText>ADDIN CSL_CITATION {"citationItems":[{"id":"ITEM-1","itemData":{"DOI":"10.1016/j.firesaf.2018.08.002","ISSN":"03797112","abstract":"Wood is a widely used material in the construction sector, both in structural and non-structural applications. Tropical species are appreciated for their high quality and durability in furniture, outdoor and indoor claddings and floors. However, limited information exists about fire reaction of tropical wood. Density is one of the factors that influence the rate of pyrolysis reactions and consequently the charring rate. However, other wood characteristics such as the mineral content also exert an influence on the pyrolysis combustion of wood. Hardwoods present a complex morphological structure and a significant amount of minerals, extracts and exudates. In this work, we study the fire reaction of seven species of tropical hardwood using various fire tests. Results are compared from one test to other one and are discussed in relation with physicochemical properties of wood species. The results show that although there is some correlation between high density and ignition time, parameters such as morphology and mineral content are also relevant.","author":[{"dropping-particle":"","family":"Haurie","given":"Laia","non-dropping-particle":"","parse-names":false,"suffix":""},{"dropping-particle":"","family":"Giraldo","given":"María Pilar","non-dropping-particle":"","parse-names":false,"suffix":""},{"dropping-particle":"","family":"Lacasta","given":"Ana María","non-dropping-particle":"","parse-names":false,"suffix":""},{"dropping-particle":"","family":"Montón","given":"Joaquín","non-dropping-particle":"","parse-names":false,"suffix":""},{"dropping-particle":"","family":"Sonnier","given":"Rodolphe","non-dropping-particle":"","parse-names":false,"suffix":""}],"container-title":"Fire Safety Journal","id":"ITEM-1","issue":"April 2017","issued":{"date-parts":[["2019"]]},"page":"193-201","title":"Influence of different parameters in the fire behaviour of seven hardwood species","type":"article-journal","volume":"107"},"uris":["http://www.mendeley.com/documents/?uuid=26d6b9a5-4633-45c7-87ad-2ec36b4ddec7","http://www.mendeley.com/documents/?uuid=66e0a015-9956-436c-a163-1ccdff4b6185","http://www.mendeley.com/documents/?uuid=1121530b-78ca-424a-8531-c21b62f6953d"]}],"mendeley":{"formattedCitation":"[16]","plainTextFormattedCitation":"[16]","previouslyFormattedCitation":"[66]"},"properties":{"noteIndex":0},"schema":"https://github.com/citation-style-language/schema/raw/master/csl-citation.json"}</w:instrText>
            </w:r>
            <w:r>
              <w:rPr>
                <w:sz w:val="20"/>
                <w:lang w:eastAsia="zh-CN"/>
              </w:rPr>
              <w:fldChar w:fldCharType="separate"/>
            </w:r>
            <w:r w:rsidR="006A1A14" w:rsidRPr="006A1A14">
              <w:rPr>
                <w:noProof/>
                <w:sz w:val="20"/>
                <w:lang w:eastAsia="zh-CN"/>
              </w:rPr>
              <w:t>[16]</w:t>
            </w:r>
            <w:r>
              <w:rPr>
                <w:sz w:val="20"/>
                <w:lang w:eastAsia="zh-CN"/>
              </w:rPr>
              <w:fldChar w:fldCharType="end"/>
            </w:r>
          </w:p>
        </w:tc>
        <w:tc>
          <w:tcPr>
            <w:tcW w:w="1927" w:type="dxa"/>
            <w:vAlign w:val="center"/>
          </w:tcPr>
          <w:p w14:paraId="72050185" w14:textId="77777777" w:rsidR="00D557E3" w:rsidRPr="00450A6E" w:rsidRDefault="00D557E3" w:rsidP="00826CB8">
            <w:pPr>
              <w:snapToGrid w:val="0"/>
              <w:spacing w:beforeLines="50" w:before="120" w:line="480" w:lineRule="auto"/>
              <w:ind w:right="28"/>
              <w:rPr>
                <w:sz w:val="20"/>
                <w:lang w:val="en-GB" w:eastAsia="zh-CN"/>
              </w:rPr>
            </w:pPr>
            <w:r w:rsidRPr="00450A6E">
              <w:rPr>
                <w:sz w:val="20"/>
                <w:lang w:val="en-GB" w:eastAsia="zh-CN"/>
              </w:rPr>
              <w:t>Swietenia humilis</w:t>
            </w:r>
          </w:p>
          <w:p w14:paraId="45182EBF" w14:textId="77777777" w:rsidR="00D557E3" w:rsidRDefault="00D557E3" w:rsidP="00826CB8">
            <w:pPr>
              <w:snapToGrid w:val="0"/>
              <w:spacing w:beforeLines="50" w:before="120" w:line="480" w:lineRule="auto"/>
              <w:ind w:right="28"/>
              <w:rPr>
                <w:sz w:val="20"/>
                <w:lang w:val="en-GB" w:eastAsia="zh-CN"/>
              </w:rPr>
            </w:pPr>
          </w:p>
        </w:tc>
        <w:tc>
          <w:tcPr>
            <w:tcW w:w="1371" w:type="dxa"/>
            <w:vAlign w:val="center"/>
          </w:tcPr>
          <w:p w14:paraId="4BC630B9"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35</w:t>
            </w:r>
          </w:p>
        </w:tc>
        <w:tc>
          <w:tcPr>
            <w:tcW w:w="950" w:type="dxa"/>
            <w:vAlign w:val="center"/>
          </w:tcPr>
          <w:p w14:paraId="0D481329"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9.9</w:t>
            </w:r>
          </w:p>
        </w:tc>
        <w:tc>
          <w:tcPr>
            <w:tcW w:w="2343" w:type="dxa"/>
            <w:vAlign w:val="center"/>
          </w:tcPr>
          <w:p w14:paraId="2113B93A"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655</w:t>
            </w:r>
          </w:p>
        </w:tc>
        <w:tc>
          <w:tcPr>
            <w:tcW w:w="1635" w:type="dxa"/>
            <w:vAlign w:val="center"/>
          </w:tcPr>
          <w:p w14:paraId="0CB5BBCB"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68</w:t>
            </w:r>
          </w:p>
        </w:tc>
      </w:tr>
      <w:tr w:rsidR="00D557E3" w:rsidRPr="00155D6E" w14:paraId="679718F8" w14:textId="77777777" w:rsidTr="00826CB8">
        <w:trPr>
          <w:jc w:val="center"/>
        </w:trPr>
        <w:tc>
          <w:tcPr>
            <w:tcW w:w="1242" w:type="dxa"/>
            <w:vAlign w:val="center"/>
          </w:tcPr>
          <w:p w14:paraId="09ED7FD5" w14:textId="0BB952E7" w:rsidR="00D557E3" w:rsidRPr="00155D6E" w:rsidRDefault="00D557E3" w:rsidP="00826CB8">
            <w:pPr>
              <w:snapToGrid w:val="0"/>
              <w:spacing w:beforeLines="50" w:before="120" w:line="480" w:lineRule="auto"/>
              <w:ind w:right="28"/>
              <w:rPr>
                <w:sz w:val="20"/>
                <w:lang w:eastAsia="zh-CN"/>
              </w:rPr>
            </w:pPr>
            <w:r>
              <w:rPr>
                <w:rFonts w:hint="eastAsia"/>
                <w:sz w:val="20"/>
                <w:lang w:eastAsia="zh-CN"/>
              </w:rPr>
              <w:t xml:space="preserve">Haurie et al. </w:t>
            </w:r>
            <w:r>
              <w:rPr>
                <w:rFonts w:hint="eastAsia"/>
                <w:sz w:val="20"/>
                <w:lang w:eastAsia="zh-CN"/>
              </w:rPr>
              <w:lastRenderedPageBreak/>
              <w:t xml:space="preserve">(2019) </w:t>
            </w:r>
            <w:r>
              <w:rPr>
                <w:sz w:val="20"/>
                <w:lang w:eastAsia="zh-CN"/>
              </w:rPr>
              <w:fldChar w:fldCharType="begin" w:fldLock="1"/>
            </w:r>
            <w:r w:rsidR="006A1A14">
              <w:rPr>
                <w:sz w:val="20"/>
                <w:lang w:eastAsia="zh-CN"/>
              </w:rPr>
              <w:instrText>ADDIN CSL_CITATION {"citationItems":[{"id":"ITEM-1","itemData":{"DOI":"10.1016/j.firesaf.2018.08.002","ISSN":"03797112","abstract":"Wood is a widely used material in the construction sector, both in structural and non-structural applications. Tropical species are appreciated for their high quality and durability in furniture, outdoor and indoor claddings and floors. However, limited information exists about fire reaction of tropical wood. Density is one of the factors that influence the rate of pyrolysis reactions and consequently the charring rate. However, other wood characteristics such as the mineral content also exert an influence on the pyrolysis combustion of wood. Hardwoods present a complex morphological structure and a significant amount of minerals, extracts and exudates. In this work, we study the fire reaction of seven species of tropical hardwood using various fire tests. Results are compared from one test to other one and are discussed in relation with physicochemical properties of wood species. The results show that although there is some correlation between high density and ignition time, parameters such as morphology and mineral content are also relevant.","author":[{"dropping-particle":"","family":"Haurie","given":"Laia","non-dropping-particle":"","parse-names":false,"suffix":""},{"dropping-particle":"","family":"Giraldo","given":"María Pilar","non-dropping-particle":"","parse-names":false,"suffix":""},{"dropping-particle":"","family":"Lacasta","given":"Ana María","non-dropping-particle":"","parse-names":false,"suffix":""},{"dropping-particle":"","family":"Montón","given":"Joaquín","non-dropping-particle":"","parse-names":false,"suffix":""},{"dropping-particle":"","family":"Sonnier","given":"Rodolphe","non-dropping-particle":"","parse-names":false,"suffix":""}],"container-title":"Fire Safety Journal","id":"ITEM-1","issue":"April 2017","issued":{"date-parts":[["2019"]]},"page":"193-201","title":"Influence of different parameters in the fire behaviour of seven hardwood species","type":"article-journal","volume":"107"},"uris":["http://www.mendeley.com/documents/?uuid=26d6b9a5-4633-45c7-87ad-2ec36b4ddec7","http://www.mendeley.com/documents/?uuid=66e0a015-9956-436c-a163-1ccdff4b6185","http://www.mendeley.com/documents/?uuid=1121530b-78ca-424a-8531-c21b62f6953d"]}],"mendeley":{"formattedCitation":"[16]","plainTextFormattedCitation":"[16]","previouslyFormattedCitation":"[66]"},"properties":{"noteIndex":0},"schema":"https://github.com/citation-style-language/schema/raw/master/csl-citation.json"}</w:instrText>
            </w:r>
            <w:r>
              <w:rPr>
                <w:sz w:val="20"/>
                <w:lang w:eastAsia="zh-CN"/>
              </w:rPr>
              <w:fldChar w:fldCharType="separate"/>
            </w:r>
            <w:r w:rsidR="006A1A14" w:rsidRPr="006A1A14">
              <w:rPr>
                <w:noProof/>
                <w:sz w:val="20"/>
                <w:lang w:eastAsia="zh-CN"/>
              </w:rPr>
              <w:t>[16]</w:t>
            </w:r>
            <w:r>
              <w:rPr>
                <w:sz w:val="20"/>
                <w:lang w:eastAsia="zh-CN"/>
              </w:rPr>
              <w:fldChar w:fldCharType="end"/>
            </w:r>
          </w:p>
        </w:tc>
        <w:tc>
          <w:tcPr>
            <w:tcW w:w="1927" w:type="dxa"/>
            <w:vAlign w:val="center"/>
          </w:tcPr>
          <w:p w14:paraId="774DC7FF" w14:textId="77777777" w:rsidR="00D557E3" w:rsidRDefault="00D557E3" w:rsidP="00826CB8">
            <w:pPr>
              <w:snapToGrid w:val="0"/>
              <w:spacing w:beforeLines="50" w:before="120" w:line="480" w:lineRule="auto"/>
              <w:ind w:right="28"/>
              <w:rPr>
                <w:sz w:val="20"/>
                <w:lang w:val="en-GB" w:eastAsia="zh-CN"/>
              </w:rPr>
            </w:pPr>
            <w:proofErr w:type="spellStart"/>
            <w:r w:rsidRPr="00450A6E">
              <w:rPr>
                <w:sz w:val="20"/>
                <w:lang w:val="en-GB" w:eastAsia="zh-CN"/>
              </w:rPr>
              <w:lastRenderedPageBreak/>
              <w:t>Lysiloma</w:t>
            </w:r>
            <w:proofErr w:type="spellEnd"/>
            <w:r>
              <w:rPr>
                <w:rFonts w:hint="eastAsia"/>
                <w:sz w:val="20"/>
                <w:lang w:val="en-GB" w:eastAsia="zh-CN"/>
              </w:rPr>
              <w:t xml:space="preserve"> </w:t>
            </w:r>
            <w:proofErr w:type="spellStart"/>
            <w:r w:rsidRPr="00450A6E">
              <w:rPr>
                <w:sz w:val="20"/>
                <w:lang w:val="en-GB" w:eastAsia="zh-CN"/>
              </w:rPr>
              <w:lastRenderedPageBreak/>
              <w:t>acapulcensis</w:t>
            </w:r>
            <w:proofErr w:type="spellEnd"/>
          </w:p>
        </w:tc>
        <w:tc>
          <w:tcPr>
            <w:tcW w:w="1371" w:type="dxa"/>
            <w:vAlign w:val="center"/>
          </w:tcPr>
          <w:p w14:paraId="7DFE759F"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lastRenderedPageBreak/>
              <w:t>35</w:t>
            </w:r>
          </w:p>
        </w:tc>
        <w:tc>
          <w:tcPr>
            <w:tcW w:w="950" w:type="dxa"/>
            <w:vAlign w:val="center"/>
          </w:tcPr>
          <w:p w14:paraId="25F35BDC"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9.2</w:t>
            </w:r>
          </w:p>
        </w:tc>
        <w:tc>
          <w:tcPr>
            <w:tcW w:w="2343" w:type="dxa"/>
            <w:vAlign w:val="center"/>
          </w:tcPr>
          <w:p w14:paraId="0417CD95"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685</w:t>
            </w:r>
          </w:p>
        </w:tc>
        <w:tc>
          <w:tcPr>
            <w:tcW w:w="1635" w:type="dxa"/>
            <w:vAlign w:val="center"/>
          </w:tcPr>
          <w:p w14:paraId="20368B9F"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72</w:t>
            </w:r>
          </w:p>
        </w:tc>
      </w:tr>
      <w:tr w:rsidR="00D557E3" w:rsidRPr="00155D6E" w14:paraId="250F6230" w14:textId="77777777" w:rsidTr="00826CB8">
        <w:trPr>
          <w:jc w:val="center"/>
        </w:trPr>
        <w:tc>
          <w:tcPr>
            <w:tcW w:w="1242" w:type="dxa"/>
            <w:vAlign w:val="center"/>
          </w:tcPr>
          <w:p w14:paraId="2AA5C381" w14:textId="59629974" w:rsidR="00D557E3" w:rsidRPr="00155D6E" w:rsidRDefault="00D557E3" w:rsidP="00826CB8">
            <w:pPr>
              <w:snapToGrid w:val="0"/>
              <w:spacing w:beforeLines="50" w:before="120" w:line="480" w:lineRule="auto"/>
              <w:ind w:right="28"/>
              <w:rPr>
                <w:sz w:val="20"/>
                <w:lang w:eastAsia="zh-CN"/>
              </w:rPr>
            </w:pPr>
            <w:r>
              <w:rPr>
                <w:rFonts w:hint="eastAsia"/>
                <w:sz w:val="20"/>
                <w:lang w:eastAsia="zh-CN"/>
              </w:rPr>
              <w:t xml:space="preserve">Haurie et al. (2019) </w:t>
            </w:r>
            <w:r>
              <w:rPr>
                <w:sz w:val="20"/>
                <w:lang w:eastAsia="zh-CN"/>
              </w:rPr>
              <w:fldChar w:fldCharType="begin" w:fldLock="1"/>
            </w:r>
            <w:r w:rsidR="006A1A14">
              <w:rPr>
                <w:sz w:val="20"/>
                <w:lang w:eastAsia="zh-CN"/>
              </w:rPr>
              <w:instrText>ADDIN CSL_CITATION {"citationItems":[{"id":"ITEM-1","itemData":{"DOI":"10.1016/j.firesaf.2018.08.002","ISSN":"03797112","abstract":"Wood is a widely used material in the construction sector, both in structural and non-structural applications. Tropical species are appreciated for their high quality and durability in furniture, outdoor and indoor claddings and floors. However, limited information exists about fire reaction of tropical wood. Density is one of the factors that influence the rate of pyrolysis reactions and consequently the charring rate. However, other wood characteristics such as the mineral content also exert an influence on the pyrolysis combustion of wood. Hardwoods present a complex morphological structure and a significant amount of minerals, extracts and exudates. In this work, we study the fire reaction of seven species of tropical hardwood using various fire tests. Results are compared from one test to other one and are discussed in relation with physicochemical properties of wood species. The results show that although there is some correlation between high density and ignition time, parameters such as morphology and mineral content are also relevant.","author":[{"dropping-particle":"","family":"Haurie","given":"Laia","non-dropping-particle":"","parse-names":false,"suffix":""},{"dropping-particle":"","family":"Giraldo","given":"María Pilar","non-dropping-particle":"","parse-names":false,"suffix":""},{"dropping-particle":"","family":"Lacasta","given":"Ana María","non-dropping-particle":"","parse-names":false,"suffix":""},{"dropping-particle":"","family":"Montón","given":"Joaquín","non-dropping-particle":"","parse-names":false,"suffix":""},{"dropping-particle":"","family":"Sonnier","given":"Rodolphe","non-dropping-particle":"","parse-names":false,"suffix":""}],"container-title":"Fire Safety Journal","id":"ITEM-1","issue":"April 2017","issued":{"date-parts":[["2019"]]},"page":"193-201","title":"Influence of different parameters in the fire behaviour of seven hardwood species","type":"article-journal","volume":"107"},"uris":["http://www.mendeley.com/documents/?uuid=26d6b9a5-4633-45c7-87ad-2ec36b4ddec7","http://www.mendeley.com/documents/?uuid=66e0a015-9956-436c-a163-1ccdff4b6185","http://www.mendeley.com/documents/?uuid=1121530b-78ca-424a-8531-c21b62f6953d"]}],"mendeley":{"formattedCitation":"[16]","plainTextFormattedCitation":"[16]","previouslyFormattedCitation":"[66]"},"properties":{"noteIndex":0},"schema":"https://github.com/citation-style-language/schema/raw/master/csl-citation.json"}</w:instrText>
            </w:r>
            <w:r>
              <w:rPr>
                <w:sz w:val="20"/>
                <w:lang w:eastAsia="zh-CN"/>
              </w:rPr>
              <w:fldChar w:fldCharType="separate"/>
            </w:r>
            <w:r w:rsidR="006A1A14" w:rsidRPr="006A1A14">
              <w:rPr>
                <w:noProof/>
                <w:sz w:val="20"/>
                <w:lang w:eastAsia="zh-CN"/>
              </w:rPr>
              <w:t>[16]</w:t>
            </w:r>
            <w:r>
              <w:rPr>
                <w:sz w:val="20"/>
                <w:lang w:eastAsia="zh-CN"/>
              </w:rPr>
              <w:fldChar w:fldCharType="end"/>
            </w:r>
          </w:p>
        </w:tc>
        <w:tc>
          <w:tcPr>
            <w:tcW w:w="1927" w:type="dxa"/>
            <w:vAlign w:val="center"/>
          </w:tcPr>
          <w:p w14:paraId="3449E46F" w14:textId="77777777" w:rsidR="00D557E3" w:rsidRDefault="00D557E3" w:rsidP="00826CB8">
            <w:pPr>
              <w:snapToGrid w:val="0"/>
              <w:spacing w:beforeLines="50" w:before="120" w:line="480" w:lineRule="auto"/>
              <w:ind w:right="28"/>
              <w:rPr>
                <w:sz w:val="20"/>
                <w:lang w:val="en-GB" w:eastAsia="zh-CN"/>
              </w:rPr>
            </w:pPr>
            <w:r w:rsidRPr="00450A6E">
              <w:rPr>
                <w:sz w:val="20"/>
                <w:lang w:val="en-GB" w:eastAsia="zh-CN"/>
              </w:rPr>
              <w:t xml:space="preserve">Cordia </w:t>
            </w:r>
            <w:proofErr w:type="spellStart"/>
            <w:r w:rsidRPr="00450A6E">
              <w:rPr>
                <w:sz w:val="20"/>
                <w:lang w:val="en-GB" w:eastAsia="zh-CN"/>
              </w:rPr>
              <w:t>elaeagnoides</w:t>
            </w:r>
            <w:proofErr w:type="spellEnd"/>
          </w:p>
        </w:tc>
        <w:tc>
          <w:tcPr>
            <w:tcW w:w="1371" w:type="dxa"/>
            <w:vAlign w:val="center"/>
          </w:tcPr>
          <w:p w14:paraId="11CD557C"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35</w:t>
            </w:r>
          </w:p>
        </w:tc>
        <w:tc>
          <w:tcPr>
            <w:tcW w:w="950" w:type="dxa"/>
            <w:vAlign w:val="center"/>
          </w:tcPr>
          <w:p w14:paraId="0D5543C0"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7.3</w:t>
            </w:r>
          </w:p>
        </w:tc>
        <w:tc>
          <w:tcPr>
            <w:tcW w:w="2343" w:type="dxa"/>
            <w:vAlign w:val="center"/>
          </w:tcPr>
          <w:p w14:paraId="1B14DE17"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1130</w:t>
            </w:r>
          </w:p>
        </w:tc>
        <w:tc>
          <w:tcPr>
            <w:tcW w:w="1635" w:type="dxa"/>
            <w:vAlign w:val="center"/>
          </w:tcPr>
          <w:p w14:paraId="0A98DAD2"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93</w:t>
            </w:r>
          </w:p>
        </w:tc>
      </w:tr>
      <w:tr w:rsidR="00D557E3" w:rsidRPr="00155D6E" w14:paraId="380B8527" w14:textId="77777777" w:rsidTr="00826CB8">
        <w:trPr>
          <w:jc w:val="center"/>
        </w:trPr>
        <w:tc>
          <w:tcPr>
            <w:tcW w:w="1242" w:type="dxa"/>
            <w:vAlign w:val="center"/>
          </w:tcPr>
          <w:p w14:paraId="5A36923E" w14:textId="1FB22324" w:rsidR="00D557E3" w:rsidRPr="00155D6E" w:rsidRDefault="00D557E3" w:rsidP="00826CB8">
            <w:pPr>
              <w:snapToGrid w:val="0"/>
              <w:spacing w:beforeLines="50" w:before="120" w:line="480" w:lineRule="auto"/>
              <w:ind w:right="28"/>
              <w:rPr>
                <w:sz w:val="20"/>
                <w:lang w:eastAsia="zh-CN"/>
              </w:rPr>
            </w:pPr>
            <w:r>
              <w:rPr>
                <w:rFonts w:hint="eastAsia"/>
                <w:sz w:val="20"/>
                <w:lang w:eastAsia="zh-CN"/>
              </w:rPr>
              <w:t xml:space="preserve">Haurie et al. (2019) </w:t>
            </w:r>
            <w:r>
              <w:rPr>
                <w:sz w:val="20"/>
                <w:lang w:eastAsia="zh-CN"/>
              </w:rPr>
              <w:fldChar w:fldCharType="begin" w:fldLock="1"/>
            </w:r>
            <w:r w:rsidR="006A1A14">
              <w:rPr>
                <w:sz w:val="20"/>
                <w:lang w:eastAsia="zh-CN"/>
              </w:rPr>
              <w:instrText>ADDIN CSL_CITATION {"citationItems":[{"id":"ITEM-1","itemData":{"DOI":"10.1016/j.firesaf.2018.08.002","ISSN":"03797112","abstract":"Wood is a widely used material in the construction sector, both in structural and non-structural applications. Tropical species are appreciated for their high quality and durability in furniture, outdoor and indoor claddings and floors. However, limited information exists about fire reaction of tropical wood. Density is one of the factors that influence the rate of pyrolysis reactions and consequently the charring rate. However, other wood characteristics such as the mineral content also exert an influence on the pyrolysis combustion of wood. Hardwoods present a complex morphological structure and a significant amount of minerals, extracts and exudates. In this work, we study the fire reaction of seven species of tropical hardwood using various fire tests. Results are compared from one test to other one and are discussed in relation with physicochemical properties of wood species. The results show that although there is some correlation between high density and ignition time, parameters such as morphology and mineral content are also relevant.","author":[{"dropping-particle":"","family":"Haurie","given":"Laia","non-dropping-particle":"","parse-names":false,"suffix":""},{"dropping-particle":"","family":"Giraldo","given":"María Pilar","non-dropping-particle":"","parse-names":false,"suffix":""},{"dropping-particle":"","family":"Lacasta","given":"Ana María","non-dropping-particle":"","parse-names":false,"suffix":""},{"dropping-particle":"","family":"Montón","given":"Joaquín","non-dropping-particle":"","parse-names":false,"suffix":""},{"dropping-particle":"","family":"Sonnier","given":"Rodolphe","non-dropping-particle":"","parse-names":false,"suffix":""}],"container-title":"Fire Safety Journal","id":"ITEM-1","issue":"April 2017","issued":{"date-parts":[["2019"]]},"page":"193-201","title":"Influence of different parameters in the fire behaviour of seven hardwood species","type":"article-journal","volume":"107"},"uris":["http://www.mendeley.com/documents/?uuid=26d6b9a5-4633-45c7-87ad-2ec36b4ddec7","http://www.mendeley.com/documents/?uuid=66e0a015-9956-436c-a163-1ccdff4b6185","http://www.mendeley.com/documents/?uuid=1121530b-78ca-424a-8531-c21b62f6953d"]}],"mendeley":{"formattedCitation":"[16]","plainTextFormattedCitation":"[16]","previouslyFormattedCitation":"[66]"},"properties":{"noteIndex":0},"schema":"https://github.com/citation-style-language/schema/raw/master/csl-citation.json"}</w:instrText>
            </w:r>
            <w:r>
              <w:rPr>
                <w:sz w:val="20"/>
                <w:lang w:eastAsia="zh-CN"/>
              </w:rPr>
              <w:fldChar w:fldCharType="separate"/>
            </w:r>
            <w:r w:rsidR="006A1A14" w:rsidRPr="006A1A14">
              <w:rPr>
                <w:noProof/>
                <w:sz w:val="20"/>
                <w:lang w:eastAsia="zh-CN"/>
              </w:rPr>
              <w:t>[16]</w:t>
            </w:r>
            <w:r>
              <w:rPr>
                <w:sz w:val="20"/>
                <w:lang w:eastAsia="zh-CN"/>
              </w:rPr>
              <w:fldChar w:fldCharType="end"/>
            </w:r>
          </w:p>
        </w:tc>
        <w:tc>
          <w:tcPr>
            <w:tcW w:w="1927" w:type="dxa"/>
            <w:vAlign w:val="center"/>
          </w:tcPr>
          <w:p w14:paraId="7A95474F" w14:textId="77777777" w:rsidR="00D557E3" w:rsidRDefault="00D557E3" w:rsidP="00826CB8">
            <w:pPr>
              <w:snapToGrid w:val="0"/>
              <w:spacing w:beforeLines="50" w:before="120" w:line="480" w:lineRule="auto"/>
              <w:ind w:right="28"/>
              <w:rPr>
                <w:sz w:val="20"/>
                <w:lang w:val="en-GB" w:eastAsia="zh-CN"/>
              </w:rPr>
            </w:pPr>
            <w:r w:rsidRPr="00450A6E">
              <w:rPr>
                <w:sz w:val="20"/>
                <w:lang w:val="en-GB" w:eastAsia="zh-CN"/>
              </w:rPr>
              <w:t xml:space="preserve">Tabebuia </w:t>
            </w:r>
            <w:proofErr w:type="spellStart"/>
            <w:r w:rsidRPr="00450A6E">
              <w:rPr>
                <w:sz w:val="20"/>
                <w:lang w:val="en-GB" w:eastAsia="zh-CN"/>
              </w:rPr>
              <w:t>chrysantha</w:t>
            </w:r>
            <w:proofErr w:type="spellEnd"/>
          </w:p>
        </w:tc>
        <w:tc>
          <w:tcPr>
            <w:tcW w:w="1371" w:type="dxa"/>
            <w:vAlign w:val="center"/>
          </w:tcPr>
          <w:p w14:paraId="4BDDAC64"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35</w:t>
            </w:r>
          </w:p>
        </w:tc>
        <w:tc>
          <w:tcPr>
            <w:tcW w:w="950" w:type="dxa"/>
            <w:vAlign w:val="center"/>
          </w:tcPr>
          <w:p w14:paraId="122B5A90"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8.3</w:t>
            </w:r>
          </w:p>
        </w:tc>
        <w:tc>
          <w:tcPr>
            <w:tcW w:w="2343" w:type="dxa"/>
            <w:vAlign w:val="center"/>
          </w:tcPr>
          <w:p w14:paraId="243DFECF"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1234</w:t>
            </w:r>
          </w:p>
        </w:tc>
        <w:tc>
          <w:tcPr>
            <w:tcW w:w="1635" w:type="dxa"/>
            <w:vAlign w:val="center"/>
          </w:tcPr>
          <w:p w14:paraId="79652363"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144</w:t>
            </w:r>
          </w:p>
        </w:tc>
      </w:tr>
      <w:tr w:rsidR="00D557E3" w:rsidRPr="00155D6E" w14:paraId="0DF87A42" w14:textId="77777777" w:rsidTr="00826CB8">
        <w:trPr>
          <w:jc w:val="center"/>
        </w:trPr>
        <w:tc>
          <w:tcPr>
            <w:tcW w:w="1242" w:type="dxa"/>
            <w:vAlign w:val="center"/>
          </w:tcPr>
          <w:p w14:paraId="2CFFEA22" w14:textId="1B404F1D" w:rsidR="00D557E3" w:rsidRPr="00155D6E" w:rsidRDefault="00D557E3" w:rsidP="00826CB8">
            <w:pPr>
              <w:snapToGrid w:val="0"/>
              <w:spacing w:beforeLines="50" w:before="120" w:line="480" w:lineRule="auto"/>
              <w:ind w:right="28"/>
              <w:rPr>
                <w:sz w:val="20"/>
                <w:lang w:eastAsia="zh-CN"/>
              </w:rPr>
            </w:pPr>
            <w:r>
              <w:rPr>
                <w:rFonts w:hint="eastAsia"/>
                <w:sz w:val="20"/>
                <w:lang w:eastAsia="zh-CN"/>
              </w:rPr>
              <w:t xml:space="preserve">Martinka et al. (2017) </w:t>
            </w:r>
            <w:r>
              <w:rPr>
                <w:sz w:val="20"/>
                <w:lang w:eastAsia="zh-CN"/>
              </w:rPr>
              <w:fldChar w:fldCharType="begin" w:fldLock="1"/>
            </w:r>
            <w:r w:rsidR="006A1A14">
              <w:rPr>
                <w:sz w:val="20"/>
                <w:lang w:eastAsia="zh-CN"/>
              </w:rPr>
              <w:instrText>ADDIN CSL_CITATION {"citationItems":[{"id":"ITEM-1","itemData":{"DOI":"10.17423/afx.2017.59.1.08","ISSN":"13363824","abstract":"The article details a research of initiatory parameters of poplar wood (Populus tremula L.). Researched were samples with dimensions of 100 × 100 × 20 mm, dried at a temperature of 103 ± 2 °C to water content of 0 wt%. The orientation of samples during the test was horizontal. The initiatory parameters (critical heat flux density and surface temperature in the time of initiation) were set on a conical calorimeter using a testing procedure in accordance with ISO 5660-1:2015. The testing procedure according to the ISO standard was supplemented by a thermocouple of NiCr-Ni type, which measured the surface temperature of the sample during the test. Critical heat flux density was set by using an ignition initiator (critical heat flux for piloted ignition, in accordance with ISO 5660-1:2015) and without an ignition initiator (critical heat flux for autoignition, modified testing procedure). Critical heat flux density was defined from statistical dependence of initiation time exponentiated by -1/2 from the heat flux density. Critical heat flux density for piloted ignition was10.70 kW·m-2 and critical heat flux density for autoignition was 28.90 kW·m-2. The average surface temperature of the sample in the moment of piloted ignition was 335 ± 59 °C, and in the moment of autoignition 533 ± 63 °C.","author":[{"dropping-particle":"","family":"Martinka","given":"Jozef","non-dropping-particle":"","parse-names":false,"suffix":""},{"dropping-particle":"","family":"Hroncová","given":"Emília","non-dropping-particle":"","parse-names":false,"suffix":""},{"dropping-particle":"","family":"Kačíková","given":"Danica","non-dropping-particle":"","parse-names":false,"suffix":""},{"dropping-particle":"","family":"Rantuch","given":"Peter","non-dropping-particle":"","parse-names":false,"suffix":""},{"dropping-particle":"","family":"Balog","given":"Karol","non-dropping-particle":"","parse-names":false,"suffix":""},{"dropping-particle":"","family":"Ladomerský","given":"Juraj","non-dropping-particle":"","parse-names":false,"suffix":""}],"container-title":"Acta Facultatis Xylologiae zvolen","id":"ITEM-1","issue":"1","issued":{"date-parts":[["2017"]]},"page":"85-95","title":"Ignition parameters of poplar wood","type":"article-journal","volume":"59"},"uris":["http://www.mendeley.com/documents/?uuid=e29708db-f77d-4619-9f39-13a26b83a510","http://www.mendeley.com/documents/?uuid=37c55a77-88df-4ee4-af85-0dfc34506a86","http://www.mendeley.com/documents/?uuid=4cc7519c-b49c-4447-88cc-f096918e6a55"]}],"mendeley":{"formattedCitation":"[17]","plainTextFormattedCitation":"[17]","previouslyFormattedCitation":"[67]"},"properties":{"noteIndex":0},"schema":"https://github.com/citation-style-language/schema/raw/master/csl-citation.json"}</w:instrText>
            </w:r>
            <w:r>
              <w:rPr>
                <w:sz w:val="20"/>
                <w:lang w:eastAsia="zh-CN"/>
              </w:rPr>
              <w:fldChar w:fldCharType="separate"/>
            </w:r>
            <w:r w:rsidR="006A1A14" w:rsidRPr="006A1A14">
              <w:rPr>
                <w:noProof/>
                <w:sz w:val="20"/>
                <w:lang w:eastAsia="zh-CN"/>
              </w:rPr>
              <w:t>[17]</w:t>
            </w:r>
            <w:r>
              <w:rPr>
                <w:sz w:val="20"/>
                <w:lang w:eastAsia="zh-CN"/>
              </w:rPr>
              <w:fldChar w:fldCharType="end"/>
            </w:r>
          </w:p>
        </w:tc>
        <w:tc>
          <w:tcPr>
            <w:tcW w:w="1927" w:type="dxa"/>
            <w:vAlign w:val="center"/>
          </w:tcPr>
          <w:p w14:paraId="70C5E055" w14:textId="77777777" w:rsidR="00D557E3" w:rsidRDefault="00D557E3" w:rsidP="00826CB8">
            <w:pPr>
              <w:snapToGrid w:val="0"/>
              <w:spacing w:beforeLines="50" w:before="120" w:line="480" w:lineRule="auto"/>
              <w:ind w:right="28"/>
              <w:rPr>
                <w:sz w:val="20"/>
                <w:lang w:val="en-GB" w:eastAsia="zh-CN"/>
              </w:rPr>
            </w:pPr>
            <w:r>
              <w:rPr>
                <w:sz w:val="20"/>
                <w:lang w:val="en-GB" w:eastAsia="zh-CN"/>
              </w:rPr>
              <w:t>P</w:t>
            </w:r>
            <w:r>
              <w:rPr>
                <w:rFonts w:hint="eastAsia"/>
                <w:sz w:val="20"/>
                <w:lang w:val="en-GB" w:eastAsia="zh-CN"/>
              </w:rPr>
              <w:t>oplar wood</w:t>
            </w:r>
          </w:p>
        </w:tc>
        <w:tc>
          <w:tcPr>
            <w:tcW w:w="1371" w:type="dxa"/>
            <w:vAlign w:val="center"/>
          </w:tcPr>
          <w:p w14:paraId="723C0FBE"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30/40/50</w:t>
            </w:r>
          </w:p>
        </w:tc>
        <w:tc>
          <w:tcPr>
            <w:tcW w:w="950" w:type="dxa"/>
            <w:vAlign w:val="center"/>
          </w:tcPr>
          <w:p w14:paraId="0534D766"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0</w:t>
            </w:r>
          </w:p>
        </w:tc>
        <w:tc>
          <w:tcPr>
            <w:tcW w:w="2343" w:type="dxa"/>
            <w:vAlign w:val="center"/>
          </w:tcPr>
          <w:p w14:paraId="573822C5"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452</w:t>
            </w:r>
          </w:p>
        </w:tc>
        <w:tc>
          <w:tcPr>
            <w:tcW w:w="1635" w:type="dxa"/>
            <w:vAlign w:val="center"/>
          </w:tcPr>
          <w:p w14:paraId="1F9ABAAE"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35/17/10</w:t>
            </w:r>
          </w:p>
        </w:tc>
      </w:tr>
      <w:tr w:rsidR="00D557E3" w:rsidRPr="00155D6E" w14:paraId="06222124" w14:textId="77777777" w:rsidTr="00826CB8">
        <w:trPr>
          <w:jc w:val="center"/>
        </w:trPr>
        <w:tc>
          <w:tcPr>
            <w:tcW w:w="1242" w:type="dxa"/>
            <w:vAlign w:val="center"/>
          </w:tcPr>
          <w:p w14:paraId="1076EFAD" w14:textId="4EF6B764" w:rsidR="00D557E3" w:rsidRPr="00155D6E" w:rsidRDefault="00D557E3" w:rsidP="00826CB8">
            <w:pPr>
              <w:snapToGrid w:val="0"/>
              <w:spacing w:beforeLines="50" w:before="120" w:line="480" w:lineRule="auto"/>
              <w:ind w:right="28"/>
              <w:rPr>
                <w:sz w:val="20"/>
                <w:lang w:eastAsia="zh-CN"/>
              </w:rPr>
            </w:pPr>
            <w:r>
              <w:rPr>
                <w:rFonts w:hint="eastAsia"/>
                <w:sz w:val="20"/>
                <w:lang w:eastAsia="zh-CN"/>
              </w:rPr>
              <w:t xml:space="preserve">Moghtaderi et al. (1997) </w:t>
            </w:r>
            <w:r>
              <w:rPr>
                <w:sz w:val="20"/>
                <w:lang w:eastAsia="zh-CN"/>
              </w:rPr>
              <w:fldChar w:fldCharType="begin" w:fldLock="1"/>
            </w:r>
            <w:r w:rsidR="006A1A14">
              <w:rPr>
                <w:sz w:val="20"/>
                <w:lang w:eastAsia="zh-CN"/>
              </w:rPr>
              <w:instrText>ADDIN CSL_CITATION {"citationItems":[{"id":"ITEM-1","itemData":{"DOI":"10.1016/S0379-7112(97)00004-0","ISSN":"03797112","abstract":"This paper presents the results of a combined experimental and theoretical study of piloted ignition of cellulosic materials. The main objective is to present an engineering solution to the piloted ignition problem for wood exposed to radiant heat in a bench-scale piloted ignition test. This has been motivated by the need to have simple models of ignition for use in a computational fluid dynamics (CFD) model of fire spread and extinguishment in building fires. The experiments were conducted on oven-dry and moisture conditioned samples of three wood species using a cone calorimeter. As expected, the experimental data revealed that the effect of moisture content on the piloted ignition process is significant. It was also found that the ignition temperature depends on the external heat flux, which supports other recent studies. Based on the experimental observations, an approximate analytical equation was derived and then used for correlating the ignition data, as well as extracting the piloted ignition properties. The chief distinguishing feature of the present equation over other similar equations is that it takes into account the variation of the ignition temperature with external heat flux. © 1997 Elsevier Science Ltd.","author":[{"dropping-particle":"","family":"Moghtaderi","given":"B.","non-dropping-particle":"","parse-names":false,"suffix":""},{"dropping-particle":"","family":"Novozhilov","given":"V.","non-dropping-particle":"","parse-names":false,"suffix":""},{"dropping-particle":"","family":"Fletcher","given":"D. F.","non-dropping-particle":"","parse-names":false,"suffix":""},{"dropping-particle":"","family":"Kent","given":"J. H.","non-dropping-particle":"","parse-names":false,"suffix":""}],"container-title":"Fire Safety Journal","id":"ITEM-1","issue":"1","issued":{"date-parts":[["1997"]]},"page":"41-59","title":"A New Correlation for Bench-scale Piloted Ignition Data of Wood","type":"article-journal","volume":"29"},"uris":["http://www.mendeley.com/documents/?uuid=1591d564-384c-4c3c-ba62-41fca414e18a","http://www.mendeley.com/documents/?uuid=adf937b1-c54d-47fc-98f4-2d81504f0a23","http://www.mendeley.com/documents/?uuid=067baa71-db4e-443a-b945-99c877849c49"]}],"mendeley":{"formattedCitation":"[18]","plainTextFormattedCitation":"[18]","previouslyFormattedCitation":"[68]"},"properties":{"noteIndex":0},"schema":"https://github.com/citation-style-language/schema/raw/master/csl-citation.json"}</w:instrText>
            </w:r>
            <w:r>
              <w:rPr>
                <w:sz w:val="20"/>
                <w:lang w:eastAsia="zh-CN"/>
              </w:rPr>
              <w:fldChar w:fldCharType="separate"/>
            </w:r>
            <w:r w:rsidR="006A1A14" w:rsidRPr="006A1A14">
              <w:rPr>
                <w:noProof/>
                <w:sz w:val="20"/>
                <w:lang w:eastAsia="zh-CN"/>
              </w:rPr>
              <w:t>[18]</w:t>
            </w:r>
            <w:r>
              <w:rPr>
                <w:sz w:val="20"/>
                <w:lang w:eastAsia="zh-CN"/>
              </w:rPr>
              <w:fldChar w:fldCharType="end"/>
            </w:r>
          </w:p>
        </w:tc>
        <w:tc>
          <w:tcPr>
            <w:tcW w:w="1927" w:type="dxa"/>
            <w:vAlign w:val="center"/>
          </w:tcPr>
          <w:p w14:paraId="3DD56E14"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Pacific maple</w:t>
            </w:r>
          </w:p>
        </w:tc>
        <w:tc>
          <w:tcPr>
            <w:tcW w:w="1371" w:type="dxa"/>
            <w:vAlign w:val="center"/>
          </w:tcPr>
          <w:p w14:paraId="3FECD1E1"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14/18/20/25/37/50/65</w:t>
            </w:r>
          </w:p>
        </w:tc>
        <w:tc>
          <w:tcPr>
            <w:tcW w:w="950" w:type="dxa"/>
            <w:vAlign w:val="center"/>
          </w:tcPr>
          <w:p w14:paraId="7B3C6BB1"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10</w:t>
            </w:r>
          </w:p>
        </w:tc>
        <w:tc>
          <w:tcPr>
            <w:tcW w:w="2343" w:type="dxa"/>
            <w:vAlign w:val="center"/>
          </w:tcPr>
          <w:p w14:paraId="57FC6607"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598</w:t>
            </w:r>
          </w:p>
        </w:tc>
        <w:tc>
          <w:tcPr>
            <w:tcW w:w="1635" w:type="dxa"/>
            <w:vAlign w:val="center"/>
          </w:tcPr>
          <w:p w14:paraId="08E2F6C9"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960/160/150/69/20/8/5</w:t>
            </w:r>
          </w:p>
        </w:tc>
      </w:tr>
      <w:tr w:rsidR="00D557E3" w:rsidRPr="00155D6E" w14:paraId="3F34B35F" w14:textId="77777777" w:rsidTr="00826CB8">
        <w:trPr>
          <w:jc w:val="center"/>
        </w:trPr>
        <w:tc>
          <w:tcPr>
            <w:tcW w:w="1242" w:type="dxa"/>
            <w:vAlign w:val="center"/>
          </w:tcPr>
          <w:p w14:paraId="665E0451" w14:textId="43D41934" w:rsidR="00D557E3" w:rsidRPr="00155D6E" w:rsidRDefault="00D557E3" w:rsidP="00826CB8">
            <w:pPr>
              <w:snapToGrid w:val="0"/>
              <w:spacing w:beforeLines="50" w:before="120" w:line="480" w:lineRule="auto"/>
              <w:ind w:right="28"/>
              <w:rPr>
                <w:sz w:val="20"/>
                <w:lang w:eastAsia="zh-CN"/>
              </w:rPr>
            </w:pPr>
            <w:r>
              <w:rPr>
                <w:rFonts w:hint="eastAsia"/>
                <w:sz w:val="20"/>
                <w:lang w:eastAsia="zh-CN"/>
              </w:rPr>
              <w:t xml:space="preserve">Moghtaderi et al. (1997) </w:t>
            </w:r>
            <w:r>
              <w:rPr>
                <w:sz w:val="20"/>
                <w:lang w:eastAsia="zh-CN"/>
              </w:rPr>
              <w:fldChar w:fldCharType="begin" w:fldLock="1"/>
            </w:r>
            <w:r w:rsidR="006A1A14">
              <w:rPr>
                <w:sz w:val="20"/>
                <w:lang w:eastAsia="zh-CN"/>
              </w:rPr>
              <w:instrText>ADDIN CSL_CITATION {"citationItems":[{"id":"ITEM-1","itemData":{"DOI":"10.1016/S0379-7112(97)00004-0","ISSN":"03797112","abstract":"This paper presents the results of a combined experimental and theoretical study of piloted ignition of cellulosic materials. The main objective is to present an engineering solution to the piloted ignition problem for wood exposed to radiant heat in a bench-scale piloted ignition test. This has been motivated by the need to have simple models of ignition for use in a computational fluid dynamics (CFD) model of fire spread and extinguishment in building fires. The experiments were conducted on oven-dry and moisture conditioned samples of three wood species using a cone calorimeter. As expected, the experimental data revealed that the effect of moisture content on the piloted ignition process is significant. It was also found that the ignition temperature depends on the external heat flux, which supports other recent studies. Based on the experimental observations, an approximate analytical equation was derived and then used for correlating the ignition data, as well as extracting the piloted ignition properties. The chief distinguishing feature of the present equation over other similar equations is that it takes into account the variation of the ignition temperature with external heat flux. © 1997 Elsevier Science Ltd.","author":[{"dropping-particle":"","family":"Moghtaderi","given":"B.","non-dropping-particle":"","parse-names":false,"suffix":""},{"dropping-particle":"","family":"Novozhilov","given":"V.","non-dropping-particle":"","parse-names":false,"suffix":""},{"dropping-particle":"","family":"Fletcher","given":"D. F.","non-dropping-particle":"","parse-names":false,"suffix":""},{"dropping-particle":"","family":"Kent","given":"J. H.","non-dropping-particle":"","parse-names":false,"suffix":""}],"container-title":"Fire Safety Journal","id":"ITEM-1","issue":"1","issued":{"date-parts":[["1997"]]},"page":"41-59","title":"A New Correlation for Bench-scale Piloted Ignition Data of Wood","type":"article-journal","volume":"29"},"uris":["http://www.mendeley.com/documents/?uuid=067baa71-db4e-443a-b945-99c877849c49","http://www.mendeley.com/documents/?uuid=adf937b1-c54d-47fc-98f4-2d81504f0a23","http://www.mendeley.com/documents/?uuid=1591d564-384c-4c3c-ba62-41fca414e18a"]}],"mendeley":{"formattedCitation":"[18]","plainTextFormattedCitation":"[18]","previouslyFormattedCitation":"[68]"},"properties":{"noteIndex":0},"schema":"https://github.com/citation-style-language/schema/raw/master/csl-citation.json"}</w:instrText>
            </w:r>
            <w:r>
              <w:rPr>
                <w:sz w:val="20"/>
                <w:lang w:eastAsia="zh-CN"/>
              </w:rPr>
              <w:fldChar w:fldCharType="separate"/>
            </w:r>
            <w:r w:rsidR="006A1A14" w:rsidRPr="006A1A14">
              <w:rPr>
                <w:noProof/>
                <w:sz w:val="20"/>
                <w:lang w:eastAsia="zh-CN"/>
              </w:rPr>
              <w:t>[18]</w:t>
            </w:r>
            <w:r>
              <w:rPr>
                <w:sz w:val="20"/>
                <w:lang w:eastAsia="zh-CN"/>
              </w:rPr>
              <w:fldChar w:fldCharType="end"/>
            </w:r>
          </w:p>
        </w:tc>
        <w:tc>
          <w:tcPr>
            <w:tcW w:w="1927" w:type="dxa"/>
            <w:vAlign w:val="center"/>
          </w:tcPr>
          <w:p w14:paraId="3FD89801" w14:textId="77777777" w:rsidR="00D557E3" w:rsidRDefault="00D557E3" w:rsidP="00826CB8">
            <w:pPr>
              <w:snapToGrid w:val="0"/>
              <w:spacing w:beforeLines="50" w:before="120" w:line="480" w:lineRule="auto"/>
              <w:ind w:right="28"/>
              <w:rPr>
                <w:sz w:val="20"/>
                <w:lang w:val="en-GB" w:eastAsia="zh-CN"/>
              </w:rPr>
            </w:pPr>
            <w:r>
              <w:rPr>
                <w:sz w:val="20"/>
                <w:lang w:val="en-GB" w:eastAsia="zh-CN"/>
              </w:rPr>
              <w:t>S</w:t>
            </w:r>
            <w:r>
              <w:rPr>
                <w:rFonts w:hint="eastAsia"/>
                <w:sz w:val="20"/>
                <w:lang w:val="en-GB" w:eastAsia="zh-CN"/>
              </w:rPr>
              <w:t>ugar pine</w:t>
            </w:r>
          </w:p>
        </w:tc>
        <w:tc>
          <w:tcPr>
            <w:tcW w:w="1371" w:type="dxa"/>
            <w:vAlign w:val="center"/>
          </w:tcPr>
          <w:p w14:paraId="734C2C83"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20/25/35/45/55</w:t>
            </w:r>
          </w:p>
        </w:tc>
        <w:tc>
          <w:tcPr>
            <w:tcW w:w="950" w:type="dxa"/>
            <w:vAlign w:val="center"/>
          </w:tcPr>
          <w:p w14:paraId="4C5488BD"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10</w:t>
            </w:r>
          </w:p>
        </w:tc>
        <w:tc>
          <w:tcPr>
            <w:tcW w:w="2343" w:type="dxa"/>
            <w:vAlign w:val="center"/>
          </w:tcPr>
          <w:p w14:paraId="620E8AE8"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473</w:t>
            </w:r>
          </w:p>
        </w:tc>
        <w:tc>
          <w:tcPr>
            <w:tcW w:w="1635" w:type="dxa"/>
            <w:vAlign w:val="center"/>
          </w:tcPr>
          <w:p w14:paraId="62F3D4B9"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150/49/13/6/3</w:t>
            </w:r>
          </w:p>
        </w:tc>
      </w:tr>
      <w:tr w:rsidR="00D557E3" w:rsidRPr="00155D6E" w14:paraId="0B029A54" w14:textId="77777777" w:rsidTr="00826CB8">
        <w:trPr>
          <w:jc w:val="center"/>
        </w:trPr>
        <w:tc>
          <w:tcPr>
            <w:tcW w:w="1242" w:type="dxa"/>
            <w:vAlign w:val="center"/>
          </w:tcPr>
          <w:p w14:paraId="63D20825" w14:textId="34D7404F" w:rsidR="00D557E3" w:rsidRPr="00155D6E" w:rsidRDefault="00D557E3" w:rsidP="00826CB8">
            <w:pPr>
              <w:snapToGrid w:val="0"/>
              <w:spacing w:beforeLines="50" w:before="120" w:line="480" w:lineRule="auto"/>
              <w:ind w:right="28"/>
              <w:rPr>
                <w:sz w:val="20"/>
                <w:lang w:eastAsia="zh-CN"/>
              </w:rPr>
            </w:pPr>
            <w:r>
              <w:rPr>
                <w:rFonts w:hint="eastAsia"/>
                <w:sz w:val="20"/>
                <w:lang w:eastAsia="zh-CN"/>
              </w:rPr>
              <w:t xml:space="preserve">Moghtaderi et al. (1997) </w:t>
            </w:r>
            <w:r>
              <w:rPr>
                <w:sz w:val="20"/>
                <w:lang w:eastAsia="zh-CN"/>
              </w:rPr>
              <w:fldChar w:fldCharType="begin" w:fldLock="1"/>
            </w:r>
            <w:r w:rsidR="006A1A14">
              <w:rPr>
                <w:sz w:val="20"/>
                <w:lang w:eastAsia="zh-CN"/>
              </w:rPr>
              <w:instrText>ADDIN CSL_CITATION {"citationItems":[{"id":"ITEM-1","itemData":{"DOI":"10.1016/S0379-7112(97)00004-0","ISSN":"03797112","abstract":"This paper presents the results of a combined experimental and theoretical study of piloted ignition of cellulosic materials. The main objective is to present an engineering solution to the piloted ignition problem for wood exposed to radiant heat in a bench-scale piloted ignition test. This has been motivated by the need to have simple models of ignition for use in a computational fluid dynamics (CFD) model of fire spread and extinguishment in building fires. The experiments were conducted on oven-dry and moisture conditioned samples of three wood species using a cone calorimeter. As expected, the experimental data revealed that the effect of moisture content on the piloted ignition process is significant. It was also found that the ignition temperature depends on the external heat flux, which supports other recent studies. Based on the experimental observations, an approximate analytical equation was derived and then used for correlating the ignition data, as well as extracting the piloted ignition properties. The chief distinguishing feature of the present equation over other similar equations is that it takes into account the variation of the ignition temperature with external heat flux. © 1997 Elsevier Science Ltd.","author":[{"dropping-particle":"","family":"Moghtaderi","given":"B.","non-dropping-particle":"","parse-names":false,"suffix":""},{"dropping-particle":"","family":"Novozhilov","given":"V.","non-dropping-particle":"","parse-names":false,"suffix":""},{"dropping-particle":"","family":"Fletcher","given":"D. F.","non-dropping-particle":"","parse-names":false,"suffix":""},{"dropping-particle":"","family":"Kent","given":"J. H.","non-dropping-particle":"","parse-names":false,"suffix":""}],"container-title":"Fire Safety Journal","id":"ITEM-1","issue":"1","issued":{"date-parts":[["1997"]]},"page":"41-59","title":"A New Correlation for Bench-scale Piloted Ignition Data of Wood","type":"article-journal","volume":"29"},"uris":["http://www.mendeley.com/documents/?uuid=067baa71-db4e-443a-b945-99c877849c49","http://www.mendeley.com/documents/?uuid=adf937b1-c54d-47fc-98f4-2d81504f0a23","http://www.mendeley.com/documents/?uuid=1591d564-384c-4c3c-ba62-41fca414e18a"]}],"mendeley":{"formattedCitation":"[18]","plainTextFormattedCitation":"[18]","previouslyFormattedCitation":"[68]"},"properties":{"noteIndex":0},"schema":"https://github.com/citation-style-language/schema/raw/master/csl-citation.json"}</w:instrText>
            </w:r>
            <w:r>
              <w:rPr>
                <w:sz w:val="20"/>
                <w:lang w:eastAsia="zh-CN"/>
              </w:rPr>
              <w:fldChar w:fldCharType="separate"/>
            </w:r>
            <w:r w:rsidR="006A1A14" w:rsidRPr="006A1A14">
              <w:rPr>
                <w:noProof/>
                <w:sz w:val="20"/>
                <w:lang w:eastAsia="zh-CN"/>
              </w:rPr>
              <w:t>[18]</w:t>
            </w:r>
            <w:r>
              <w:rPr>
                <w:sz w:val="20"/>
                <w:lang w:eastAsia="zh-CN"/>
              </w:rPr>
              <w:fldChar w:fldCharType="end"/>
            </w:r>
          </w:p>
        </w:tc>
        <w:tc>
          <w:tcPr>
            <w:tcW w:w="1927" w:type="dxa"/>
            <w:vAlign w:val="center"/>
          </w:tcPr>
          <w:p w14:paraId="0B8F5BF8"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Radiata pine</w:t>
            </w:r>
          </w:p>
        </w:tc>
        <w:tc>
          <w:tcPr>
            <w:tcW w:w="1371" w:type="dxa"/>
            <w:vAlign w:val="center"/>
          </w:tcPr>
          <w:p w14:paraId="15C7FB7C"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20/30/40/50/60</w:t>
            </w:r>
          </w:p>
        </w:tc>
        <w:tc>
          <w:tcPr>
            <w:tcW w:w="950" w:type="dxa"/>
            <w:vAlign w:val="center"/>
          </w:tcPr>
          <w:p w14:paraId="340774FA"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0</w:t>
            </w:r>
          </w:p>
        </w:tc>
        <w:tc>
          <w:tcPr>
            <w:tcW w:w="2343" w:type="dxa"/>
            <w:vAlign w:val="center"/>
          </w:tcPr>
          <w:p w14:paraId="1D1F65C0"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465</w:t>
            </w:r>
          </w:p>
        </w:tc>
        <w:tc>
          <w:tcPr>
            <w:tcW w:w="1635" w:type="dxa"/>
            <w:vAlign w:val="center"/>
          </w:tcPr>
          <w:p w14:paraId="588F42CD"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179/19/9/5/3</w:t>
            </w:r>
          </w:p>
        </w:tc>
      </w:tr>
      <w:tr w:rsidR="00D557E3" w:rsidRPr="00155D6E" w14:paraId="56E5B096" w14:textId="77777777" w:rsidTr="00826CB8">
        <w:trPr>
          <w:jc w:val="center"/>
        </w:trPr>
        <w:tc>
          <w:tcPr>
            <w:tcW w:w="1242" w:type="dxa"/>
            <w:vAlign w:val="center"/>
          </w:tcPr>
          <w:p w14:paraId="7DE7328C" w14:textId="37B2A1B6" w:rsidR="00D557E3" w:rsidRPr="00155D6E" w:rsidRDefault="00D557E3" w:rsidP="00826CB8">
            <w:pPr>
              <w:snapToGrid w:val="0"/>
              <w:spacing w:beforeLines="50" w:before="120" w:line="480" w:lineRule="auto"/>
              <w:ind w:right="28"/>
              <w:rPr>
                <w:sz w:val="20"/>
                <w:lang w:eastAsia="zh-CN"/>
              </w:rPr>
            </w:pPr>
            <w:r>
              <w:rPr>
                <w:rFonts w:hint="eastAsia"/>
                <w:sz w:val="20"/>
                <w:lang w:eastAsia="zh-CN"/>
              </w:rPr>
              <w:t xml:space="preserve">Moghtaderi et al. (1997) </w:t>
            </w:r>
            <w:r>
              <w:rPr>
                <w:sz w:val="20"/>
                <w:lang w:eastAsia="zh-CN"/>
              </w:rPr>
              <w:fldChar w:fldCharType="begin" w:fldLock="1"/>
            </w:r>
            <w:r w:rsidR="006A1A14">
              <w:rPr>
                <w:sz w:val="20"/>
                <w:lang w:eastAsia="zh-CN"/>
              </w:rPr>
              <w:instrText>ADDIN CSL_CITATION {"citationItems":[{"id":"ITEM-1","itemData":{"DOI":"10.1016/S0379-7112(97)00004-0","ISSN":"03797112","abstract":"This paper presents the results of a combined experimental and theoretical study of piloted ignition of cellulosic materials. The main objective is to present an engineering solution to the piloted ignition problem for wood exposed to radiant heat in a bench-scale piloted ignition test. This has been motivated by the need to have simple models of ignition for use in a computational fluid dynamics (CFD) model of fire spread and extinguishment in building fires. The experiments were conducted on oven-dry and moisture conditioned samples of three wood species using a cone calorimeter. As expected, the experimental data revealed that the effect of moisture content on the piloted ignition process is significant. It was also found that the ignition temperature depends on the external heat flux, which supports other recent studies. Based on the experimental observations, an approximate analytical equation was derived and then used for correlating the ignition data, as well as extracting the piloted ignition properties. The chief distinguishing feature of the present equation over other similar equations is that it takes into account the variation of the ignition temperature with external heat flux. © 1997 Elsevier Science Ltd.","author":[{"dropping-particle":"","family":"Moghtaderi","given":"B.","non-dropping-particle":"","parse-names":false,"suffix":""},{"dropping-particle":"","family":"Novozhilov","given":"V.","non-dropping-particle":"","parse-names":false,"suffix":""},{"dropping-particle":"","family":"Fletcher","given":"D. F.","non-dropping-particle":"","parse-names":false,"suffix":""},{"dropping-particle":"","family":"Kent","given":"J. H.","non-dropping-particle":"","parse-names":false,"suffix":""}],"container-title":"Fire Safety Journal","id":"ITEM-1","issue":"1","issued":{"date-parts":[["1997"]]},"page":"41-59","title":"A New Correlation for Bench-scale Piloted Ignition Data of Wood","type":"article-journal","volume":"29"},"uris":["http://www.mendeley.com/documents/?uuid=067baa71-db4e-443a-b945-99c877849c49","http://www.mendeley.com/documents/?uuid=adf937b1-c54d-47fc-98f4-2d81504f0a23","http://www.mendeley.com/documents/?uuid=1591d564-384c-4c3c-ba62-41fca414e18a"]}],"mendeley":{"formattedCitation":"[18]","plainTextFormattedCitation":"[18]","previouslyFormattedCitation":"[68]"},"properties":{"noteIndex":0},"schema":"https://github.com/citation-style-language/schema/raw/master/csl-citation.json"}</w:instrText>
            </w:r>
            <w:r>
              <w:rPr>
                <w:sz w:val="20"/>
                <w:lang w:eastAsia="zh-CN"/>
              </w:rPr>
              <w:fldChar w:fldCharType="separate"/>
            </w:r>
            <w:r w:rsidR="006A1A14" w:rsidRPr="006A1A14">
              <w:rPr>
                <w:noProof/>
                <w:sz w:val="20"/>
                <w:lang w:eastAsia="zh-CN"/>
              </w:rPr>
              <w:t>[18]</w:t>
            </w:r>
            <w:r>
              <w:rPr>
                <w:sz w:val="20"/>
                <w:lang w:eastAsia="zh-CN"/>
              </w:rPr>
              <w:fldChar w:fldCharType="end"/>
            </w:r>
          </w:p>
        </w:tc>
        <w:tc>
          <w:tcPr>
            <w:tcW w:w="1927" w:type="dxa"/>
            <w:vAlign w:val="center"/>
          </w:tcPr>
          <w:p w14:paraId="298B213E"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Radiata pine</w:t>
            </w:r>
          </w:p>
        </w:tc>
        <w:tc>
          <w:tcPr>
            <w:tcW w:w="1371" w:type="dxa"/>
            <w:vAlign w:val="center"/>
          </w:tcPr>
          <w:p w14:paraId="59870F14"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20/30/40/50/60</w:t>
            </w:r>
          </w:p>
        </w:tc>
        <w:tc>
          <w:tcPr>
            <w:tcW w:w="950" w:type="dxa"/>
            <w:vAlign w:val="center"/>
          </w:tcPr>
          <w:p w14:paraId="2D5A5E04"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15</w:t>
            </w:r>
          </w:p>
        </w:tc>
        <w:tc>
          <w:tcPr>
            <w:tcW w:w="2343" w:type="dxa"/>
            <w:vAlign w:val="center"/>
          </w:tcPr>
          <w:p w14:paraId="7ED57A91"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535</w:t>
            </w:r>
          </w:p>
        </w:tc>
        <w:tc>
          <w:tcPr>
            <w:tcW w:w="1635" w:type="dxa"/>
            <w:vAlign w:val="center"/>
          </w:tcPr>
          <w:p w14:paraId="5ECC18F1"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295/52/18/11/7</w:t>
            </w:r>
          </w:p>
        </w:tc>
      </w:tr>
      <w:tr w:rsidR="00D557E3" w:rsidRPr="00155D6E" w14:paraId="3128A545" w14:textId="77777777" w:rsidTr="00826CB8">
        <w:trPr>
          <w:jc w:val="center"/>
        </w:trPr>
        <w:tc>
          <w:tcPr>
            <w:tcW w:w="1242" w:type="dxa"/>
            <w:vAlign w:val="center"/>
          </w:tcPr>
          <w:p w14:paraId="44B45EEE" w14:textId="113D591F" w:rsidR="00D557E3" w:rsidRPr="00155D6E" w:rsidRDefault="00D557E3" w:rsidP="00826CB8">
            <w:pPr>
              <w:snapToGrid w:val="0"/>
              <w:spacing w:beforeLines="50" w:before="120" w:line="480" w:lineRule="auto"/>
              <w:ind w:right="28"/>
              <w:rPr>
                <w:sz w:val="20"/>
                <w:lang w:eastAsia="zh-CN"/>
              </w:rPr>
            </w:pPr>
            <w:r>
              <w:rPr>
                <w:rFonts w:hint="eastAsia"/>
                <w:sz w:val="20"/>
                <w:lang w:eastAsia="zh-CN"/>
              </w:rPr>
              <w:t xml:space="preserve">Moghtaderi et al. (1997) </w:t>
            </w:r>
            <w:r>
              <w:rPr>
                <w:sz w:val="20"/>
                <w:lang w:eastAsia="zh-CN"/>
              </w:rPr>
              <w:fldChar w:fldCharType="begin" w:fldLock="1"/>
            </w:r>
            <w:r w:rsidR="006A1A14">
              <w:rPr>
                <w:sz w:val="20"/>
                <w:lang w:eastAsia="zh-CN"/>
              </w:rPr>
              <w:instrText>ADDIN CSL_CITATION {"citationItems":[{"id":"ITEM-1","itemData":{"DOI":"10.1016/S0379-7112(97)00004-0","ISSN":"03797112","abstract":"This paper presents the results of a combined experimental and theoretical study of piloted ignition of cellulosic materials. The main objective is to present an engineering solution to the piloted ignition problem for wood exposed to radiant heat in a bench-scale piloted ignition test. This has been motivated by the need to have simple models of ignition for use in a computational fluid dynamics (CFD) model of fire spread and extinguishment in building fires. The experiments were conducted on oven-dry and moisture conditioned samples of three wood species using a cone calorimeter. As expected, the experimental data revealed that the effect of moisture content on the piloted ignition process is significant. It was also found that the ignition temperature depends on the external heat flux, which supports other recent studies. Based on the experimental observations, an approximate analytical equation was derived and then used for correlating the ignition data, as well as extracting the piloted ignition properties. The chief distinguishing feature of the present equation over other similar equations is that it takes into account the variation of the ignition temperature with external heat flux. © 1997 Elsevier Science Ltd.","author":[{"dropping-particle":"","family":"Moghtaderi","given":"B.","non-dropping-particle":"","parse-names":false,"suffix":""},{"dropping-particle":"","family":"Novozhilov","given":"V.","non-dropping-particle":"","parse-names":false,"suffix":""},{"dropping-particle":"","family":"Fletcher","given":"D. F.","non-dropping-particle":"","parse-names":false,"suffix":""},{"dropping-particle":"","family":"Kent","given":"J. H.","non-dropping-particle":"","parse-names":false,"suffix":""}],"container-title":"Fire Safety Journal","id":"ITEM-1","issue":"1","issued":{"date-parts":[["1997"]]},"page":"41-59","title":"A New Correlation for Bench-scale Piloted Ignition Data of Wood","type":"article-journal","volume":"29"},"uris":["http://www.mendeley.com/documents/?uuid=067baa71-db4e-443a-b945-99c877849c49","http://www.mendeley.com/documents/?uuid=adf937b1-c54d-47fc-98f4-2d81504f0a23","http://www.mendeley.com/documents/?uuid=1591d564-384c-4c3c-ba62-41fca414e18a"]}],"mendeley":{"formattedCitation":"[18]","plainTextFormattedCitation":"[18]","previouslyFormattedCitation":"[68]"},"properties":{"noteIndex":0},"schema":"https://github.com/citation-style-language/schema/raw/master/csl-citation.json"}</w:instrText>
            </w:r>
            <w:r>
              <w:rPr>
                <w:sz w:val="20"/>
                <w:lang w:eastAsia="zh-CN"/>
              </w:rPr>
              <w:fldChar w:fldCharType="separate"/>
            </w:r>
            <w:r w:rsidR="006A1A14" w:rsidRPr="006A1A14">
              <w:rPr>
                <w:noProof/>
                <w:sz w:val="20"/>
                <w:lang w:eastAsia="zh-CN"/>
              </w:rPr>
              <w:t>[18]</w:t>
            </w:r>
            <w:r>
              <w:rPr>
                <w:sz w:val="20"/>
                <w:lang w:eastAsia="zh-CN"/>
              </w:rPr>
              <w:fldChar w:fldCharType="end"/>
            </w:r>
          </w:p>
        </w:tc>
        <w:tc>
          <w:tcPr>
            <w:tcW w:w="1927" w:type="dxa"/>
            <w:vAlign w:val="center"/>
          </w:tcPr>
          <w:p w14:paraId="56AAB4A4"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Radiata pine</w:t>
            </w:r>
          </w:p>
        </w:tc>
        <w:tc>
          <w:tcPr>
            <w:tcW w:w="1371" w:type="dxa"/>
            <w:vAlign w:val="center"/>
          </w:tcPr>
          <w:p w14:paraId="6DE0CBCC"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20/30/40/50/60</w:t>
            </w:r>
          </w:p>
        </w:tc>
        <w:tc>
          <w:tcPr>
            <w:tcW w:w="950" w:type="dxa"/>
            <w:vAlign w:val="center"/>
          </w:tcPr>
          <w:p w14:paraId="63F7313E"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22</w:t>
            </w:r>
          </w:p>
        </w:tc>
        <w:tc>
          <w:tcPr>
            <w:tcW w:w="2343" w:type="dxa"/>
            <w:vAlign w:val="center"/>
          </w:tcPr>
          <w:p w14:paraId="1D28F32A"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567</w:t>
            </w:r>
          </w:p>
        </w:tc>
        <w:tc>
          <w:tcPr>
            <w:tcW w:w="1635" w:type="dxa"/>
            <w:vAlign w:val="center"/>
          </w:tcPr>
          <w:p w14:paraId="47054B5A"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420/67/30/11/9</w:t>
            </w:r>
          </w:p>
        </w:tc>
      </w:tr>
      <w:tr w:rsidR="00D557E3" w:rsidRPr="00155D6E" w14:paraId="376669DE" w14:textId="77777777" w:rsidTr="00826CB8">
        <w:trPr>
          <w:jc w:val="center"/>
        </w:trPr>
        <w:tc>
          <w:tcPr>
            <w:tcW w:w="1242" w:type="dxa"/>
            <w:vAlign w:val="center"/>
          </w:tcPr>
          <w:p w14:paraId="7F591F48" w14:textId="233ACBFF" w:rsidR="00D557E3" w:rsidRPr="00155D6E" w:rsidRDefault="00D557E3" w:rsidP="00826CB8">
            <w:pPr>
              <w:snapToGrid w:val="0"/>
              <w:spacing w:beforeLines="50" w:before="120" w:line="480" w:lineRule="auto"/>
              <w:ind w:right="28"/>
              <w:rPr>
                <w:sz w:val="20"/>
                <w:lang w:eastAsia="zh-CN"/>
              </w:rPr>
            </w:pPr>
            <w:r>
              <w:rPr>
                <w:rFonts w:hint="eastAsia"/>
                <w:sz w:val="20"/>
                <w:lang w:eastAsia="zh-CN"/>
              </w:rPr>
              <w:t xml:space="preserve">Moghtaderi et al. (1997) </w:t>
            </w:r>
            <w:r>
              <w:rPr>
                <w:sz w:val="20"/>
                <w:lang w:eastAsia="zh-CN"/>
              </w:rPr>
              <w:lastRenderedPageBreak/>
              <w:fldChar w:fldCharType="begin" w:fldLock="1"/>
            </w:r>
            <w:r w:rsidR="006A1A14">
              <w:rPr>
                <w:sz w:val="20"/>
                <w:lang w:eastAsia="zh-CN"/>
              </w:rPr>
              <w:instrText>ADDIN CSL_CITATION {"citationItems":[{"id":"ITEM-1","itemData":{"DOI":"10.1016/S0379-7112(97)00004-0","ISSN":"03797112","abstract":"This paper presents the results of a combined experimental and theoretical study of piloted ignition of cellulosic materials. The main objective is to present an engineering solution to the piloted ignition problem for wood exposed to radiant heat in a bench-scale piloted ignition test. This has been motivated by the need to have simple models of ignition for use in a computational fluid dynamics (CFD) model of fire spread and extinguishment in building fires. The experiments were conducted on oven-dry and moisture conditioned samples of three wood species using a cone calorimeter. As expected, the experimental data revealed that the effect of moisture content on the piloted ignition process is significant. It was also found that the ignition temperature depends on the external heat flux, which supports other recent studies. Based on the experimental observations, an approximate analytical equation was derived and then used for correlating the ignition data, as well as extracting the piloted ignition properties. The chief distinguishing feature of the present equation over other similar equations is that it takes into account the variation of the ignition temperature with external heat flux. © 1997 Elsevier Science Ltd.","author":[{"dropping-particle":"","family":"Moghtaderi","given":"B.","non-dropping-particle":"","parse-names":false,"suffix":""},{"dropping-particle":"","family":"Novozhilov","given":"V.","non-dropping-particle":"","parse-names":false,"suffix":""},{"dropping-particle":"","family":"Fletcher","given":"D. F.","non-dropping-particle":"","parse-names":false,"suffix":""},{"dropping-particle":"","family":"Kent","given":"J. H.","non-dropping-particle":"","parse-names":false,"suffix":""}],"container-title":"Fire Safety Journal","id":"ITEM-1","issue":"1","issued":{"date-parts":[["1997"]]},"page":"41-59","title":"A New Correlation for Bench-scale Piloted Ignition Data of Wood","type":"article-journal","volume":"29"},"uris":["http://www.mendeley.com/documents/?uuid=067baa71-db4e-443a-b945-99c877849c49","http://www.mendeley.com/documents/?uuid=adf937b1-c54d-47fc-98f4-2d81504f0a23","http://www.mendeley.com/documents/?uuid=1591d564-384c-4c3c-ba62-41fca414e18a"]}],"mendeley":{"formattedCitation":"[18]","plainTextFormattedCitation":"[18]","previouslyFormattedCitation":"[68]"},"properties":{"noteIndex":0},"schema":"https://github.com/citation-style-language/schema/raw/master/csl-citation.json"}</w:instrText>
            </w:r>
            <w:r>
              <w:rPr>
                <w:sz w:val="20"/>
                <w:lang w:eastAsia="zh-CN"/>
              </w:rPr>
              <w:fldChar w:fldCharType="separate"/>
            </w:r>
            <w:r w:rsidR="006A1A14" w:rsidRPr="006A1A14">
              <w:rPr>
                <w:noProof/>
                <w:sz w:val="20"/>
                <w:lang w:eastAsia="zh-CN"/>
              </w:rPr>
              <w:t>[18]</w:t>
            </w:r>
            <w:r>
              <w:rPr>
                <w:sz w:val="20"/>
                <w:lang w:eastAsia="zh-CN"/>
              </w:rPr>
              <w:fldChar w:fldCharType="end"/>
            </w:r>
          </w:p>
        </w:tc>
        <w:tc>
          <w:tcPr>
            <w:tcW w:w="1927" w:type="dxa"/>
            <w:vAlign w:val="center"/>
          </w:tcPr>
          <w:p w14:paraId="1911F77B"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lastRenderedPageBreak/>
              <w:t>Radiata pine</w:t>
            </w:r>
          </w:p>
        </w:tc>
        <w:tc>
          <w:tcPr>
            <w:tcW w:w="1371" w:type="dxa"/>
            <w:vAlign w:val="center"/>
          </w:tcPr>
          <w:p w14:paraId="614FF9EE"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20/30/40/50/60</w:t>
            </w:r>
          </w:p>
        </w:tc>
        <w:tc>
          <w:tcPr>
            <w:tcW w:w="950" w:type="dxa"/>
            <w:vAlign w:val="center"/>
          </w:tcPr>
          <w:p w14:paraId="54340DE8"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30</w:t>
            </w:r>
          </w:p>
        </w:tc>
        <w:tc>
          <w:tcPr>
            <w:tcW w:w="2343" w:type="dxa"/>
            <w:vAlign w:val="center"/>
          </w:tcPr>
          <w:p w14:paraId="6C064D14"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605</w:t>
            </w:r>
          </w:p>
        </w:tc>
        <w:tc>
          <w:tcPr>
            <w:tcW w:w="1635" w:type="dxa"/>
            <w:vAlign w:val="center"/>
          </w:tcPr>
          <w:p w14:paraId="48C7E343"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540/93/36/19/11</w:t>
            </w:r>
          </w:p>
        </w:tc>
      </w:tr>
      <w:tr w:rsidR="00D557E3" w:rsidRPr="00155D6E" w14:paraId="6F1A1679" w14:textId="77777777" w:rsidTr="00826CB8">
        <w:trPr>
          <w:jc w:val="center"/>
        </w:trPr>
        <w:tc>
          <w:tcPr>
            <w:tcW w:w="1242" w:type="dxa"/>
            <w:vAlign w:val="center"/>
          </w:tcPr>
          <w:p w14:paraId="6EF82C08" w14:textId="604AE768" w:rsidR="00D557E3" w:rsidRPr="00155D6E" w:rsidRDefault="00D557E3" w:rsidP="00826CB8">
            <w:pPr>
              <w:snapToGrid w:val="0"/>
              <w:spacing w:beforeLines="50" w:before="120" w:line="480" w:lineRule="auto"/>
              <w:ind w:right="28"/>
              <w:rPr>
                <w:sz w:val="20"/>
                <w:lang w:eastAsia="zh-CN"/>
              </w:rPr>
            </w:pPr>
            <w:r>
              <w:rPr>
                <w:rFonts w:hint="eastAsia"/>
                <w:sz w:val="20"/>
                <w:lang w:eastAsia="zh-CN"/>
              </w:rPr>
              <w:t xml:space="preserve">Hagen et al. (2009) </w:t>
            </w:r>
            <w:r>
              <w:rPr>
                <w:sz w:val="20"/>
                <w:lang w:eastAsia="zh-CN"/>
              </w:rPr>
              <w:fldChar w:fldCharType="begin" w:fldLock="1"/>
            </w:r>
            <w:r w:rsidR="006A1A14">
              <w:rPr>
                <w:sz w:val="20"/>
                <w:lang w:eastAsia="zh-CN"/>
              </w:rPr>
              <w:instrText>ADDIN CSL_CITATION {"citationItems":[{"id":"ITEM-1","itemData":{"DOI":"10.1016/j.firesaf.2009.07.004","ISBN":"0379-7112","ISSN":"03797112","abstract":"Experimental techniques such as the cone calorimeter, representing realistic fire conditions, and the thermogravimetric analyser (TGA) combined with evolved gas analysis (EGA) can be used to determine flammability and degradation properties of materials. The desire is to correlate the flammability properties measured in the cone calorimeter for samples of size 100 mm×100 mm with those measured or deduced from TGA combined with EGA for milligram samples. Such an achievement will allow the design of fire-safe materials by quickly assessing (a) the fire safety of materials in their earliest milligram formulation and (b) the dependence of their flammability properties on the molecular structure of the material. In the present study, a cone calorimeter and TGA investigation is conducted for commercial Nordic Spruce wood impregnated by mono-ammonium phosphate (fire retardant, FR) through a vacuum pressure method. Experiments in the cone calorimeter with increasing FR concentrations indicated that (a) the char yields increased, (b) the apparent ignition temperature increased, (c) time to piloted ignition increased, (d) the total amount of heat released was reduced, (e) the peak heat release rate was reduced and (f) the carbon monoxide and smoke yields increased especially before ignition occurred. By comparison, char yields also increased with FR content in the TGA degradation experiments in nitrogen. The increase in the char yield with FR content explains quantitatively the decrease in the heat release in the cone calorimeter. By contrast, the onset temperatures measured in TGA decreased, whereas the ignition temperature deduced in the cone calorimeter increased with FR content. This difference is attributed to reduced yield of levoglucosan (reported in recent literature using TGA/EGA) with increased char yield as well as to the presence of phosphorous containing moieties in the volatiles, which both can quench piloted ignition. Finally, the TGA measurements showed that the FR concentrations decreased for milligram samples at different distances from the surface of the wood used in the cone calorimeter measurements. The variation of FR retardant with depth needs to be considered when using TGA data to interpret cone calorimeter measurements and the fire performance of the FR wood in approval tests such as the single burning item (SBI). © 2009 Elsevier Ltd. All rights reserved.","author":[{"dropping-particle":"","family":"Hagen","given":"M.","non-dropping-particle":"","parse-names":false,"suffix":""},{"dropping-particle":"","family":"Hereid","given":"J.","non-dropping-particle":"","parse-names":false,"suffix":""},{"dropping-particle":"","family":"Delichatsios","given":"M. A.","non-dropping-particle":"","parse-names":false,"suffix":""},{"dropping-particle":"","family":"Zhang","given":"J.","non-dropping-particle":"","parse-names":false,"suffix":""},{"dropping-particle":"","family":"Bakirtzis","given":"D.","non-dropping-particle":"","parse-names":false,"suffix":""}],"container-title":"Fire Safety Journal","id":"ITEM-1","issue":"8","issued":{"date-parts":[["2009"]]},"page":"1053-1066","publisher":"Elsevier","title":"Flammability assessment of fire-retarded Nordic Spruce wood using thermogravimetric analyses and cone calorimetry","type":"article-journal","volume":"44"},"uris":["http://www.mendeley.com/documents/?uuid=10b7e81b-e99e-40da-b113-508dbf4ef6a1","http://www.mendeley.com/documents/?uuid=1e3dce7b-b302-412a-8666-5e7b6d4ed723","http://www.mendeley.com/documents/?uuid=95400eca-95ff-47b6-b6f1-4a7513a20fc9"]}],"mendeley":{"formattedCitation":"[19]","plainTextFormattedCitation":"[19]","previouslyFormattedCitation":"[69]"},"properties":{"noteIndex":0},"schema":"https://github.com/citation-style-language/schema/raw/master/csl-citation.json"}</w:instrText>
            </w:r>
            <w:r>
              <w:rPr>
                <w:sz w:val="20"/>
                <w:lang w:eastAsia="zh-CN"/>
              </w:rPr>
              <w:fldChar w:fldCharType="separate"/>
            </w:r>
            <w:r w:rsidR="006A1A14" w:rsidRPr="006A1A14">
              <w:rPr>
                <w:noProof/>
                <w:sz w:val="20"/>
                <w:lang w:eastAsia="zh-CN"/>
              </w:rPr>
              <w:t>[19]</w:t>
            </w:r>
            <w:r>
              <w:rPr>
                <w:sz w:val="20"/>
                <w:lang w:eastAsia="zh-CN"/>
              </w:rPr>
              <w:fldChar w:fldCharType="end"/>
            </w:r>
          </w:p>
        </w:tc>
        <w:tc>
          <w:tcPr>
            <w:tcW w:w="1927" w:type="dxa"/>
            <w:vAlign w:val="center"/>
          </w:tcPr>
          <w:p w14:paraId="41BE2C90"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 xml:space="preserve">Nordic </w:t>
            </w:r>
            <w:r>
              <w:rPr>
                <w:sz w:val="20"/>
                <w:lang w:val="en-GB" w:eastAsia="zh-CN"/>
              </w:rPr>
              <w:t>spruce</w:t>
            </w:r>
          </w:p>
        </w:tc>
        <w:tc>
          <w:tcPr>
            <w:tcW w:w="1371" w:type="dxa"/>
            <w:vAlign w:val="center"/>
          </w:tcPr>
          <w:p w14:paraId="37C05B51"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20/30/40/50/60</w:t>
            </w:r>
          </w:p>
        </w:tc>
        <w:tc>
          <w:tcPr>
            <w:tcW w:w="950" w:type="dxa"/>
            <w:vAlign w:val="center"/>
          </w:tcPr>
          <w:p w14:paraId="697C0572"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8.5</w:t>
            </w:r>
          </w:p>
        </w:tc>
        <w:tc>
          <w:tcPr>
            <w:tcW w:w="2343" w:type="dxa"/>
            <w:vAlign w:val="center"/>
          </w:tcPr>
          <w:p w14:paraId="55E9CA25"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474</w:t>
            </w:r>
          </w:p>
        </w:tc>
        <w:tc>
          <w:tcPr>
            <w:tcW w:w="1635" w:type="dxa"/>
            <w:vAlign w:val="center"/>
          </w:tcPr>
          <w:p w14:paraId="04FCBE38"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681/103/38/21/13</w:t>
            </w:r>
          </w:p>
        </w:tc>
      </w:tr>
      <w:tr w:rsidR="00D557E3" w:rsidRPr="00155D6E" w14:paraId="5BE0DB93" w14:textId="77777777" w:rsidTr="00826CB8">
        <w:trPr>
          <w:jc w:val="center"/>
        </w:trPr>
        <w:tc>
          <w:tcPr>
            <w:tcW w:w="1242" w:type="dxa"/>
            <w:vAlign w:val="center"/>
          </w:tcPr>
          <w:p w14:paraId="56DD1FA2" w14:textId="0FF220A1" w:rsidR="00D557E3" w:rsidRPr="00155D6E" w:rsidRDefault="00D557E3" w:rsidP="00826CB8">
            <w:pPr>
              <w:snapToGrid w:val="0"/>
              <w:spacing w:beforeLines="50" w:before="120" w:line="480" w:lineRule="auto"/>
              <w:ind w:right="28"/>
              <w:rPr>
                <w:sz w:val="20"/>
                <w:lang w:eastAsia="zh-CN"/>
              </w:rPr>
            </w:pPr>
            <w:r w:rsidRPr="00492D05">
              <w:rPr>
                <w:noProof/>
              </w:rPr>
              <w:t>Jaskółowski</w:t>
            </w:r>
            <w:r>
              <w:rPr>
                <w:sz w:val="20"/>
                <w:lang w:eastAsia="zh-CN"/>
              </w:rPr>
              <w:t xml:space="preserve"> </w:t>
            </w:r>
            <w:r>
              <w:rPr>
                <w:rFonts w:hint="eastAsia"/>
                <w:sz w:val="20"/>
                <w:lang w:eastAsia="zh-CN"/>
              </w:rPr>
              <w:t xml:space="preserve">et al. (2014) </w:t>
            </w:r>
            <w:r>
              <w:rPr>
                <w:sz w:val="20"/>
                <w:lang w:eastAsia="zh-CN"/>
              </w:rPr>
              <w:fldChar w:fldCharType="begin" w:fldLock="1"/>
            </w:r>
            <w:r w:rsidR="006A1A14">
              <w:rPr>
                <w:sz w:val="20"/>
                <w:lang w:eastAsia="zh-CN"/>
              </w:rPr>
              <w:instrText>ADDIN CSL_CITATION {"citationItems":[{"id":"ITEM-1","itemData":{"author":[{"dropping-particle":"","family":"Jaskółowski","given":"Waldemar","non-dropping-particle":"","parse-names":false,"suffix":""},{"dropping-particle":"","family":"Ogrodnik","given":"Paweł","non-dropping-particle":"","parse-names":false,"suffix":""}],"container-title":"Forestry and Wood Technology","id":"ITEM-1","issue":"86","issued":{"date-parts":[["2014"]]},"page":"133-137","title":"The study of time to ignition of woods under external heat flux by piloted ignition and autoignition","type":"article-journal","volume":"137"},"uris":["http://www.mendeley.com/documents/?uuid=0066054a-fb53-4cab-9491-031be7229a91","http://www.mendeley.com/documents/?uuid=5b87bca5-9a9d-40f1-95a2-e42eb771aeca","http://www.mendeley.com/documents/?uuid=270fe7d8-d12a-422e-9f6f-ea32efea01c4"]}],"mendeley":{"formattedCitation":"[20]","plainTextFormattedCitation":"[20]","previouslyFormattedCitation":"[70]"},"properties":{"noteIndex":0},"schema":"https://github.com/citation-style-language/schema/raw/master/csl-citation.json"}</w:instrText>
            </w:r>
            <w:r>
              <w:rPr>
                <w:sz w:val="20"/>
                <w:lang w:eastAsia="zh-CN"/>
              </w:rPr>
              <w:fldChar w:fldCharType="separate"/>
            </w:r>
            <w:r w:rsidR="006A1A14" w:rsidRPr="006A1A14">
              <w:rPr>
                <w:noProof/>
                <w:sz w:val="20"/>
                <w:lang w:eastAsia="zh-CN"/>
              </w:rPr>
              <w:t>[20]</w:t>
            </w:r>
            <w:r>
              <w:rPr>
                <w:sz w:val="20"/>
                <w:lang w:eastAsia="zh-CN"/>
              </w:rPr>
              <w:fldChar w:fldCharType="end"/>
            </w:r>
          </w:p>
        </w:tc>
        <w:tc>
          <w:tcPr>
            <w:tcW w:w="1927" w:type="dxa"/>
            <w:vAlign w:val="center"/>
          </w:tcPr>
          <w:p w14:paraId="7C137778" w14:textId="77777777" w:rsidR="00D557E3" w:rsidRDefault="00D557E3" w:rsidP="00826CB8">
            <w:pPr>
              <w:snapToGrid w:val="0"/>
              <w:spacing w:beforeLines="50" w:before="120" w:line="480" w:lineRule="auto"/>
              <w:ind w:right="28"/>
              <w:rPr>
                <w:sz w:val="20"/>
                <w:lang w:val="en-GB" w:eastAsia="zh-CN"/>
              </w:rPr>
            </w:pPr>
            <w:r>
              <w:rPr>
                <w:sz w:val="20"/>
                <w:lang w:val="en-GB" w:eastAsia="zh-CN"/>
              </w:rPr>
              <w:t>B</w:t>
            </w:r>
            <w:r>
              <w:rPr>
                <w:rFonts w:hint="eastAsia"/>
                <w:sz w:val="20"/>
                <w:lang w:val="en-GB" w:eastAsia="zh-CN"/>
              </w:rPr>
              <w:t>eech</w:t>
            </w:r>
          </w:p>
        </w:tc>
        <w:tc>
          <w:tcPr>
            <w:tcW w:w="1371" w:type="dxa"/>
            <w:vAlign w:val="center"/>
          </w:tcPr>
          <w:p w14:paraId="11DB2CD5"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20/30/50</w:t>
            </w:r>
          </w:p>
        </w:tc>
        <w:tc>
          <w:tcPr>
            <w:tcW w:w="950" w:type="dxa"/>
            <w:vAlign w:val="center"/>
          </w:tcPr>
          <w:p w14:paraId="2053B322"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9.6</w:t>
            </w:r>
          </w:p>
        </w:tc>
        <w:tc>
          <w:tcPr>
            <w:tcW w:w="2343" w:type="dxa"/>
            <w:vAlign w:val="center"/>
          </w:tcPr>
          <w:p w14:paraId="460BEB54"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610</w:t>
            </w:r>
          </w:p>
        </w:tc>
        <w:tc>
          <w:tcPr>
            <w:tcW w:w="1635" w:type="dxa"/>
            <w:vAlign w:val="center"/>
          </w:tcPr>
          <w:p w14:paraId="524FD666"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624/64/29</w:t>
            </w:r>
          </w:p>
        </w:tc>
      </w:tr>
      <w:tr w:rsidR="00D557E3" w:rsidRPr="00155D6E" w14:paraId="16F055CE" w14:textId="77777777" w:rsidTr="00826CB8">
        <w:trPr>
          <w:jc w:val="center"/>
        </w:trPr>
        <w:tc>
          <w:tcPr>
            <w:tcW w:w="1242" w:type="dxa"/>
            <w:vAlign w:val="center"/>
          </w:tcPr>
          <w:p w14:paraId="5C546C0B" w14:textId="01DBECC1" w:rsidR="00D557E3" w:rsidRPr="00155D6E" w:rsidRDefault="00D557E3" w:rsidP="00826CB8">
            <w:pPr>
              <w:snapToGrid w:val="0"/>
              <w:spacing w:beforeLines="50" w:before="120" w:line="480" w:lineRule="auto"/>
              <w:ind w:right="28"/>
              <w:rPr>
                <w:sz w:val="20"/>
                <w:lang w:eastAsia="zh-CN"/>
              </w:rPr>
            </w:pPr>
            <w:r w:rsidRPr="00492D05">
              <w:rPr>
                <w:noProof/>
              </w:rPr>
              <w:t>Jaskółowski</w:t>
            </w:r>
            <w:r>
              <w:rPr>
                <w:sz w:val="20"/>
                <w:lang w:eastAsia="zh-CN"/>
              </w:rPr>
              <w:t xml:space="preserve"> </w:t>
            </w:r>
            <w:r>
              <w:rPr>
                <w:rFonts w:hint="eastAsia"/>
                <w:sz w:val="20"/>
                <w:lang w:eastAsia="zh-CN"/>
              </w:rPr>
              <w:t xml:space="preserve">et al. (2014) </w:t>
            </w:r>
            <w:r>
              <w:rPr>
                <w:sz w:val="20"/>
                <w:lang w:eastAsia="zh-CN"/>
              </w:rPr>
              <w:fldChar w:fldCharType="begin" w:fldLock="1"/>
            </w:r>
            <w:r w:rsidR="006A1A14">
              <w:rPr>
                <w:sz w:val="20"/>
                <w:lang w:eastAsia="zh-CN"/>
              </w:rPr>
              <w:instrText>ADDIN CSL_CITATION {"citationItems":[{"id":"ITEM-1","itemData":{"author":[{"dropping-particle":"","family":"Jaskółowski","given":"Waldemar","non-dropping-particle":"","parse-names":false,"suffix":""},{"dropping-particle":"","family":"Ogrodnik","given":"Paweł","non-dropping-particle":"","parse-names":false,"suffix":""}],"container-title":"Forestry and Wood Technology","id":"ITEM-1","issue":"86","issued":{"date-parts":[["2014"]]},"page":"133-137","title":"The study of time to ignition of woods under external heat flux by piloted ignition and autoignition","type":"article-journal","volume":"137"},"uris":["http://www.mendeley.com/documents/?uuid=270fe7d8-d12a-422e-9f6f-ea32efea01c4","http://www.mendeley.com/documents/?uuid=5b87bca5-9a9d-40f1-95a2-e42eb771aeca","http://www.mendeley.com/documents/?uuid=0066054a-fb53-4cab-9491-031be7229a91"]}],"mendeley":{"formattedCitation":"[20]","plainTextFormattedCitation":"[20]","previouslyFormattedCitation":"[70]"},"properties":{"noteIndex":0},"schema":"https://github.com/citation-style-language/schema/raw/master/csl-citation.json"}</w:instrText>
            </w:r>
            <w:r>
              <w:rPr>
                <w:sz w:val="20"/>
                <w:lang w:eastAsia="zh-CN"/>
              </w:rPr>
              <w:fldChar w:fldCharType="separate"/>
            </w:r>
            <w:r w:rsidR="006A1A14" w:rsidRPr="006A1A14">
              <w:rPr>
                <w:noProof/>
                <w:sz w:val="20"/>
                <w:lang w:eastAsia="zh-CN"/>
              </w:rPr>
              <w:t>[20]</w:t>
            </w:r>
            <w:r>
              <w:rPr>
                <w:sz w:val="20"/>
                <w:lang w:eastAsia="zh-CN"/>
              </w:rPr>
              <w:fldChar w:fldCharType="end"/>
            </w:r>
          </w:p>
        </w:tc>
        <w:tc>
          <w:tcPr>
            <w:tcW w:w="1927" w:type="dxa"/>
            <w:vAlign w:val="center"/>
          </w:tcPr>
          <w:p w14:paraId="2DC1D370" w14:textId="77777777" w:rsidR="00D557E3" w:rsidRDefault="00D557E3" w:rsidP="00826CB8">
            <w:pPr>
              <w:snapToGrid w:val="0"/>
              <w:spacing w:beforeLines="50" w:before="120" w:line="480" w:lineRule="auto"/>
              <w:ind w:right="28"/>
              <w:rPr>
                <w:sz w:val="20"/>
                <w:lang w:val="en-GB" w:eastAsia="zh-CN"/>
              </w:rPr>
            </w:pPr>
            <w:r>
              <w:rPr>
                <w:sz w:val="20"/>
                <w:lang w:val="en-GB" w:eastAsia="zh-CN"/>
              </w:rPr>
              <w:t>O</w:t>
            </w:r>
            <w:r>
              <w:rPr>
                <w:rFonts w:hint="eastAsia"/>
                <w:sz w:val="20"/>
                <w:lang w:val="en-GB" w:eastAsia="zh-CN"/>
              </w:rPr>
              <w:t>ak</w:t>
            </w:r>
          </w:p>
        </w:tc>
        <w:tc>
          <w:tcPr>
            <w:tcW w:w="1371" w:type="dxa"/>
            <w:vAlign w:val="center"/>
          </w:tcPr>
          <w:p w14:paraId="7FD949AC"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20/30/50</w:t>
            </w:r>
          </w:p>
        </w:tc>
        <w:tc>
          <w:tcPr>
            <w:tcW w:w="950" w:type="dxa"/>
            <w:vAlign w:val="center"/>
          </w:tcPr>
          <w:p w14:paraId="4DEC5175"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9.2</w:t>
            </w:r>
          </w:p>
        </w:tc>
        <w:tc>
          <w:tcPr>
            <w:tcW w:w="2343" w:type="dxa"/>
            <w:vAlign w:val="center"/>
          </w:tcPr>
          <w:p w14:paraId="7DFDC6A6"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644</w:t>
            </w:r>
          </w:p>
        </w:tc>
        <w:tc>
          <w:tcPr>
            <w:tcW w:w="1635" w:type="dxa"/>
            <w:vAlign w:val="center"/>
          </w:tcPr>
          <w:p w14:paraId="0BBAC3A5"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451/81/36</w:t>
            </w:r>
          </w:p>
        </w:tc>
      </w:tr>
      <w:tr w:rsidR="00D557E3" w:rsidRPr="00155D6E" w14:paraId="3F778558" w14:textId="77777777" w:rsidTr="00826CB8">
        <w:trPr>
          <w:jc w:val="center"/>
        </w:trPr>
        <w:tc>
          <w:tcPr>
            <w:tcW w:w="1242" w:type="dxa"/>
            <w:vAlign w:val="center"/>
          </w:tcPr>
          <w:p w14:paraId="1D18708B" w14:textId="37431CAA" w:rsidR="00D557E3" w:rsidRPr="00155D6E" w:rsidRDefault="00D557E3" w:rsidP="00826CB8">
            <w:pPr>
              <w:snapToGrid w:val="0"/>
              <w:spacing w:beforeLines="50" w:before="120" w:line="480" w:lineRule="auto"/>
              <w:ind w:right="28"/>
              <w:rPr>
                <w:sz w:val="20"/>
                <w:lang w:eastAsia="zh-CN"/>
              </w:rPr>
            </w:pPr>
            <w:r w:rsidRPr="00492D05">
              <w:rPr>
                <w:noProof/>
              </w:rPr>
              <w:t>Jaskółowski</w:t>
            </w:r>
            <w:r>
              <w:rPr>
                <w:sz w:val="20"/>
                <w:lang w:eastAsia="zh-CN"/>
              </w:rPr>
              <w:t xml:space="preserve"> </w:t>
            </w:r>
            <w:r>
              <w:rPr>
                <w:rFonts w:hint="eastAsia"/>
                <w:sz w:val="20"/>
                <w:lang w:eastAsia="zh-CN"/>
              </w:rPr>
              <w:t xml:space="preserve">et al. (2014) </w:t>
            </w:r>
            <w:r>
              <w:rPr>
                <w:sz w:val="20"/>
                <w:lang w:eastAsia="zh-CN"/>
              </w:rPr>
              <w:fldChar w:fldCharType="begin" w:fldLock="1"/>
            </w:r>
            <w:r w:rsidR="006A1A14">
              <w:rPr>
                <w:sz w:val="20"/>
                <w:lang w:eastAsia="zh-CN"/>
              </w:rPr>
              <w:instrText>ADDIN CSL_CITATION {"citationItems":[{"id":"ITEM-1","itemData":{"author":[{"dropping-particle":"","family":"Jaskółowski","given":"Waldemar","non-dropping-particle":"","parse-names":false,"suffix":""},{"dropping-particle":"","family":"Ogrodnik","given":"Paweł","non-dropping-particle":"","parse-names":false,"suffix":""}],"container-title":"Forestry and Wood Technology","id":"ITEM-1","issue":"86","issued":{"date-parts":[["2014"]]},"page":"133-137","title":"The study of time to ignition of woods under external heat flux by piloted ignition and autoignition","type":"article-journal","volume":"137"},"uris":["http://www.mendeley.com/documents/?uuid=270fe7d8-d12a-422e-9f6f-ea32efea01c4","http://www.mendeley.com/documents/?uuid=5b87bca5-9a9d-40f1-95a2-e42eb771aeca","http://www.mendeley.com/documents/?uuid=0066054a-fb53-4cab-9491-031be7229a91"]}],"mendeley":{"formattedCitation":"[20]","plainTextFormattedCitation":"[20]","previouslyFormattedCitation":"[70]"},"properties":{"noteIndex":0},"schema":"https://github.com/citation-style-language/schema/raw/master/csl-citation.json"}</w:instrText>
            </w:r>
            <w:r>
              <w:rPr>
                <w:sz w:val="20"/>
                <w:lang w:eastAsia="zh-CN"/>
              </w:rPr>
              <w:fldChar w:fldCharType="separate"/>
            </w:r>
            <w:r w:rsidR="006A1A14" w:rsidRPr="006A1A14">
              <w:rPr>
                <w:noProof/>
                <w:sz w:val="20"/>
                <w:lang w:eastAsia="zh-CN"/>
              </w:rPr>
              <w:t>[20]</w:t>
            </w:r>
            <w:r>
              <w:rPr>
                <w:sz w:val="20"/>
                <w:lang w:eastAsia="zh-CN"/>
              </w:rPr>
              <w:fldChar w:fldCharType="end"/>
            </w:r>
          </w:p>
        </w:tc>
        <w:tc>
          <w:tcPr>
            <w:tcW w:w="1927" w:type="dxa"/>
            <w:vAlign w:val="center"/>
          </w:tcPr>
          <w:p w14:paraId="4DA23A85"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Pine</w:t>
            </w:r>
          </w:p>
        </w:tc>
        <w:tc>
          <w:tcPr>
            <w:tcW w:w="1371" w:type="dxa"/>
            <w:vAlign w:val="center"/>
          </w:tcPr>
          <w:p w14:paraId="63ABD8BB"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20/30/50</w:t>
            </w:r>
          </w:p>
        </w:tc>
        <w:tc>
          <w:tcPr>
            <w:tcW w:w="950" w:type="dxa"/>
            <w:vAlign w:val="center"/>
          </w:tcPr>
          <w:p w14:paraId="52A664A9"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9.4</w:t>
            </w:r>
          </w:p>
        </w:tc>
        <w:tc>
          <w:tcPr>
            <w:tcW w:w="2343" w:type="dxa"/>
            <w:vAlign w:val="center"/>
          </w:tcPr>
          <w:p w14:paraId="5470825B"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476</w:t>
            </w:r>
          </w:p>
        </w:tc>
        <w:tc>
          <w:tcPr>
            <w:tcW w:w="1635" w:type="dxa"/>
            <w:vAlign w:val="center"/>
          </w:tcPr>
          <w:p w14:paraId="7B45CA87"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302/50/25</w:t>
            </w:r>
          </w:p>
        </w:tc>
      </w:tr>
      <w:tr w:rsidR="00D557E3" w:rsidRPr="00155D6E" w14:paraId="2640E9FA" w14:textId="77777777" w:rsidTr="00826CB8">
        <w:trPr>
          <w:jc w:val="center"/>
        </w:trPr>
        <w:tc>
          <w:tcPr>
            <w:tcW w:w="1242" w:type="dxa"/>
            <w:vAlign w:val="center"/>
          </w:tcPr>
          <w:p w14:paraId="674354D0" w14:textId="5A323D93" w:rsidR="00D557E3" w:rsidRPr="00155D6E" w:rsidRDefault="00D557E3" w:rsidP="00826CB8">
            <w:pPr>
              <w:snapToGrid w:val="0"/>
              <w:spacing w:beforeLines="50" w:before="120" w:line="480" w:lineRule="auto"/>
              <w:ind w:right="28"/>
              <w:rPr>
                <w:sz w:val="20"/>
                <w:lang w:eastAsia="zh-CN"/>
              </w:rPr>
            </w:pPr>
            <w:r w:rsidRPr="001D18DF">
              <w:rPr>
                <w:sz w:val="20"/>
                <w:lang w:eastAsia="zh-CN"/>
              </w:rPr>
              <w:t>Delichatsios</w:t>
            </w:r>
            <w:r>
              <w:rPr>
                <w:rFonts w:hint="eastAsia"/>
                <w:sz w:val="20"/>
                <w:lang w:eastAsia="zh-CN"/>
              </w:rPr>
              <w:t xml:space="preserve"> et al. (2003) </w:t>
            </w:r>
            <w:r>
              <w:rPr>
                <w:sz w:val="20"/>
                <w:lang w:eastAsia="zh-CN"/>
              </w:rPr>
              <w:fldChar w:fldCharType="begin" w:fldLock="1"/>
            </w:r>
            <w:r w:rsidR="006A1A14">
              <w:rPr>
                <w:sz w:val="20"/>
                <w:lang w:eastAsia="zh-CN"/>
              </w:rPr>
              <w:instrText>ADDIN CSL_CITATION {"citationItems":[{"id":"ITEM-1","itemData":{"DOI":"10.1016/S0379-7112(02)00080-2","ISSN":"03797112","abstract":"There are various methodologies available for the determination of flammability properties of non-charring polymeric materials (Int. J. Transp. Phenomena 1 (1999) 79; Proceedings of the Third International Symposium on Fire Safety Science, 1991, p. 167; Methodology and validation for material flammability properties, Combust. Flame, August 2002, accepted for publication). This paper presents a demonstration, validation and extension of a distinct methodology for obtaining the flammability properties of charring materials. Australian radiata pine was used for the study wherein ignition and pyrolysis characteristics were obtained using a cone calorimeter. The deduced properties were applied for the prediction of ignition and pyrolysis histories of wood. These predictions were compared with the data obtained from the cone calorimeter at different imposed heat fluxes and wood thickness and a close agreement was observed between the theoretical and experimental results. © 2002 Elsevier Science Ltd. All rights reserved.","author":[{"dropping-particle":"","family":"Delichatsios","given":"Michael","non-dropping-particle":"","parse-names":false,"suffix":""},{"dropping-particle":"","family":"Paroz","given":"Bradley","non-dropping-particle":"","parse-names":false,"suffix":""},{"dropping-particle":"","family":"Bhargava","given":"Atul","non-dropping-particle":"","parse-names":false,"suffix":""}],"container-title":"Fire Safety Journal","id":"ITEM-1","issue":"3","issued":{"date-parts":[["2003"]]},"page":"219-228","title":"Flammability properties for charring materials","type":"article-journal","volume":"38"},"uris":["http://www.mendeley.com/documents/?uuid=dc95f8b9-52b0-4a2f-8701-00f843931bc0","http://www.mendeley.com/documents/?uuid=b51c3423-cf4e-4c11-ae4b-fc3acf74a822","http://www.mendeley.com/documents/?uuid=32a77fb7-601a-4da2-98a9-820c7ba5d9f0"]}],"mendeley":{"formattedCitation":"[21]","plainTextFormattedCitation":"[21]","previouslyFormattedCitation":"[71]"},"properties":{"noteIndex":0},"schema":"https://github.com/citation-style-language/schema/raw/master/csl-citation.json"}</w:instrText>
            </w:r>
            <w:r>
              <w:rPr>
                <w:sz w:val="20"/>
                <w:lang w:eastAsia="zh-CN"/>
              </w:rPr>
              <w:fldChar w:fldCharType="separate"/>
            </w:r>
            <w:r w:rsidR="006A1A14" w:rsidRPr="006A1A14">
              <w:rPr>
                <w:noProof/>
                <w:sz w:val="20"/>
                <w:lang w:eastAsia="zh-CN"/>
              </w:rPr>
              <w:t>[21]</w:t>
            </w:r>
            <w:r>
              <w:rPr>
                <w:sz w:val="20"/>
                <w:lang w:eastAsia="zh-CN"/>
              </w:rPr>
              <w:fldChar w:fldCharType="end"/>
            </w:r>
          </w:p>
        </w:tc>
        <w:tc>
          <w:tcPr>
            <w:tcW w:w="1927" w:type="dxa"/>
            <w:vAlign w:val="center"/>
          </w:tcPr>
          <w:p w14:paraId="1D199338"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Australian radiata pine</w:t>
            </w:r>
          </w:p>
        </w:tc>
        <w:tc>
          <w:tcPr>
            <w:tcW w:w="1371" w:type="dxa"/>
            <w:vAlign w:val="center"/>
          </w:tcPr>
          <w:p w14:paraId="79319525"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20/25/30/45/50</w:t>
            </w:r>
          </w:p>
        </w:tc>
        <w:tc>
          <w:tcPr>
            <w:tcW w:w="950" w:type="dxa"/>
            <w:vAlign w:val="center"/>
          </w:tcPr>
          <w:p w14:paraId="7E33A96B"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n/a (~10)</w:t>
            </w:r>
          </w:p>
        </w:tc>
        <w:tc>
          <w:tcPr>
            <w:tcW w:w="2343" w:type="dxa"/>
            <w:vAlign w:val="center"/>
          </w:tcPr>
          <w:p w14:paraId="1EF76D2D"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526</w:t>
            </w:r>
          </w:p>
        </w:tc>
        <w:tc>
          <w:tcPr>
            <w:tcW w:w="1635" w:type="dxa"/>
            <w:vAlign w:val="center"/>
          </w:tcPr>
          <w:p w14:paraId="15242234"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484/153/132/30/22</w:t>
            </w:r>
          </w:p>
        </w:tc>
      </w:tr>
      <w:tr w:rsidR="00D557E3" w:rsidRPr="00155D6E" w14:paraId="27DD2458" w14:textId="77777777" w:rsidTr="00826CB8">
        <w:trPr>
          <w:jc w:val="center"/>
        </w:trPr>
        <w:tc>
          <w:tcPr>
            <w:tcW w:w="1242" w:type="dxa"/>
            <w:vAlign w:val="center"/>
          </w:tcPr>
          <w:p w14:paraId="235CE16E" w14:textId="0A72C0B8" w:rsidR="00D557E3" w:rsidRPr="00155D6E" w:rsidRDefault="00D557E3" w:rsidP="00826CB8">
            <w:pPr>
              <w:snapToGrid w:val="0"/>
              <w:spacing w:beforeLines="50" w:before="120" w:line="480" w:lineRule="auto"/>
              <w:ind w:right="28"/>
              <w:rPr>
                <w:sz w:val="20"/>
                <w:lang w:eastAsia="zh-CN"/>
              </w:rPr>
            </w:pPr>
            <w:r>
              <w:rPr>
                <w:rFonts w:hint="eastAsia"/>
                <w:sz w:val="20"/>
                <w:lang w:eastAsia="zh-CN"/>
              </w:rPr>
              <w:t xml:space="preserve">Yuan et al. (2023) </w:t>
            </w:r>
            <w:r>
              <w:rPr>
                <w:sz w:val="20"/>
                <w:lang w:eastAsia="zh-CN"/>
              </w:rPr>
              <w:fldChar w:fldCharType="begin" w:fldLock="1"/>
            </w:r>
            <w:r w:rsidR="006A1A14">
              <w:rPr>
                <w:sz w:val="20"/>
                <w:lang w:eastAsia="zh-CN"/>
              </w:rPr>
              <w:instrText>ADDIN CSL_CITATION {"citationItems":[{"id":"ITEM-1","itemData":{"DOI":"10.1080/15583058.2022.2070050","ISSN":"15583066","abstract":"To have a deep understanding of the influence of film covering on the reaction-to-fire performance of wooden samples, a series of tests were conducted to obtain the profile of heat release rate (HRR), the peak of HRR (p-HRR), total heat release rate (THR), time-averaged HRR (a-HRR) and time to ignition (TTI) by using a Cone measurement facility. The microstructure and the main element concentration were got by the EDX analysis of SEM. The woodgrain orientations of samples were radial (R type, beam) and longitudinal (L, column). Based on the analysis of test results, the film is believed to impact a big influence on the reaction-to-fire performance. In general, the p-HRR, a-HRR, and THR are increased. The TTI is shortened largely due to the organic film. However, the THR does not depend on the radiation levels for the wooden sample (L woodgrain) with a film. In addition, the fire performance of wooden samples depends on the types of woodgrain orientation due to the difference in thermal conductivity and charring ratio in radial and longitudinal woodgrains. It is concluded that nearly no additional element was introduced by film covering by comparing the main element concentration of film and the part that the film was removed. It hopes to propose a potential method for the preservation of wooden historical buildings.","author":[{"dropping-particle":"","family":"Yuan","given":"Shasha","non-dropping-particle":"","parse-names":false,"suffix":""},{"dropping-particle":"","family":"Sun","given":"Xukun","non-dropping-particle":"","parse-names":false,"suffix":""},{"dropping-particle":"","family":"Wang","given":"Wei","non-dropping-particle":"","parse-names":false,"suffix":""},{"dropping-particle":"","family":"Zhou","given":"Biao","non-dropping-particle":"","parse-names":false,"suffix":""},{"dropping-particle":"","family":"Sun","given":"Xuan","non-dropping-particle":"","parse-names":false,"suffix":""},{"dropping-particle":"","family":"Sun","given":"Jiazhi","non-dropping-particle":"","parse-names":false,"suffix":""},{"dropping-particle":"","family":"Wang","given":"Xuan","non-dropping-particle":"","parse-names":false,"suffix":""}],"container-title":"International Journal of Architectural Heritage","id":"ITEM-1","issue":"11","issued":{"date-parts":[["2023"]]},"page":"1778-1790","publisher":"Taylor &amp; Francis","title":"The Reaction-to-fire Performance of Wood Covered with A Transparent Film: A Potential Method for the Preservation of Chinese Wooden Historical Buildings","type":"article-journal","volume":"17"},"uris":["http://www.mendeley.com/documents/?uuid=490b7a4e-f9ad-46dd-a954-06793fd59680","http://www.mendeley.com/documents/?uuid=377f6161-53be-4c14-99d0-55799d05a4c2","http://www.mendeley.com/documents/?uuid=f6fc22f7-37cb-44ae-97dc-3fde749e9374"]}],"mendeley":{"formattedCitation":"[22]","plainTextFormattedCitation":"[22]","previouslyFormattedCitation":"[72]"},"properties":{"noteIndex":0},"schema":"https://github.com/citation-style-language/schema/raw/master/csl-citation.json"}</w:instrText>
            </w:r>
            <w:r>
              <w:rPr>
                <w:sz w:val="20"/>
                <w:lang w:eastAsia="zh-CN"/>
              </w:rPr>
              <w:fldChar w:fldCharType="separate"/>
            </w:r>
            <w:r w:rsidR="006A1A14" w:rsidRPr="006A1A14">
              <w:rPr>
                <w:noProof/>
                <w:sz w:val="20"/>
                <w:lang w:eastAsia="zh-CN"/>
              </w:rPr>
              <w:t>[22]</w:t>
            </w:r>
            <w:r>
              <w:rPr>
                <w:sz w:val="20"/>
                <w:lang w:eastAsia="zh-CN"/>
              </w:rPr>
              <w:fldChar w:fldCharType="end"/>
            </w:r>
          </w:p>
        </w:tc>
        <w:tc>
          <w:tcPr>
            <w:tcW w:w="1927" w:type="dxa"/>
            <w:vAlign w:val="center"/>
          </w:tcPr>
          <w:p w14:paraId="3D4108FC" w14:textId="77777777" w:rsidR="00D557E3" w:rsidRDefault="00D557E3" w:rsidP="00826CB8">
            <w:pPr>
              <w:snapToGrid w:val="0"/>
              <w:spacing w:beforeLines="50" w:before="120" w:line="480" w:lineRule="auto"/>
              <w:ind w:right="28"/>
              <w:rPr>
                <w:sz w:val="20"/>
                <w:lang w:val="en-GB" w:eastAsia="zh-CN"/>
              </w:rPr>
            </w:pPr>
            <w:r>
              <w:rPr>
                <w:sz w:val="20"/>
                <w:lang w:val="en-GB" w:eastAsia="zh-CN"/>
              </w:rPr>
              <w:t>C</w:t>
            </w:r>
            <w:r>
              <w:rPr>
                <w:rFonts w:hint="eastAsia"/>
                <w:sz w:val="20"/>
                <w:lang w:val="en-GB" w:eastAsia="zh-CN"/>
              </w:rPr>
              <w:t>edar</w:t>
            </w:r>
          </w:p>
        </w:tc>
        <w:tc>
          <w:tcPr>
            <w:tcW w:w="1371" w:type="dxa"/>
            <w:vAlign w:val="center"/>
          </w:tcPr>
          <w:p w14:paraId="03028517"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20/30/40</w:t>
            </w:r>
          </w:p>
        </w:tc>
        <w:tc>
          <w:tcPr>
            <w:tcW w:w="950" w:type="dxa"/>
            <w:vAlign w:val="center"/>
          </w:tcPr>
          <w:p w14:paraId="12B87928"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6.5</w:t>
            </w:r>
          </w:p>
        </w:tc>
        <w:tc>
          <w:tcPr>
            <w:tcW w:w="2343" w:type="dxa"/>
            <w:vAlign w:val="center"/>
          </w:tcPr>
          <w:p w14:paraId="4A0CB70B"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540</w:t>
            </w:r>
          </w:p>
        </w:tc>
        <w:tc>
          <w:tcPr>
            <w:tcW w:w="1635" w:type="dxa"/>
            <w:vAlign w:val="center"/>
          </w:tcPr>
          <w:p w14:paraId="64D704B9"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55/14/11</w:t>
            </w:r>
          </w:p>
        </w:tc>
      </w:tr>
      <w:tr w:rsidR="00D557E3" w:rsidRPr="00155D6E" w14:paraId="6B2F9253" w14:textId="77777777" w:rsidTr="00826CB8">
        <w:trPr>
          <w:jc w:val="center"/>
        </w:trPr>
        <w:tc>
          <w:tcPr>
            <w:tcW w:w="1242" w:type="dxa"/>
            <w:vAlign w:val="center"/>
          </w:tcPr>
          <w:p w14:paraId="69C81676" w14:textId="16C2F505" w:rsidR="00D557E3" w:rsidRDefault="00D557E3" w:rsidP="00826CB8">
            <w:pPr>
              <w:snapToGrid w:val="0"/>
              <w:spacing w:beforeLines="50" w:before="120" w:line="480" w:lineRule="auto"/>
              <w:ind w:right="28"/>
              <w:rPr>
                <w:sz w:val="20"/>
                <w:lang w:eastAsia="zh-CN"/>
              </w:rPr>
            </w:pPr>
            <w:r w:rsidRPr="001D18DF">
              <w:rPr>
                <w:sz w:val="20"/>
                <w:lang w:eastAsia="zh-CN"/>
              </w:rPr>
              <w:t>Delichatsios</w:t>
            </w:r>
            <w:r>
              <w:rPr>
                <w:rFonts w:hint="eastAsia"/>
                <w:sz w:val="20"/>
                <w:lang w:eastAsia="zh-CN"/>
              </w:rPr>
              <w:t xml:space="preserve"> (2005) </w:t>
            </w:r>
            <w:r>
              <w:rPr>
                <w:sz w:val="20"/>
                <w:lang w:eastAsia="zh-CN"/>
              </w:rPr>
              <w:fldChar w:fldCharType="begin" w:fldLock="1"/>
            </w:r>
            <w:r w:rsidR="006A1A14">
              <w:rPr>
                <w:sz w:val="20"/>
                <w:lang w:eastAsia="zh-CN"/>
              </w:rPr>
              <w:instrText>ADDIN CSL_CITATION {"citationItems":[{"id":"ITEM-1","itemData":{"DOI":"10.1016/j.firesaf.2004.11.005","ISSN":"03797112","abstract":"Ignition, pyrolysis and burning of materials in reduced oxygen atmospheres occur when recirculating combustion gases are mixed with the air flowing into an enclosure. Still the incoming air can be sufficient for the complete combustion of the pyrolysis gases. Thus, for the prediction of fires in enclosures it is essential to understand the ignition and burning of materials in a reduced oxygen atmosphere even when plenty of oxidizer is available for complete combustion. Previous work employing gaseous fuels has shown that under these conditions, but before extinction, burning of gaseous fuels issuing from a nozzle is complete but radiation from the flames decreases owing to the reduction of their temperature. Complementary to that work, piloted ignition of solids is investigated here at reduced oxygen concentrations by measuring the ignition times and mass loss rates of the solid at ignition. These results were obtained in a cone calorimeter modified to supply air at reduced oxygen concentrations. Two types of plywood, normal and fire retardant 4 mm thick were examined at three imposed heat fluxes 25, 35 and 50 kW/m2 and at oxygen concentrations of 21%, 18% and 15% by volume. Because heating at these heat fluxes and material thickness corresponds to intermediate thermal conditions (i.e. neither thin nor thick), novel analytical solutions are developed to analyze the data and extract the thermal and ignition properties of the material. The same novel solutions can be applied to modeling concurrent or countercurrent flame spread. Moreover, a theory for piloted ignition explains why the ignition times and mass pyrolysis rates are weakly dependent on reduced oxygen concentrations. © 2005 Elsevier Ltd. All rights reserved.","author":[{"dropping-particle":"","family":"Delichatsios","given":"Michael A.","non-dropping-particle":"","parse-names":false,"suffix":""}],"container-title":"Fire Safety Journal","id":"ITEM-1","issue":"3","issued":{"date-parts":[["2005"]]},"page":"197-212","title":"Piloted ignition times, critical heat fluxes and mass loss rates at reduced oxygen atmospheres","type":"article-journal","volume":"40"},"uris":["http://www.mendeley.com/documents/?uuid=fa8b695b-a8e3-489d-974e-f91371db9f86","http://www.mendeley.com/documents/?uuid=eef28d76-db86-42f4-85fb-566c89722075","http://www.mendeley.com/documents/?uuid=c55aa702-8129-4c3f-b1b1-38c914b48f1f"]}],"mendeley":{"formattedCitation":"[23]","plainTextFormattedCitation":"[23]","previouslyFormattedCitation":"[73]"},"properties":{"noteIndex":0},"schema":"https://github.com/citation-style-language/schema/raw/master/csl-citation.json"}</w:instrText>
            </w:r>
            <w:r>
              <w:rPr>
                <w:sz w:val="20"/>
                <w:lang w:eastAsia="zh-CN"/>
              </w:rPr>
              <w:fldChar w:fldCharType="separate"/>
            </w:r>
            <w:r w:rsidR="006A1A14" w:rsidRPr="006A1A14">
              <w:rPr>
                <w:noProof/>
                <w:sz w:val="20"/>
                <w:lang w:eastAsia="zh-CN"/>
              </w:rPr>
              <w:t>[23]</w:t>
            </w:r>
            <w:r>
              <w:rPr>
                <w:sz w:val="20"/>
                <w:lang w:eastAsia="zh-CN"/>
              </w:rPr>
              <w:fldChar w:fldCharType="end"/>
            </w:r>
          </w:p>
        </w:tc>
        <w:tc>
          <w:tcPr>
            <w:tcW w:w="1927" w:type="dxa"/>
            <w:vAlign w:val="center"/>
          </w:tcPr>
          <w:p w14:paraId="3C12AC8C" w14:textId="77777777" w:rsidR="00D557E3" w:rsidRDefault="00D557E3" w:rsidP="00826CB8">
            <w:pPr>
              <w:snapToGrid w:val="0"/>
              <w:spacing w:beforeLines="50" w:before="120" w:line="480" w:lineRule="auto"/>
              <w:ind w:right="28"/>
              <w:rPr>
                <w:sz w:val="20"/>
                <w:lang w:val="en-GB" w:eastAsia="zh-CN"/>
              </w:rPr>
            </w:pPr>
            <w:r>
              <w:rPr>
                <w:sz w:val="20"/>
                <w:lang w:val="en-GB" w:eastAsia="zh-CN"/>
              </w:rPr>
              <w:t>P</w:t>
            </w:r>
            <w:r>
              <w:rPr>
                <w:rFonts w:hint="eastAsia"/>
                <w:sz w:val="20"/>
                <w:lang w:val="en-GB" w:eastAsia="zh-CN"/>
              </w:rPr>
              <w:t>lywood</w:t>
            </w:r>
          </w:p>
        </w:tc>
        <w:tc>
          <w:tcPr>
            <w:tcW w:w="1371" w:type="dxa"/>
            <w:vAlign w:val="center"/>
          </w:tcPr>
          <w:p w14:paraId="33723E1E"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25/35/50</w:t>
            </w:r>
          </w:p>
        </w:tc>
        <w:tc>
          <w:tcPr>
            <w:tcW w:w="950" w:type="dxa"/>
            <w:vAlign w:val="center"/>
          </w:tcPr>
          <w:p w14:paraId="40C5D4C6"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n/a (~10)</w:t>
            </w:r>
          </w:p>
        </w:tc>
        <w:tc>
          <w:tcPr>
            <w:tcW w:w="2343" w:type="dxa"/>
            <w:vAlign w:val="center"/>
          </w:tcPr>
          <w:p w14:paraId="00807B89"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550</w:t>
            </w:r>
          </w:p>
        </w:tc>
        <w:tc>
          <w:tcPr>
            <w:tcW w:w="1635" w:type="dxa"/>
            <w:vAlign w:val="center"/>
          </w:tcPr>
          <w:p w14:paraId="5C0FF4CF"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112/49/30</w:t>
            </w:r>
          </w:p>
        </w:tc>
      </w:tr>
      <w:tr w:rsidR="00D557E3" w:rsidRPr="00155D6E" w14:paraId="1590EA15" w14:textId="77777777" w:rsidTr="00826CB8">
        <w:trPr>
          <w:jc w:val="center"/>
        </w:trPr>
        <w:tc>
          <w:tcPr>
            <w:tcW w:w="1242" w:type="dxa"/>
            <w:vAlign w:val="center"/>
          </w:tcPr>
          <w:p w14:paraId="1B0D5964" w14:textId="101B16EA" w:rsidR="00D557E3" w:rsidRDefault="00D557E3" w:rsidP="00826CB8">
            <w:pPr>
              <w:snapToGrid w:val="0"/>
              <w:spacing w:beforeLines="50" w:before="120" w:line="480" w:lineRule="auto"/>
              <w:ind w:right="28"/>
              <w:rPr>
                <w:sz w:val="20"/>
                <w:lang w:eastAsia="zh-CN"/>
              </w:rPr>
            </w:pPr>
            <w:r w:rsidRPr="00FA16A3">
              <w:rPr>
                <w:noProof/>
              </w:rPr>
              <w:t>Grześkowiak</w:t>
            </w:r>
            <w:r>
              <w:rPr>
                <w:sz w:val="20"/>
                <w:lang w:eastAsia="zh-CN"/>
              </w:rPr>
              <w:t xml:space="preserve"> </w:t>
            </w:r>
            <w:r>
              <w:rPr>
                <w:rFonts w:hint="eastAsia"/>
                <w:sz w:val="20"/>
                <w:lang w:eastAsia="zh-CN"/>
              </w:rPr>
              <w:t xml:space="preserve">(2017) </w:t>
            </w:r>
            <w:r>
              <w:rPr>
                <w:sz w:val="20"/>
                <w:lang w:eastAsia="zh-CN"/>
              </w:rPr>
              <w:fldChar w:fldCharType="begin" w:fldLock="1"/>
            </w:r>
            <w:r w:rsidR="006A1A14">
              <w:rPr>
                <w:sz w:val="20"/>
                <w:lang w:eastAsia="zh-CN"/>
              </w:rPr>
              <w:instrText>ADDIN CSL_CITATION {"citationItems":[{"id":"ITEM-1","itemData":{"DOI":"10.1177/0734904117737464","ISSN":"15308049","abstract":"This article presents results of fire retardants’ tests for wood. Analysis was conducted for two preparations, A1 containing guanidine carbonate and A2 with urea, in accordance with the standard ISO 5660-1 and nonstandard method using Mini Fire Tube. Samples of Scots pine (Pinus sylvestris L.) wood were protected using the above-mentioned mixtures applied under vacuum. Recorded results for pine wood impregnated with the tested preparations at a concentration of 15% show that they have high fire-retardant effectiveness at the intensity of the radiant heat of 35 kW/m2. An increase in the number of nitrogen atoms in the preparation provides greater fire-retardant effectiveness of the agent.","author":[{"dropping-particle":"","family":"Grześkowiak","given":"Wojciech","non-dropping-particle":"","parse-names":false,"suffix":""}],"container-title":"Journal of Fire Sciences","id":"ITEM-1","issue":"6","issued":{"date-parts":[["2017"]]},"page":"565-576","title":"Effectiveness of new wood fire retardants using a cone calorimeter","type":"article-journal","volume":"35"},"uris":["http://www.mendeley.com/documents/?uuid=80cc6c6d-e0c7-464c-875f-75e0e8744b61"]}],"mendeley":{"formattedCitation":"[24]","plainTextFormattedCitation":"[24]","previouslyFormattedCitation":"[74]"},"properties":{"noteIndex":0},"schema":"https://github.com/citation-style-language/schema/raw/master/csl-citation.json"}</w:instrText>
            </w:r>
            <w:r>
              <w:rPr>
                <w:sz w:val="20"/>
                <w:lang w:eastAsia="zh-CN"/>
              </w:rPr>
              <w:fldChar w:fldCharType="separate"/>
            </w:r>
            <w:r w:rsidR="006A1A14" w:rsidRPr="006A1A14">
              <w:rPr>
                <w:noProof/>
                <w:sz w:val="20"/>
                <w:lang w:eastAsia="zh-CN"/>
              </w:rPr>
              <w:t>[24]</w:t>
            </w:r>
            <w:r>
              <w:rPr>
                <w:sz w:val="20"/>
                <w:lang w:eastAsia="zh-CN"/>
              </w:rPr>
              <w:fldChar w:fldCharType="end"/>
            </w:r>
          </w:p>
        </w:tc>
        <w:tc>
          <w:tcPr>
            <w:tcW w:w="1927" w:type="dxa"/>
            <w:vAlign w:val="center"/>
          </w:tcPr>
          <w:p w14:paraId="6A2AFFB5" w14:textId="77777777" w:rsidR="00D557E3" w:rsidRDefault="00D557E3" w:rsidP="00826CB8">
            <w:pPr>
              <w:snapToGrid w:val="0"/>
              <w:spacing w:beforeLines="50" w:before="120" w:line="480" w:lineRule="auto"/>
              <w:ind w:right="28"/>
              <w:rPr>
                <w:sz w:val="20"/>
                <w:lang w:val="en-GB" w:eastAsia="zh-CN"/>
              </w:rPr>
            </w:pPr>
            <w:r>
              <w:rPr>
                <w:sz w:val="20"/>
                <w:lang w:val="en-GB" w:eastAsia="zh-CN"/>
              </w:rPr>
              <w:t>P</w:t>
            </w:r>
            <w:r>
              <w:rPr>
                <w:rFonts w:hint="eastAsia"/>
                <w:sz w:val="20"/>
                <w:lang w:val="en-GB" w:eastAsia="zh-CN"/>
              </w:rPr>
              <w:t>ine</w:t>
            </w:r>
          </w:p>
        </w:tc>
        <w:tc>
          <w:tcPr>
            <w:tcW w:w="1371" w:type="dxa"/>
            <w:vAlign w:val="center"/>
          </w:tcPr>
          <w:p w14:paraId="0EA0AD4E"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35</w:t>
            </w:r>
          </w:p>
        </w:tc>
        <w:tc>
          <w:tcPr>
            <w:tcW w:w="950" w:type="dxa"/>
            <w:vAlign w:val="center"/>
          </w:tcPr>
          <w:p w14:paraId="4525480D"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12</w:t>
            </w:r>
          </w:p>
        </w:tc>
        <w:tc>
          <w:tcPr>
            <w:tcW w:w="2343" w:type="dxa"/>
            <w:vAlign w:val="center"/>
          </w:tcPr>
          <w:p w14:paraId="4249F5D6"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550</w:t>
            </w:r>
          </w:p>
        </w:tc>
        <w:tc>
          <w:tcPr>
            <w:tcW w:w="1635" w:type="dxa"/>
            <w:vAlign w:val="center"/>
          </w:tcPr>
          <w:p w14:paraId="2A68E7CA"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40</w:t>
            </w:r>
          </w:p>
        </w:tc>
      </w:tr>
      <w:tr w:rsidR="00D557E3" w:rsidRPr="00155D6E" w14:paraId="5538D312" w14:textId="77777777" w:rsidTr="00826CB8">
        <w:trPr>
          <w:jc w:val="center"/>
        </w:trPr>
        <w:tc>
          <w:tcPr>
            <w:tcW w:w="1242" w:type="dxa"/>
            <w:vAlign w:val="center"/>
          </w:tcPr>
          <w:p w14:paraId="7370D5DB" w14:textId="6AC40939" w:rsidR="00D557E3" w:rsidRDefault="00D557E3" w:rsidP="00826CB8">
            <w:pPr>
              <w:snapToGrid w:val="0"/>
              <w:spacing w:beforeLines="50" w:before="120" w:line="480" w:lineRule="auto"/>
              <w:ind w:right="28"/>
              <w:rPr>
                <w:sz w:val="20"/>
                <w:lang w:eastAsia="zh-CN"/>
              </w:rPr>
            </w:pPr>
            <w:r>
              <w:rPr>
                <w:rFonts w:hint="eastAsia"/>
                <w:sz w:val="20"/>
                <w:lang w:eastAsia="zh-CN"/>
              </w:rPr>
              <w:t xml:space="preserve">Tran and White </w:t>
            </w:r>
            <w:r>
              <w:rPr>
                <w:rFonts w:hint="eastAsia"/>
                <w:sz w:val="20"/>
                <w:lang w:eastAsia="zh-CN"/>
              </w:rPr>
              <w:lastRenderedPageBreak/>
              <w:t xml:space="preserve">(1992) </w:t>
            </w:r>
            <w:r>
              <w:rPr>
                <w:sz w:val="20"/>
                <w:lang w:eastAsia="zh-CN"/>
              </w:rPr>
              <w:fldChar w:fldCharType="begin" w:fldLock="1"/>
            </w:r>
            <w:r w:rsidR="006A1A14">
              <w:rPr>
                <w:sz w:val="20"/>
                <w:lang w:eastAsia="zh-CN"/>
              </w:rPr>
              <w:instrText>ADDIN CSL_CITATION {"citationItems":[{"id":"ITEM-1","itemData":{"DOI":"10.1002/fam.810160406","ISSN":"10991018","abstract":"Burning rate is a key factor in modeling fire growth and fire endurance of wood structures. This study investigated the burning rate of selected wood materials as determined by heat release, mass, loss and charring rates. Thick samples of redwood, southern pine, red oak and basswood were tested in a heat release rate calorimeter. Results on ignitability and average heat release, mass loss and charring rates are reported for a heat flux range between 15 and 55 kw m−2. In this range, burning rate increased linearly with heat flux. Burning rate was very species dependent. Heat release rate was related to mass loss by effective heat of combustion, which also increased with heat flux. Charring rate was related to mass loss rate and original wood density. Important char property data such as yield, density and contraction are reported. A simplified calculation method is proposed for calculating mass loss rate and charring rate based on heat release rate. Copyright © 1992 John Wiley &amp; Sons, Ltd.","author":[{"dropping-particle":"","family":"Tran","given":"Hao C.","non-dropping-particle":"","parse-names":false,"suffix":""},{"dropping-particle":"","family":"White","given":"Robert H.","non-dropping-particle":"","parse-names":false,"suffix":""}],"container-title":"Fire and Materials","id":"ITEM-1","issue":"4","issued":{"date-parts":[["1992"]]},"page":"197-206","title":"Burning rate of solid wood measured in a heat release rate calorimeter","type":"article-journal","volume":"16"},"uris":["http://www.mendeley.com/documents/?uuid=1a4bc8e2-64e5-4c58-824d-307c96d1bc08"]}],"mendeley":{"formattedCitation":"[25]","plainTextFormattedCitation":"[25]","previouslyFormattedCitation":"[75]"},"properties":{"noteIndex":0},"schema":"https://github.com/citation-style-language/schema/raw/master/csl-citation.json"}</w:instrText>
            </w:r>
            <w:r>
              <w:rPr>
                <w:sz w:val="20"/>
                <w:lang w:eastAsia="zh-CN"/>
              </w:rPr>
              <w:fldChar w:fldCharType="separate"/>
            </w:r>
            <w:r w:rsidR="006A1A14" w:rsidRPr="006A1A14">
              <w:rPr>
                <w:noProof/>
                <w:sz w:val="20"/>
                <w:lang w:eastAsia="zh-CN"/>
              </w:rPr>
              <w:t>[25]</w:t>
            </w:r>
            <w:r>
              <w:rPr>
                <w:sz w:val="20"/>
                <w:lang w:eastAsia="zh-CN"/>
              </w:rPr>
              <w:fldChar w:fldCharType="end"/>
            </w:r>
          </w:p>
        </w:tc>
        <w:tc>
          <w:tcPr>
            <w:tcW w:w="1927" w:type="dxa"/>
            <w:vAlign w:val="center"/>
          </w:tcPr>
          <w:p w14:paraId="4AC93588" w14:textId="77777777" w:rsidR="00D557E3" w:rsidRDefault="00D557E3" w:rsidP="00826CB8">
            <w:pPr>
              <w:snapToGrid w:val="0"/>
              <w:spacing w:beforeLines="50" w:before="120" w:line="480" w:lineRule="auto"/>
              <w:ind w:right="28"/>
              <w:rPr>
                <w:sz w:val="20"/>
                <w:lang w:val="en-GB" w:eastAsia="zh-CN"/>
              </w:rPr>
            </w:pPr>
            <w:r>
              <w:rPr>
                <w:sz w:val="20"/>
                <w:lang w:val="en-GB" w:eastAsia="zh-CN"/>
              </w:rPr>
              <w:lastRenderedPageBreak/>
              <w:t>R</w:t>
            </w:r>
            <w:r>
              <w:rPr>
                <w:rFonts w:hint="eastAsia"/>
                <w:sz w:val="20"/>
                <w:lang w:val="en-GB" w:eastAsia="zh-CN"/>
              </w:rPr>
              <w:t>edwood</w:t>
            </w:r>
          </w:p>
        </w:tc>
        <w:tc>
          <w:tcPr>
            <w:tcW w:w="1371" w:type="dxa"/>
            <w:vAlign w:val="center"/>
          </w:tcPr>
          <w:p w14:paraId="24178FBB"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16/23/35/48</w:t>
            </w:r>
          </w:p>
        </w:tc>
        <w:tc>
          <w:tcPr>
            <w:tcW w:w="950" w:type="dxa"/>
            <w:vAlign w:val="center"/>
          </w:tcPr>
          <w:p w14:paraId="36F1ACEF"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8.3</w:t>
            </w:r>
          </w:p>
        </w:tc>
        <w:tc>
          <w:tcPr>
            <w:tcW w:w="2343" w:type="dxa"/>
            <w:vAlign w:val="center"/>
          </w:tcPr>
          <w:p w14:paraId="708428E9"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337</w:t>
            </w:r>
          </w:p>
        </w:tc>
        <w:tc>
          <w:tcPr>
            <w:tcW w:w="1635" w:type="dxa"/>
            <w:vAlign w:val="center"/>
          </w:tcPr>
          <w:p w14:paraId="1922558D"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741/48/16/3</w:t>
            </w:r>
          </w:p>
        </w:tc>
      </w:tr>
      <w:tr w:rsidR="00D557E3" w:rsidRPr="00155D6E" w14:paraId="46F75A10" w14:textId="77777777" w:rsidTr="00826CB8">
        <w:trPr>
          <w:jc w:val="center"/>
        </w:trPr>
        <w:tc>
          <w:tcPr>
            <w:tcW w:w="1242" w:type="dxa"/>
            <w:vAlign w:val="center"/>
          </w:tcPr>
          <w:p w14:paraId="00063302" w14:textId="28F29842" w:rsidR="00D557E3" w:rsidRDefault="00D557E3" w:rsidP="00826CB8">
            <w:pPr>
              <w:snapToGrid w:val="0"/>
              <w:spacing w:beforeLines="50" w:before="120" w:line="480" w:lineRule="auto"/>
              <w:ind w:right="28"/>
              <w:rPr>
                <w:sz w:val="20"/>
                <w:lang w:eastAsia="zh-CN"/>
              </w:rPr>
            </w:pPr>
            <w:r>
              <w:rPr>
                <w:rFonts w:hint="eastAsia"/>
                <w:sz w:val="20"/>
                <w:lang w:eastAsia="zh-CN"/>
              </w:rPr>
              <w:t xml:space="preserve">Tran and White (1992) </w:t>
            </w:r>
            <w:r>
              <w:rPr>
                <w:sz w:val="20"/>
                <w:lang w:eastAsia="zh-CN"/>
              </w:rPr>
              <w:fldChar w:fldCharType="begin" w:fldLock="1"/>
            </w:r>
            <w:r w:rsidR="006A1A14">
              <w:rPr>
                <w:sz w:val="20"/>
                <w:lang w:eastAsia="zh-CN"/>
              </w:rPr>
              <w:instrText>ADDIN CSL_CITATION {"citationItems":[{"id":"ITEM-1","itemData":{"DOI":"10.1002/fam.810160406","ISSN":"10991018","abstract":"Burning rate is a key factor in modeling fire growth and fire endurance of wood structures. This study investigated the burning rate of selected wood materials as determined by heat release, mass, loss and charring rates. Thick samples of redwood, southern pine, red oak and basswood were tested in a heat release rate calorimeter. Results on ignitability and average heat release, mass loss and charring rates are reported for a heat flux range between 15 and 55 kw m−2. In this range, burning rate increased linearly with heat flux. Burning rate was very species dependent. Heat release rate was related to mass loss by effective heat of combustion, which also increased with heat flux. Charring rate was related to mass loss rate and original wood density. Important char property data such as yield, density and contraction are reported. A simplified calculation method is proposed for calculating mass loss rate and charring rate based on heat release rate. Copyright © 1992 John Wiley &amp; Sons, Ltd.","author":[{"dropping-particle":"","family":"Tran","given":"Hao C.","non-dropping-particle":"","parse-names":false,"suffix":""},{"dropping-particle":"","family":"White","given":"Robert H.","non-dropping-particle":"","parse-names":false,"suffix":""}],"container-title":"Fire and Materials","id":"ITEM-1","issue":"4","issued":{"date-parts":[["1992"]]},"page":"197-206","title":"Burning rate of solid wood measured in a heat release rate calorimeter","type":"article-journal","volume":"16"},"uris":["http://www.mendeley.com/documents/?uuid=1a4bc8e2-64e5-4c58-824d-307c96d1bc08"]}],"mendeley":{"formattedCitation":"[25]","plainTextFormattedCitation":"[25]","previouslyFormattedCitation":"[75]"},"properties":{"noteIndex":0},"schema":"https://github.com/citation-style-language/schema/raw/master/csl-citation.json"}</w:instrText>
            </w:r>
            <w:r>
              <w:rPr>
                <w:sz w:val="20"/>
                <w:lang w:eastAsia="zh-CN"/>
              </w:rPr>
              <w:fldChar w:fldCharType="separate"/>
            </w:r>
            <w:r w:rsidR="006A1A14" w:rsidRPr="006A1A14">
              <w:rPr>
                <w:noProof/>
                <w:sz w:val="20"/>
                <w:lang w:eastAsia="zh-CN"/>
              </w:rPr>
              <w:t>[25]</w:t>
            </w:r>
            <w:r>
              <w:rPr>
                <w:sz w:val="20"/>
                <w:lang w:eastAsia="zh-CN"/>
              </w:rPr>
              <w:fldChar w:fldCharType="end"/>
            </w:r>
          </w:p>
        </w:tc>
        <w:tc>
          <w:tcPr>
            <w:tcW w:w="1927" w:type="dxa"/>
            <w:vAlign w:val="center"/>
          </w:tcPr>
          <w:p w14:paraId="08DF828F" w14:textId="77777777" w:rsidR="00D557E3" w:rsidRDefault="00D557E3" w:rsidP="00826CB8">
            <w:pPr>
              <w:snapToGrid w:val="0"/>
              <w:spacing w:beforeLines="50" w:before="120" w:line="480" w:lineRule="auto"/>
              <w:ind w:right="28"/>
              <w:rPr>
                <w:sz w:val="20"/>
                <w:lang w:val="en-GB" w:eastAsia="zh-CN"/>
              </w:rPr>
            </w:pPr>
            <w:r>
              <w:rPr>
                <w:sz w:val="20"/>
                <w:lang w:val="en-GB" w:eastAsia="zh-CN"/>
              </w:rPr>
              <w:t>Southern</w:t>
            </w:r>
            <w:r>
              <w:rPr>
                <w:rFonts w:hint="eastAsia"/>
                <w:sz w:val="20"/>
                <w:lang w:val="en-GB" w:eastAsia="zh-CN"/>
              </w:rPr>
              <w:t xml:space="preserve"> pine</w:t>
            </w:r>
          </w:p>
        </w:tc>
        <w:tc>
          <w:tcPr>
            <w:tcW w:w="1371" w:type="dxa"/>
            <w:vAlign w:val="center"/>
          </w:tcPr>
          <w:p w14:paraId="01A06F96"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15/23/34/51</w:t>
            </w:r>
          </w:p>
        </w:tc>
        <w:tc>
          <w:tcPr>
            <w:tcW w:w="950" w:type="dxa"/>
            <w:vAlign w:val="center"/>
          </w:tcPr>
          <w:p w14:paraId="02E58124"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9.7</w:t>
            </w:r>
          </w:p>
        </w:tc>
        <w:tc>
          <w:tcPr>
            <w:tcW w:w="2343" w:type="dxa"/>
            <w:vAlign w:val="center"/>
          </w:tcPr>
          <w:p w14:paraId="3997F37A"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557</w:t>
            </w:r>
          </w:p>
        </w:tc>
        <w:tc>
          <w:tcPr>
            <w:tcW w:w="1635" w:type="dxa"/>
            <w:vAlign w:val="center"/>
          </w:tcPr>
          <w:p w14:paraId="15646159"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909/85/31/5</w:t>
            </w:r>
          </w:p>
        </w:tc>
      </w:tr>
      <w:tr w:rsidR="00D557E3" w:rsidRPr="00155D6E" w14:paraId="644F769F" w14:textId="77777777" w:rsidTr="00826CB8">
        <w:trPr>
          <w:jc w:val="center"/>
        </w:trPr>
        <w:tc>
          <w:tcPr>
            <w:tcW w:w="1242" w:type="dxa"/>
            <w:vAlign w:val="center"/>
          </w:tcPr>
          <w:p w14:paraId="1A4703A3" w14:textId="5278C120" w:rsidR="00D557E3" w:rsidRDefault="00D557E3" w:rsidP="00826CB8">
            <w:pPr>
              <w:snapToGrid w:val="0"/>
              <w:spacing w:beforeLines="50" w:before="120" w:line="480" w:lineRule="auto"/>
              <w:ind w:right="28"/>
              <w:rPr>
                <w:sz w:val="20"/>
                <w:lang w:eastAsia="zh-CN"/>
              </w:rPr>
            </w:pPr>
            <w:r>
              <w:rPr>
                <w:rFonts w:hint="eastAsia"/>
                <w:sz w:val="20"/>
                <w:lang w:eastAsia="zh-CN"/>
              </w:rPr>
              <w:t xml:space="preserve">Tran and White (1992) </w:t>
            </w:r>
            <w:r>
              <w:rPr>
                <w:sz w:val="20"/>
                <w:lang w:eastAsia="zh-CN"/>
              </w:rPr>
              <w:fldChar w:fldCharType="begin" w:fldLock="1"/>
            </w:r>
            <w:r w:rsidR="006A1A14">
              <w:rPr>
                <w:sz w:val="20"/>
                <w:lang w:eastAsia="zh-CN"/>
              </w:rPr>
              <w:instrText>ADDIN CSL_CITATION {"citationItems":[{"id":"ITEM-1","itemData":{"DOI":"10.1002/fam.810160406","ISSN":"10991018","abstract":"Burning rate is a key factor in modeling fire growth and fire endurance of wood structures. This study investigated the burning rate of selected wood materials as determined by heat release, mass, loss and charring rates. Thick samples of redwood, southern pine, red oak and basswood were tested in a heat release rate calorimeter. Results on ignitability and average heat release, mass loss and charring rates are reported for a heat flux range between 15 and 55 kw m−2. In this range, burning rate increased linearly with heat flux. Burning rate was very species dependent. Heat release rate was related to mass loss by effective heat of combustion, which also increased with heat flux. Charring rate was related to mass loss rate and original wood density. Important char property data such as yield, density and contraction are reported. A simplified calculation method is proposed for calculating mass loss rate and charring rate based on heat release rate. Copyright © 1992 John Wiley &amp; Sons, Ltd.","author":[{"dropping-particle":"","family":"Tran","given":"Hao C.","non-dropping-particle":"","parse-names":false,"suffix":""},{"dropping-particle":"","family":"White","given":"Robert H.","non-dropping-particle":"","parse-names":false,"suffix":""}],"container-title":"Fire and Materials","id":"ITEM-1","issue":"4","issued":{"date-parts":[["1992"]]},"page":"197-206","title":"Burning rate of solid wood measured in a heat release rate calorimeter","type":"article-journal","volume":"16"},"uris":["http://www.mendeley.com/documents/?uuid=1a4bc8e2-64e5-4c58-824d-307c96d1bc08"]}],"mendeley":{"formattedCitation":"[25]","plainTextFormattedCitation":"[25]","previouslyFormattedCitation":"[75]"},"properties":{"noteIndex":0},"schema":"https://github.com/citation-style-language/schema/raw/master/csl-citation.json"}</w:instrText>
            </w:r>
            <w:r>
              <w:rPr>
                <w:sz w:val="20"/>
                <w:lang w:eastAsia="zh-CN"/>
              </w:rPr>
              <w:fldChar w:fldCharType="separate"/>
            </w:r>
            <w:r w:rsidR="006A1A14" w:rsidRPr="006A1A14">
              <w:rPr>
                <w:noProof/>
                <w:sz w:val="20"/>
                <w:lang w:eastAsia="zh-CN"/>
              </w:rPr>
              <w:t>[25]</w:t>
            </w:r>
            <w:r>
              <w:rPr>
                <w:sz w:val="20"/>
                <w:lang w:eastAsia="zh-CN"/>
              </w:rPr>
              <w:fldChar w:fldCharType="end"/>
            </w:r>
          </w:p>
        </w:tc>
        <w:tc>
          <w:tcPr>
            <w:tcW w:w="1927" w:type="dxa"/>
            <w:vAlign w:val="center"/>
          </w:tcPr>
          <w:p w14:paraId="3163464E" w14:textId="77777777" w:rsidR="00D557E3" w:rsidRDefault="00D557E3" w:rsidP="00826CB8">
            <w:pPr>
              <w:snapToGrid w:val="0"/>
              <w:spacing w:beforeLines="50" w:before="120" w:line="480" w:lineRule="auto"/>
              <w:ind w:right="28"/>
              <w:rPr>
                <w:sz w:val="20"/>
                <w:lang w:val="en-GB" w:eastAsia="zh-CN"/>
              </w:rPr>
            </w:pPr>
            <w:r>
              <w:rPr>
                <w:sz w:val="20"/>
                <w:lang w:val="en-GB" w:eastAsia="zh-CN"/>
              </w:rPr>
              <w:t>R</w:t>
            </w:r>
            <w:r>
              <w:rPr>
                <w:rFonts w:hint="eastAsia"/>
                <w:sz w:val="20"/>
                <w:lang w:val="en-GB" w:eastAsia="zh-CN"/>
              </w:rPr>
              <w:t>ed oak</w:t>
            </w:r>
          </w:p>
        </w:tc>
        <w:tc>
          <w:tcPr>
            <w:tcW w:w="1371" w:type="dxa"/>
            <w:vAlign w:val="center"/>
          </w:tcPr>
          <w:p w14:paraId="488CD9C1"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16/23/34/50</w:t>
            </w:r>
          </w:p>
        </w:tc>
        <w:tc>
          <w:tcPr>
            <w:tcW w:w="950" w:type="dxa"/>
            <w:vAlign w:val="center"/>
          </w:tcPr>
          <w:p w14:paraId="5E8A9C86"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8.5</w:t>
            </w:r>
          </w:p>
        </w:tc>
        <w:tc>
          <w:tcPr>
            <w:tcW w:w="2343" w:type="dxa"/>
            <w:vAlign w:val="center"/>
          </w:tcPr>
          <w:p w14:paraId="06A3B19A"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716</w:t>
            </w:r>
          </w:p>
        </w:tc>
        <w:tc>
          <w:tcPr>
            <w:tcW w:w="1635" w:type="dxa"/>
            <w:vAlign w:val="center"/>
          </w:tcPr>
          <w:p w14:paraId="50E10A28"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930/118/50/13</w:t>
            </w:r>
          </w:p>
        </w:tc>
      </w:tr>
      <w:tr w:rsidR="00D557E3" w:rsidRPr="00155D6E" w14:paraId="58A8C20B" w14:textId="77777777" w:rsidTr="00826CB8">
        <w:trPr>
          <w:jc w:val="center"/>
        </w:trPr>
        <w:tc>
          <w:tcPr>
            <w:tcW w:w="1242" w:type="dxa"/>
            <w:vAlign w:val="center"/>
          </w:tcPr>
          <w:p w14:paraId="5786A6A6" w14:textId="252B46A0" w:rsidR="00D557E3" w:rsidRDefault="00D557E3" w:rsidP="00826CB8">
            <w:pPr>
              <w:snapToGrid w:val="0"/>
              <w:spacing w:beforeLines="50" w:before="120" w:line="480" w:lineRule="auto"/>
              <w:ind w:right="28"/>
              <w:rPr>
                <w:sz w:val="20"/>
                <w:lang w:eastAsia="zh-CN"/>
              </w:rPr>
            </w:pPr>
            <w:r>
              <w:rPr>
                <w:rFonts w:hint="eastAsia"/>
                <w:sz w:val="20"/>
                <w:lang w:eastAsia="zh-CN"/>
              </w:rPr>
              <w:t xml:space="preserve">Tran and White (1992) </w:t>
            </w:r>
            <w:r>
              <w:rPr>
                <w:sz w:val="20"/>
                <w:lang w:eastAsia="zh-CN"/>
              </w:rPr>
              <w:fldChar w:fldCharType="begin" w:fldLock="1"/>
            </w:r>
            <w:r w:rsidR="006A1A14">
              <w:rPr>
                <w:sz w:val="20"/>
                <w:lang w:eastAsia="zh-CN"/>
              </w:rPr>
              <w:instrText>ADDIN CSL_CITATION {"citationItems":[{"id":"ITEM-1","itemData":{"DOI":"10.1002/fam.810160406","ISSN":"10991018","abstract":"Burning rate is a key factor in modeling fire growth and fire endurance of wood structures. This study investigated the burning rate of selected wood materials as determined by heat release, mass, loss and charring rates. Thick samples of redwood, southern pine, red oak and basswood were tested in a heat release rate calorimeter. Results on ignitability and average heat release, mass loss and charring rates are reported for a heat flux range between 15 and 55 kw m−2. In this range, burning rate increased linearly with heat flux. Burning rate was very species dependent. Heat release rate was related to mass loss by effective heat of combustion, which also increased with heat flux. Charring rate was related to mass loss rate and original wood density. Important char property data such as yield, density and contraction are reported. A simplified calculation method is proposed for calculating mass loss rate and charring rate based on heat release rate. Copyright © 1992 John Wiley &amp; Sons, Ltd.","author":[{"dropping-particle":"","family":"Tran","given":"Hao C.","non-dropping-particle":"","parse-names":false,"suffix":""},{"dropping-particle":"","family":"White","given":"Robert H.","non-dropping-particle":"","parse-names":false,"suffix":""}],"container-title":"Fire and Materials","id":"ITEM-1","issue":"4","issued":{"date-parts":[["1992"]]},"page":"197-206","title":"Burning rate of solid wood measured in a heat release rate calorimeter","type":"article-journal","volume":"16"},"uris":["http://www.mendeley.com/documents/?uuid=1a4bc8e2-64e5-4c58-824d-307c96d1bc08"]}],"mendeley":{"formattedCitation":"[25]","plainTextFormattedCitation":"[25]","previouslyFormattedCitation":"[75]"},"properties":{"noteIndex":0},"schema":"https://github.com/citation-style-language/schema/raw/master/csl-citation.json"}</w:instrText>
            </w:r>
            <w:r>
              <w:rPr>
                <w:sz w:val="20"/>
                <w:lang w:eastAsia="zh-CN"/>
              </w:rPr>
              <w:fldChar w:fldCharType="separate"/>
            </w:r>
            <w:r w:rsidR="006A1A14" w:rsidRPr="006A1A14">
              <w:rPr>
                <w:noProof/>
                <w:sz w:val="20"/>
                <w:lang w:eastAsia="zh-CN"/>
              </w:rPr>
              <w:t>[25]</w:t>
            </w:r>
            <w:r>
              <w:rPr>
                <w:sz w:val="20"/>
                <w:lang w:eastAsia="zh-CN"/>
              </w:rPr>
              <w:fldChar w:fldCharType="end"/>
            </w:r>
          </w:p>
        </w:tc>
        <w:tc>
          <w:tcPr>
            <w:tcW w:w="1927" w:type="dxa"/>
            <w:vAlign w:val="center"/>
          </w:tcPr>
          <w:p w14:paraId="63B415EE" w14:textId="77777777" w:rsidR="00D557E3" w:rsidRDefault="00D557E3" w:rsidP="00826CB8">
            <w:pPr>
              <w:snapToGrid w:val="0"/>
              <w:spacing w:beforeLines="50" w:before="120" w:line="480" w:lineRule="auto"/>
              <w:ind w:right="28"/>
              <w:rPr>
                <w:sz w:val="20"/>
                <w:lang w:val="en-GB" w:eastAsia="zh-CN"/>
              </w:rPr>
            </w:pPr>
            <w:r>
              <w:rPr>
                <w:sz w:val="20"/>
                <w:lang w:val="en-GB" w:eastAsia="zh-CN"/>
              </w:rPr>
              <w:t>B</w:t>
            </w:r>
            <w:r>
              <w:rPr>
                <w:rFonts w:hint="eastAsia"/>
                <w:sz w:val="20"/>
                <w:lang w:val="en-GB" w:eastAsia="zh-CN"/>
              </w:rPr>
              <w:t>asswood</w:t>
            </w:r>
          </w:p>
        </w:tc>
        <w:tc>
          <w:tcPr>
            <w:tcW w:w="1371" w:type="dxa"/>
            <w:vAlign w:val="center"/>
          </w:tcPr>
          <w:p w14:paraId="0EBA2D52"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15/23/34/48</w:t>
            </w:r>
          </w:p>
        </w:tc>
        <w:tc>
          <w:tcPr>
            <w:tcW w:w="950" w:type="dxa"/>
            <w:vAlign w:val="center"/>
          </w:tcPr>
          <w:p w14:paraId="17695ECF"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8.1</w:t>
            </w:r>
          </w:p>
        </w:tc>
        <w:tc>
          <w:tcPr>
            <w:tcW w:w="2343" w:type="dxa"/>
            <w:vAlign w:val="center"/>
          </w:tcPr>
          <w:p w14:paraId="4066F1A2"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454</w:t>
            </w:r>
          </w:p>
        </w:tc>
        <w:tc>
          <w:tcPr>
            <w:tcW w:w="1635" w:type="dxa"/>
            <w:vAlign w:val="center"/>
          </w:tcPr>
          <w:p w14:paraId="4850A3CD"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182/60/16/5</w:t>
            </w:r>
          </w:p>
        </w:tc>
      </w:tr>
      <w:tr w:rsidR="00D557E3" w:rsidRPr="00155D6E" w14:paraId="3CF7DB6E" w14:textId="77777777" w:rsidTr="00826CB8">
        <w:trPr>
          <w:jc w:val="center"/>
        </w:trPr>
        <w:tc>
          <w:tcPr>
            <w:tcW w:w="1242" w:type="dxa"/>
            <w:vAlign w:val="center"/>
          </w:tcPr>
          <w:p w14:paraId="5D290047" w14:textId="7F3BB9F2" w:rsidR="00D557E3" w:rsidRDefault="00D557E3" w:rsidP="00826CB8">
            <w:pPr>
              <w:snapToGrid w:val="0"/>
              <w:spacing w:beforeLines="50" w:before="120" w:line="480" w:lineRule="auto"/>
              <w:ind w:right="28"/>
              <w:rPr>
                <w:sz w:val="20"/>
                <w:lang w:eastAsia="zh-CN"/>
              </w:rPr>
            </w:pPr>
            <w:r>
              <w:rPr>
                <w:rFonts w:hint="eastAsia"/>
                <w:sz w:val="20"/>
                <w:lang w:eastAsia="zh-CN"/>
              </w:rPr>
              <w:t xml:space="preserve">Harada (2001) </w:t>
            </w:r>
            <w:r>
              <w:rPr>
                <w:sz w:val="20"/>
                <w:lang w:eastAsia="zh-CN"/>
              </w:rPr>
              <w:fldChar w:fldCharType="begin" w:fldLock="1"/>
            </w:r>
            <w:r w:rsidR="006A1A14">
              <w:rPr>
                <w:sz w:val="20"/>
                <w:lang w:eastAsia="zh-CN"/>
              </w:rPr>
              <w:instrText>ADDIN CSL_CITATION {"citationItems":[{"id":"ITEM-1","itemData":{"DOI":"10.1002/fam.766","author":[{"dropping-particle":"","family":"Harada","given":"Toshiro","non-dropping-particle":"","parse-names":false,"suffix":""}],"container-title":"Fire and Materials","id":"ITEM-1","issued":{"date-parts":[["2002"]]},"page":"161-167","title":"Time to Ignition , Heat Release Rate and Fire Endurance Time of Wood in Cone Calorimeter Test","type":"article-journal","volume":"25"},"uris":["http://www.mendeley.com/documents/?uuid=83e312d0-ae51-44a9-b196-c5718fdd7d0b","http://www.mendeley.com/documents/?uuid=53c16ec0-f913-4dbb-8fc8-808b7f279c0b","http://www.mendeley.com/documents/?uuid=7784e57a-7de1-487e-bd98-6222f6ebe62a"]}],"mendeley":{"formattedCitation":"[26]","plainTextFormattedCitation":"[26]","previouslyFormattedCitation":"[45]"},"properties":{"noteIndex":0},"schema":"https://github.com/citation-style-language/schema/raw/master/csl-citation.json"}</w:instrText>
            </w:r>
            <w:r>
              <w:rPr>
                <w:sz w:val="20"/>
                <w:lang w:eastAsia="zh-CN"/>
              </w:rPr>
              <w:fldChar w:fldCharType="separate"/>
            </w:r>
            <w:r w:rsidR="006A1A14" w:rsidRPr="006A1A14">
              <w:rPr>
                <w:noProof/>
                <w:sz w:val="20"/>
                <w:lang w:eastAsia="zh-CN"/>
              </w:rPr>
              <w:t>[26]</w:t>
            </w:r>
            <w:r>
              <w:rPr>
                <w:sz w:val="20"/>
                <w:lang w:eastAsia="zh-CN"/>
              </w:rPr>
              <w:fldChar w:fldCharType="end"/>
            </w:r>
          </w:p>
        </w:tc>
        <w:tc>
          <w:tcPr>
            <w:tcW w:w="1927" w:type="dxa"/>
            <w:vAlign w:val="center"/>
          </w:tcPr>
          <w:p w14:paraId="08FC8D4C"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Japan cedar</w:t>
            </w:r>
          </w:p>
        </w:tc>
        <w:tc>
          <w:tcPr>
            <w:tcW w:w="1371" w:type="dxa"/>
            <w:vAlign w:val="center"/>
          </w:tcPr>
          <w:p w14:paraId="5BC5467E"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25/30/40/50</w:t>
            </w:r>
          </w:p>
        </w:tc>
        <w:tc>
          <w:tcPr>
            <w:tcW w:w="950" w:type="dxa"/>
            <w:vAlign w:val="center"/>
          </w:tcPr>
          <w:p w14:paraId="3A2E3E38"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3</w:t>
            </w:r>
          </w:p>
        </w:tc>
        <w:tc>
          <w:tcPr>
            <w:tcW w:w="2343" w:type="dxa"/>
            <w:vAlign w:val="center"/>
          </w:tcPr>
          <w:p w14:paraId="1B15BA25"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299</w:t>
            </w:r>
          </w:p>
        </w:tc>
        <w:tc>
          <w:tcPr>
            <w:tcW w:w="1635" w:type="dxa"/>
            <w:vAlign w:val="center"/>
          </w:tcPr>
          <w:p w14:paraId="2B92E214"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43/38/12/9</w:t>
            </w:r>
          </w:p>
        </w:tc>
      </w:tr>
      <w:tr w:rsidR="00D557E3" w:rsidRPr="00155D6E" w14:paraId="1778BFAA" w14:textId="77777777" w:rsidTr="00826CB8">
        <w:trPr>
          <w:jc w:val="center"/>
        </w:trPr>
        <w:tc>
          <w:tcPr>
            <w:tcW w:w="1242" w:type="dxa"/>
            <w:vAlign w:val="center"/>
          </w:tcPr>
          <w:p w14:paraId="0BA9CD5A" w14:textId="1163ECDC" w:rsidR="00D557E3" w:rsidRDefault="00D557E3" w:rsidP="00826CB8">
            <w:pPr>
              <w:snapToGrid w:val="0"/>
              <w:spacing w:beforeLines="50" w:before="120" w:line="480" w:lineRule="auto"/>
              <w:ind w:right="28"/>
              <w:rPr>
                <w:sz w:val="20"/>
                <w:lang w:eastAsia="zh-CN"/>
              </w:rPr>
            </w:pPr>
            <w:r>
              <w:rPr>
                <w:rFonts w:hint="eastAsia"/>
                <w:sz w:val="20"/>
                <w:lang w:eastAsia="zh-CN"/>
              </w:rPr>
              <w:t xml:space="preserve">Harada (2001) </w:t>
            </w:r>
            <w:r>
              <w:rPr>
                <w:sz w:val="20"/>
                <w:lang w:eastAsia="zh-CN"/>
              </w:rPr>
              <w:fldChar w:fldCharType="begin" w:fldLock="1"/>
            </w:r>
            <w:r w:rsidR="006A1A14">
              <w:rPr>
                <w:sz w:val="20"/>
                <w:lang w:eastAsia="zh-CN"/>
              </w:rPr>
              <w:instrText>ADDIN CSL_CITATION {"citationItems":[{"id":"ITEM-1","itemData":{"DOI":"10.1002/fam.766","author":[{"dropping-particle":"","family":"Harada","given":"Toshiro","non-dropping-particle":"","parse-names":false,"suffix":""}],"container-title":"Fire and Materials","id":"ITEM-1","issued":{"date-parts":[["2002"]]},"page":"161-167","title":"Time to Ignition , Heat Release Rate and Fire Endurance Time of Wood in Cone Calorimeter Test","type":"article-journal","volume":"25"},"uris":["http://www.mendeley.com/documents/?uuid=83e312d0-ae51-44a9-b196-c5718fdd7d0b","http://www.mendeley.com/documents/?uuid=53c16ec0-f913-4dbb-8fc8-808b7f279c0b","http://www.mendeley.com/documents/?uuid=7784e57a-7de1-487e-bd98-6222f6ebe62a"]}],"mendeley":{"formattedCitation":"[26]","plainTextFormattedCitation":"[26]","previouslyFormattedCitation":"[45]"},"properties":{"noteIndex":0},"schema":"https://github.com/citation-style-language/schema/raw/master/csl-citation.json"}</w:instrText>
            </w:r>
            <w:r>
              <w:rPr>
                <w:sz w:val="20"/>
                <w:lang w:eastAsia="zh-CN"/>
              </w:rPr>
              <w:fldChar w:fldCharType="separate"/>
            </w:r>
            <w:r w:rsidR="006A1A14" w:rsidRPr="006A1A14">
              <w:rPr>
                <w:noProof/>
                <w:sz w:val="20"/>
                <w:lang w:eastAsia="zh-CN"/>
              </w:rPr>
              <w:t>[26]</w:t>
            </w:r>
            <w:r>
              <w:rPr>
                <w:sz w:val="20"/>
                <w:lang w:eastAsia="zh-CN"/>
              </w:rPr>
              <w:fldChar w:fldCharType="end"/>
            </w:r>
          </w:p>
        </w:tc>
        <w:tc>
          <w:tcPr>
            <w:tcW w:w="1927" w:type="dxa"/>
            <w:vAlign w:val="center"/>
          </w:tcPr>
          <w:p w14:paraId="0C37A6A1"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 xml:space="preserve">Hiba </w:t>
            </w:r>
            <w:proofErr w:type="spellStart"/>
            <w:r>
              <w:rPr>
                <w:rFonts w:hint="eastAsia"/>
                <w:sz w:val="20"/>
                <w:lang w:val="en-GB" w:eastAsia="zh-CN"/>
              </w:rPr>
              <w:t>abor</w:t>
            </w:r>
            <w:proofErr w:type="spellEnd"/>
            <w:r>
              <w:rPr>
                <w:rFonts w:hint="eastAsia"/>
                <w:sz w:val="20"/>
                <w:lang w:val="en-GB" w:eastAsia="zh-CN"/>
              </w:rPr>
              <w:t>-vitae</w:t>
            </w:r>
          </w:p>
        </w:tc>
        <w:tc>
          <w:tcPr>
            <w:tcW w:w="1371" w:type="dxa"/>
            <w:vAlign w:val="center"/>
          </w:tcPr>
          <w:p w14:paraId="4E00130E"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25/30/40/50</w:t>
            </w:r>
          </w:p>
        </w:tc>
        <w:tc>
          <w:tcPr>
            <w:tcW w:w="950" w:type="dxa"/>
            <w:vAlign w:val="center"/>
          </w:tcPr>
          <w:p w14:paraId="73E7CC23"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3</w:t>
            </w:r>
          </w:p>
        </w:tc>
        <w:tc>
          <w:tcPr>
            <w:tcW w:w="2343" w:type="dxa"/>
            <w:vAlign w:val="center"/>
          </w:tcPr>
          <w:p w14:paraId="1E8F4291"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422</w:t>
            </w:r>
          </w:p>
        </w:tc>
        <w:tc>
          <w:tcPr>
            <w:tcW w:w="1635" w:type="dxa"/>
            <w:vAlign w:val="center"/>
          </w:tcPr>
          <w:p w14:paraId="78F98538"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75/42/18/12</w:t>
            </w:r>
          </w:p>
        </w:tc>
      </w:tr>
      <w:tr w:rsidR="00D557E3" w:rsidRPr="00155D6E" w14:paraId="444DD6B0" w14:textId="77777777" w:rsidTr="00826CB8">
        <w:trPr>
          <w:jc w:val="center"/>
        </w:trPr>
        <w:tc>
          <w:tcPr>
            <w:tcW w:w="1242" w:type="dxa"/>
            <w:vAlign w:val="center"/>
          </w:tcPr>
          <w:p w14:paraId="0E5D9C3A" w14:textId="547DE6A3" w:rsidR="00D557E3" w:rsidRDefault="00D557E3" w:rsidP="00826CB8">
            <w:pPr>
              <w:snapToGrid w:val="0"/>
              <w:spacing w:beforeLines="50" w:before="120" w:line="480" w:lineRule="auto"/>
              <w:ind w:right="28"/>
              <w:rPr>
                <w:sz w:val="20"/>
                <w:lang w:eastAsia="zh-CN"/>
              </w:rPr>
            </w:pPr>
            <w:r>
              <w:rPr>
                <w:rFonts w:hint="eastAsia"/>
                <w:sz w:val="20"/>
                <w:lang w:eastAsia="zh-CN"/>
              </w:rPr>
              <w:t xml:space="preserve">Harada (2001) </w:t>
            </w:r>
            <w:r>
              <w:rPr>
                <w:sz w:val="20"/>
                <w:lang w:eastAsia="zh-CN"/>
              </w:rPr>
              <w:fldChar w:fldCharType="begin" w:fldLock="1"/>
            </w:r>
            <w:r w:rsidR="006A1A14">
              <w:rPr>
                <w:sz w:val="20"/>
                <w:lang w:eastAsia="zh-CN"/>
              </w:rPr>
              <w:instrText>ADDIN CSL_CITATION {"citationItems":[{"id":"ITEM-1","itemData":{"DOI":"10.1002/fam.766","author":[{"dropping-particle":"","family":"Harada","given":"Toshiro","non-dropping-particle":"","parse-names":false,"suffix":""}],"container-title":"Fire and Materials","id":"ITEM-1","issued":{"date-parts":[["2002"]]},"page":"161-167","title":"Time to Ignition , Heat Release Rate and Fire Endurance Time of Wood in Cone Calorimeter Test","type":"article-journal","volume":"25"},"uris":["http://www.mendeley.com/documents/?uuid=83e312d0-ae51-44a9-b196-c5718fdd7d0b","http://www.mendeley.com/documents/?uuid=53c16ec0-f913-4dbb-8fc8-808b7f279c0b","http://www.mendeley.com/documents/?uuid=7784e57a-7de1-487e-bd98-6222f6ebe62a"]}],"mendeley":{"formattedCitation":"[26]","plainTextFormattedCitation":"[26]","previouslyFormattedCitation":"[45]"},"properties":{"noteIndex":0},"schema":"https://github.com/citation-style-language/schema/raw/master/csl-citation.json"}</w:instrText>
            </w:r>
            <w:r>
              <w:rPr>
                <w:sz w:val="20"/>
                <w:lang w:eastAsia="zh-CN"/>
              </w:rPr>
              <w:fldChar w:fldCharType="separate"/>
            </w:r>
            <w:r w:rsidR="006A1A14" w:rsidRPr="006A1A14">
              <w:rPr>
                <w:noProof/>
                <w:sz w:val="20"/>
                <w:lang w:eastAsia="zh-CN"/>
              </w:rPr>
              <w:t>[26]</w:t>
            </w:r>
            <w:r>
              <w:rPr>
                <w:sz w:val="20"/>
                <w:lang w:eastAsia="zh-CN"/>
              </w:rPr>
              <w:fldChar w:fldCharType="end"/>
            </w:r>
          </w:p>
        </w:tc>
        <w:tc>
          <w:tcPr>
            <w:tcW w:w="1927" w:type="dxa"/>
            <w:vAlign w:val="center"/>
          </w:tcPr>
          <w:p w14:paraId="383F0AC7"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Japanese red pine</w:t>
            </w:r>
          </w:p>
        </w:tc>
        <w:tc>
          <w:tcPr>
            <w:tcW w:w="1371" w:type="dxa"/>
            <w:vAlign w:val="center"/>
          </w:tcPr>
          <w:p w14:paraId="658D467D"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25/30/40/50</w:t>
            </w:r>
          </w:p>
        </w:tc>
        <w:tc>
          <w:tcPr>
            <w:tcW w:w="950" w:type="dxa"/>
            <w:vAlign w:val="center"/>
          </w:tcPr>
          <w:p w14:paraId="77D60D36"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3</w:t>
            </w:r>
          </w:p>
        </w:tc>
        <w:tc>
          <w:tcPr>
            <w:tcW w:w="2343" w:type="dxa"/>
            <w:vAlign w:val="center"/>
          </w:tcPr>
          <w:p w14:paraId="69C5CEB8"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433</w:t>
            </w:r>
          </w:p>
        </w:tc>
        <w:tc>
          <w:tcPr>
            <w:tcW w:w="1635" w:type="dxa"/>
            <w:vAlign w:val="center"/>
          </w:tcPr>
          <w:p w14:paraId="64985DA8"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81/45/21/16</w:t>
            </w:r>
          </w:p>
        </w:tc>
      </w:tr>
      <w:tr w:rsidR="00D557E3" w:rsidRPr="00155D6E" w14:paraId="2917577C" w14:textId="77777777" w:rsidTr="00826CB8">
        <w:trPr>
          <w:jc w:val="center"/>
        </w:trPr>
        <w:tc>
          <w:tcPr>
            <w:tcW w:w="1242" w:type="dxa"/>
            <w:vAlign w:val="center"/>
          </w:tcPr>
          <w:p w14:paraId="793203E9" w14:textId="3256C8D7" w:rsidR="00D557E3" w:rsidRDefault="00D557E3" w:rsidP="00826CB8">
            <w:pPr>
              <w:snapToGrid w:val="0"/>
              <w:spacing w:beforeLines="50" w:before="120" w:line="480" w:lineRule="auto"/>
              <w:ind w:right="28"/>
              <w:rPr>
                <w:sz w:val="20"/>
                <w:lang w:eastAsia="zh-CN"/>
              </w:rPr>
            </w:pPr>
            <w:r>
              <w:rPr>
                <w:rFonts w:hint="eastAsia"/>
                <w:sz w:val="20"/>
                <w:lang w:eastAsia="zh-CN"/>
              </w:rPr>
              <w:t xml:space="preserve">Harada (2001) </w:t>
            </w:r>
            <w:r>
              <w:rPr>
                <w:sz w:val="20"/>
                <w:lang w:eastAsia="zh-CN"/>
              </w:rPr>
              <w:fldChar w:fldCharType="begin" w:fldLock="1"/>
            </w:r>
            <w:r w:rsidR="006A1A14">
              <w:rPr>
                <w:sz w:val="20"/>
                <w:lang w:eastAsia="zh-CN"/>
              </w:rPr>
              <w:instrText>ADDIN CSL_CITATION {"citationItems":[{"id":"ITEM-1","itemData":{"DOI":"10.1002/fam.766","author":[{"dropping-particle":"","family":"Harada","given":"Toshiro","non-dropping-particle":"","parse-names":false,"suffix":""}],"container-title":"Fire and Materials","id":"ITEM-1","issued":{"date-parts":[["2002"]]},"page":"161-167","title":"Time to Ignition , Heat Release Rate and Fire Endurance Time of Wood in Cone Calorimeter Test","type":"article-journal","volume":"25"},"uris":["http://www.mendeley.com/documents/?uuid=83e312d0-ae51-44a9-b196-c5718fdd7d0b","http://www.mendeley.com/documents/?uuid=53c16ec0-f913-4dbb-8fc8-808b7f279c0b","http://www.mendeley.com/documents/?uuid=7784e57a-7de1-487e-bd98-6222f6ebe62a"]}],"mendeley":{"formattedCitation":"[26]","plainTextFormattedCitation":"[26]","previouslyFormattedCitation":"[45]"},"properties":{"noteIndex":0},"schema":"https://github.com/citation-style-language/schema/raw/master/csl-citation.json"}</w:instrText>
            </w:r>
            <w:r>
              <w:rPr>
                <w:sz w:val="20"/>
                <w:lang w:eastAsia="zh-CN"/>
              </w:rPr>
              <w:fldChar w:fldCharType="separate"/>
            </w:r>
            <w:r w:rsidR="006A1A14" w:rsidRPr="006A1A14">
              <w:rPr>
                <w:noProof/>
                <w:sz w:val="20"/>
                <w:lang w:eastAsia="zh-CN"/>
              </w:rPr>
              <w:t>[26]</w:t>
            </w:r>
            <w:r>
              <w:rPr>
                <w:sz w:val="20"/>
                <w:lang w:eastAsia="zh-CN"/>
              </w:rPr>
              <w:fldChar w:fldCharType="end"/>
            </w:r>
          </w:p>
        </w:tc>
        <w:tc>
          <w:tcPr>
            <w:tcW w:w="1927" w:type="dxa"/>
            <w:vAlign w:val="center"/>
          </w:tcPr>
          <w:p w14:paraId="0ECD0A04"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Japanese larch</w:t>
            </w:r>
          </w:p>
        </w:tc>
        <w:tc>
          <w:tcPr>
            <w:tcW w:w="1371" w:type="dxa"/>
            <w:vAlign w:val="center"/>
          </w:tcPr>
          <w:p w14:paraId="6B060568"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30/40/50</w:t>
            </w:r>
          </w:p>
        </w:tc>
        <w:tc>
          <w:tcPr>
            <w:tcW w:w="950" w:type="dxa"/>
            <w:vAlign w:val="center"/>
          </w:tcPr>
          <w:p w14:paraId="610A4B55"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3</w:t>
            </w:r>
          </w:p>
        </w:tc>
        <w:tc>
          <w:tcPr>
            <w:tcW w:w="2343" w:type="dxa"/>
            <w:vAlign w:val="center"/>
          </w:tcPr>
          <w:p w14:paraId="62F8F317"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542</w:t>
            </w:r>
          </w:p>
        </w:tc>
        <w:tc>
          <w:tcPr>
            <w:tcW w:w="1635" w:type="dxa"/>
            <w:vAlign w:val="center"/>
          </w:tcPr>
          <w:p w14:paraId="039292D3"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64/22/16</w:t>
            </w:r>
          </w:p>
        </w:tc>
      </w:tr>
      <w:tr w:rsidR="00D557E3" w:rsidRPr="00155D6E" w14:paraId="209DE140" w14:textId="77777777" w:rsidTr="00826CB8">
        <w:trPr>
          <w:jc w:val="center"/>
        </w:trPr>
        <w:tc>
          <w:tcPr>
            <w:tcW w:w="1242" w:type="dxa"/>
            <w:vAlign w:val="center"/>
          </w:tcPr>
          <w:p w14:paraId="7F83F7AD" w14:textId="75F7F93E" w:rsidR="00D557E3" w:rsidRDefault="00D557E3" w:rsidP="00826CB8">
            <w:pPr>
              <w:snapToGrid w:val="0"/>
              <w:spacing w:beforeLines="50" w:before="120" w:line="480" w:lineRule="auto"/>
              <w:ind w:right="28"/>
              <w:rPr>
                <w:sz w:val="20"/>
                <w:lang w:eastAsia="zh-CN"/>
              </w:rPr>
            </w:pPr>
            <w:r>
              <w:rPr>
                <w:rFonts w:hint="eastAsia"/>
                <w:sz w:val="20"/>
                <w:lang w:eastAsia="zh-CN"/>
              </w:rPr>
              <w:t xml:space="preserve">Harada (2001) </w:t>
            </w:r>
            <w:r>
              <w:rPr>
                <w:sz w:val="20"/>
                <w:lang w:eastAsia="zh-CN"/>
              </w:rPr>
              <w:fldChar w:fldCharType="begin" w:fldLock="1"/>
            </w:r>
            <w:r w:rsidR="006A1A14">
              <w:rPr>
                <w:sz w:val="20"/>
                <w:lang w:eastAsia="zh-CN"/>
              </w:rPr>
              <w:instrText>ADDIN CSL_CITATION {"citationItems":[{"id":"ITEM-1","itemData":{"DOI":"10.1002/fam.766","author":[{"dropping-particle":"","family":"Harada","given":"Toshiro","non-dropping-particle":"","parse-names":false,"suffix":""}],"container-title":"Fire and Materials","id":"ITEM-1","issued":{"date-parts":[["2002"]]},"page":"161-167","title":"Time to Ignition , Heat Release Rate and Fire Endurance Time of Wood in Cone Calorimeter Test","type":"article-journal","volume":"25"},"uris":["http://www.mendeley.com/documents/?uuid=83e312d0-ae51-44a9-b196-c5718fdd7d0b","http://www.mendeley.com/documents/?uuid=53c16ec0-f913-4dbb-8fc8-808b7f279c0b","http://www.mendeley.com/documents/?uuid=7784e57a-7de1-487e-bd98-6222f6ebe62a"]}],"mendeley":{"formattedCitation":"[26]","plainTextFormattedCitation":"[26]","previouslyFormattedCitation":"[45]"},"properties":{"noteIndex":0},"schema":"https://github.com/citation-style-language/schema/raw/master/csl-citation.json"}</w:instrText>
            </w:r>
            <w:r>
              <w:rPr>
                <w:sz w:val="20"/>
                <w:lang w:eastAsia="zh-CN"/>
              </w:rPr>
              <w:fldChar w:fldCharType="separate"/>
            </w:r>
            <w:r w:rsidR="006A1A14" w:rsidRPr="006A1A14">
              <w:rPr>
                <w:noProof/>
                <w:sz w:val="20"/>
                <w:lang w:eastAsia="zh-CN"/>
              </w:rPr>
              <w:t>[26]</w:t>
            </w:r>
            <w:r>
              <w:rPr>
                <w:sz w:val="20"/>
                <w:lang w:eastAsia="zh-CN"/>
              </w:rPr>
              <w:fldChar w:fldCharType="end"/>
            </w:r>
          </w:p>
        </w:tc>
        <w:tc>
          <w:tcPr>
            <w:tcW w:w="1927" w:type="dxa"/>
            <w:vAlign w:val="center"/>
          </w:tcPr>
          <w:p w14:paraId="04C19A91"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Japanese walnut</w:t>
            </w:r>
          </w:p>
        </w:tc>
        <w:tc>
          <w:tcPr>
            <w:tcW w:w="1371" w:type="dxa"/>
            <w:vAlign w:val="center"/>
          </w:tcPr>
          <w:p w14:paraId="125363C0"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25/30/40/50</w:t>
            </w:r>
          </w:p>
        </w:tc>
        <w:tc>
          <w:tcPr>
            <w:tcW w:w="950" w:type="dxa"/>
            <w:vAlign w:val="center"/>
          </w:tcPr>
          <w:p w14:paraId="242683A2"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3</w:t>
            </w:r>
          </w:p>
        </w:tc>
        <w:tc>
          <w:tcPr>
            <w:tcW w:w="2343" w:type="dxa"/>
            <w:vAlign w:val="center"/>
          </w:tcPr>
          <w:p w14:paraId="7494B13E"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547</w:t>
            </w:r>
          </w:p>
        </w:tc>
        <w:tc>
          <w:tcPr>
            <w:tcW w:w="1635" w:type="dxa"/>
            <w:vAlign w:val="center"/>
          </w:tcPr>
          <w:p w14:paraId="07609E19"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185/55/23/17</w:t>
            </w:r>
          </w:p>
        </w:tc>
      </w:tr>
      <w:tr w:rsidR="00D557E3" w:rsidRPr="00155D6E" w14:paraId="5C97D71B" w14:textId="77777777" w:rsidTr="00826CB8">
        <w:trPr>
          <w:jc w:val="center"/>
        </w:trPr>
        <w:tc>
          <w:tcPr>
            <w:tcW w:w="1242" w:type="dxa"/>
            <w:vAlign w:val="center"/>
          </w:tcPr>
          <w:p w14:paraId="63D7289E" w14:textId="1B7F2B1D" w:rsidR="00D557E3" w:rsidRDefault="00D557E3" w:rsidP="00826CB8">
            <w:pPr>
              <w:snapToGrid w:val="0"/>
              <w:spacing w:beforeLines="50" w:before="120" w:line="480" w:lineRule="auto"/>
              <w:ind w:right="28"/>
              <w:rPr>
                <w:sz w:val="20"/>
                <w:lang w:eastAsia="zh-CN"/>
              </w:rPr>
            </w:pPr>
            <w:r>
              <w:rPr>
                <w:rFonts w:hint="eastAsia"/>
                <w:sz w:val="20"/>
                <w:lang w:eastAsia="zh-CN"/>
              </w:rPr>
              <w:t xml:space="preserve">Harada (2001) </w:t>
            </w:r>
            <w:r>
              <w:rPr>
                <w:sz w:val="20"/>
                <w:lang w:eastAsia="zh-CN"/>
              </w:rPr>
              <w:fldChar w:fldCharType="begin" w:fldLock="1"/>
            </w:r>
            <w:r w:rsidR="006A1A14">
              <w:rPr>
                <w:sz w:val="20"/>
                <w:lang w:eastAsia="zh-CN"/>
              </w:rPr>
              <w:instrText>ADDIN CSL_CITATION {"citationItems":[{"id":"ITEM-1","itemData":{"DOI":"10.1002/fam.766","author":[{"dropping-particle":"","family":"Harada","given":"Toshiro","non-dropping-particle":"","parse-names":false,"suffix":""}],"container-title":"Fire and Materials","id":"ITEM-1","issued":{"date-parts":[["2002"]]},"page":"161-167","title":"Time to Ignition , Heat Release Rate and Fire Endurance Time of Wood in Cone Calorimeter Test","type":"article-journal","volume":"25"},"uris":["http://www.mendeley.com/documents/?uuid=83e312d0-ae51-44a9-b196-c5718fdd7d0b","http://www.mendeley.com/documents/?uuid=53c16ec0-f913-4dbb-8fc8-808b7f279c0b","http://www.mendeley.com/documents/?uuid=7784e57a-7de1-487e-bd98-6222f6ebe62a"]}],"mendeley":{"formattedCitation":"[26]","plainTextFormattedCitation":"[26]","previouslyFormattedCitation":"[45]"},"properties":{"noteIndex":0},"schema":"https://github.com/citation-style-language/schema/raw/master/csl-citation.json"}</w:instrText>
            </w:r>
            <w:r>
              <w:rPr>
                <w:sz w:val="20"/>
                <w:lang w:eastAsia="zh-CN"/>
              </w:rPr>
              <w:fldChar w:fldCharType="separate"/>
            </w:r>
            <w:r w:rsidR="006A1A14" w:rsidRPr="006A1A14">
              <w:rPr>
                <w:noProof/>
                <w:sz w:val="20"/>
                <w:lang w:eastAsia="zh-CN"/>
              </w:rPr>
              <w:t>[26]</w:t>
            </w:r>
            <w:r>
              <w:rPr>
                <w:sz w:val="20"/>
                <w:lang w:eastAsia="zh-CN"/>
              </w:rPr>
              <w:fldChar w:fldCharType="end"/>
            </w:r>
          </w:p>
        </w:tc>
        <w:tc>
          <w:tcPr>
            <w:tcW w:w="1927" w:type="dxa"/>
            <w:vAlign w:val="center"/>
          </w:tcPr>
          <w:p w14:paraId="503E2378"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Japanese beech</w:t>
            </w:r>
          </w:p>
        </w:tc>
        <w:tc>
          <w:tcPr>
            <w:tcW w:w="1371" w:type="dxa"/>
            <w:vAlign w:val="center"/>
          </w:tcPr>
          <w:p w14:paraId="7AE385E9"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25/30/40/50</w:t>
            </w:r>
          </w:p>
        </w:tc>
        <w:tc>
          <w:tcPr>
            <w:tcW w:w="950" w:type="dxa"/>
            <w:vAlign w:val="center"/>
          </w:tcPr>
          <w:p w14:paraId="05953B40"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3</w:t>
            </w:r>
          </w:p>
        </w:tc>
        <w:tc>
          <w:tcPr>
            <w:tcW w:w="2343" w:type="dxa"/>
            <w:vAlign w:val="center"/>
          </w:tcPr>
          <w:p w14:paraId="490EC69D"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581</w:t>
            </w:r>
          </w:p>
        </w:tc>
        <w:tc>
          <w:tcPr>
            <w:tcW w:w="1635" w:type="dxa"/>
            <w:vAlign w:val="center"/>
          </w:tcPr>
          <w:p w14:paraId="56E64FFF"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155/59/31/22</w:t>
            </w:r>
          </w:p>
        </w:tc>
      </w:tr>
      <w:tr w:rsidR="00D557E3" w:rsidRPr="00155D6E" w14:paraId="4F074028" w14:textId="77777777" w:rsidTr="00826CB8">
        <w:trPr>
          <w:jc w:val="center"/>
        </w:trPr>
        <w:tc>
          <w:tcPr>
            <w:tcW w:w="1242" w:type="dxa"/>
            <w:vAlign w:val="center"/>
          </w:tcPr>
          <w:p w14:paraId="48240F1C" w14:textId="432FC404" w:rsidR="00D557E3" w:rsidRDefault="00D557E3" w:rsidP="00826CB8">
            <w:pPr>
              <w:snapToGrid w:val="0"/>
              <w:spacing w:beforeLines="50" w:before="120" w:line="480" w:lineRule="auto"/>
              <w:ind w:right="28"/>
              <w:rPr>
                <w:sz w:val="20"/>
                <w:lang w:eastAsia="zh-CN"/>
              </w:rPr>
            </w:pPr>
            <w:r>
              <w:rPr>
                <w:rFonts w:hint="eastAsia"/>
                <w:sz w:val="20"/>
                <w:lang w:eastAsia="zh-CN"/>
              </w:rPr>
              <w:t xml:space="preserve">Harada (2001) </w:t>
            </w:r>
            <w:r>
              <w:rPr>
                <w:sz w:val="20"/>
                <w:lang w:eastAsia="zh-CN"/>
              </w:rPr>
              <w:fldChar w:fldCharType="begin" w:fldLock="1"/>
            </w:r>
            <w:r w:rsidR="006A1A14">
              <w:rPr>
                <w:sz w:val="20"/>
                <w:lang w:eastAsia="zh-CN"/>
              </w:rPr>
              <w:instrText>ADDIN CSL_CITATION {"citationItems":[{"id":"ITEM-1","itemData":{"DOI":"10.1002/fam.766","author":[{"dropping-particle":"","family":"Harada","given":"Toshiro","non-dropping-particle":"","parse-names":false,"suffix":""}],"container-title":"Fire and Materials","id":"ITEM-1","issued":{"date-parts":[["2002"]]},"page":"161-167","title":"Time to Ignition , Heat Release Rate and Fire Endurance Time of Wood in Cone Calorimeter Test","type":"article-journal","volume":"25"},"uris":["http://www.mendeley.com/documents/?uuid=83e312d0-ae51-44a9-b196-c5718fdd7d0b","http://www.mendeley.com/documents/?uuid=53c16ec0-f913-4dbb-8fc8-808b7f279c0b","http://www.mendeley.com/documents/?uuid=7784e57a-7de1-487e-bd98-6222f6ebe62a"]}],"mendeley":{"formattedCitation":"[26]","plainTextFormattedCitation":"[26]","previouslyFormattedCitation":"[45]"},"properties":{"noteIndex":0},"schema":"https://github.com/citation-style-language/schema/raw/master/csl-citation.json"}</w:instrText>
            </w:r>
            <w:r>
              <w:rPr>
                <w:sz w:val="20"/>
                <w:lang w:eastAsia="zh-CN"/>
              </w:rPr>
              <w:fldChar w:fldCharType="separate"/>
            </w:r>
            <w:r w:rsidR="006A1A14" w:rsidRPr="006A1A14">
              <w:rPr>
                <w:noProof/>
                <w:sz w:val="20"/>
                <w:lang w:eastAsia="zh-CN"/>
              </w:rPr>
              <w:t>[26]</w:t>
            </w:r>
            <w:r>
              <w:rPr>
                <w:sz w:val="20"/>
                <w:lang w:eastAsia="zh-CN"/>
              </w:rPr>
              <w:fldChar w:fldCharType="end"/>
            </w:r>
          </w:p>
        </w:tc>
        <w:tc>
          <w:tcPr>
            <w:tcW w:w="1927" w:type="dxa"/>
            <w:vAlign w:val="center"/>
          </w:tcPr>
          <w:p w14:paraId="2A647905"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Japanese oak</w:t>
            </w:r>
          </w:p>
        </w:tc>
        <w:tc>
          <w:tcPr>
            <w:tcW w:w="1371" w:type="dxa"/>
            <w:vAlign w:val="center"/>
          </w:tcPr>
          <w:p w14:paraId="6B83721B"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30/40/50</w:t>
            </w:r>
          </w:p>
        </w:tc>
        <w:tc>
          <w:tcPr>
            <w:tcW w:w="950" w:type="dxa"/>
            <w:vAlign w:val="center"/>
          </w:tcPr>
          <w:p w14:paraId="2CBD65FA"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3</w:t>
            </w:r>
          </w:p>
        </w:tc>
        <w:tc>
          <w:tcPr>
            <w:tcW w:w="2343" w:type="dxa"/>
            <w:vAlign w:val="center"/>
          </w:tcPr>
          <w:p w14:paraId="78FDFE82"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772</w:t>
            </w:r>
          </w:p>
        </w:tc>
        <w:tc>
          <w:tcPr>
            <w:tcW w:w="1635" w:type="dxa"/>
            <w:vAlign w:val="center"/>
          </w:tcPr>
          <w:p w14:paraId="4319C780"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113/54/27</w:t>
            </w:r>
          </w:p>
        </w:tc>
      </w:tr>
      <w:tr w:rsidR="00D557E3" w:rsidRPr="00155D6E" w14:paraId="2314F03B" w14:textId="77777777" w:rsidTr="00826CB8">
        <w:trPr>
          <w:jc w:val="center"/>
        </w:trPr>
        <w:tc>
          <w:tcPr>
            <w:tcW w:w="1242" w:type="dxa"/>
            <w:vAlign w:val="center"/>
          </w:tcPr>
          <w:p w14:paraId="64352362" w14:textId="2CFE0A67" w:rsidR="00D557E3" w:rsidRDefault="00D557E3" w:rsidP="00826CB8">
            <w:pPr>
              <w:snapToGrid w:val="0"/>
              <w:spacing w:beforeLines="50" w:before="120" w:line="480" w:lineRule="auto"/>
              <w:ind w:right="28"/>
              <w:rPr>
                <w:sz w:val="20"/>
                <w:lang w:eastAsia="zh-CN"/>
              </w:rPr>
            </w:pPr>
            <w:r>
              <w:rPr>
                <w:rFonts w:hint="eastAsia"/>
                <w:sz w:val="20"/>
                <w:lang w:eastAsia="zh-CN"/>
              </w:rPr>
              <w:t xml:space="preserve">Harada </w:t>
            </w:r>
            <w:r>
              <w:rPr>
                <w:rFonts w:hint="eastAsia"/>
                <w:sz w:val="20"/>
                <w:lang w:eastAsia="zh-CN"/>
              </w:rPr>
              <w:lastRenderedPageBreak/>
              <w:t xml:space="preserve">(2001) </w:t>
            </w:r>
            <w:r>
              <w:rPr>
                <w:sz w:val="20"/>
                <w:lang w:eastAsia="zh-CN"/>
              </w:rPr>
              <w:fldChar w:fldCharType="begin" w:fldLock="1"/>
            </w:r>
            <w:r w:rsidR="006A1A14">
              <w:rPr>
                <w:sz w:val="20"/>
                <w:lang w:eastAsia="zh-CN"/>
              </w:rPr>
              <w:instrText>ADDIN CSL_CITATION {"citationItems":[{"id":"ITEM-1","itemData":{"DOI":"10.1002/fam.766","author":[{"dropping-particle":"","family":"Harada","given":"Toshiro","non-dropping-particle":"","parse-names":false,"suffix":""}],"container-title":"Fire and Materials","id":"ITEM-1","issued":{"date-parts":[["2002"]]},"page":"161-167","title":"Time to Ignition , Heat Release Rate and Fire Endurance Time of Wood in Cone Calorimeter Test","type":"article-journal","volume":"25"},"uris":["http://www.mendeley.com/documents/?uuid=83e312d0-ae51-44a9-b196-c5718fdd7d0b","http://www.mendeley.com/documents/?uuid=53c16ec0-f913-4dbb-8fc8-808b7f279c0b","http://www.mendeley.com/documents/?uuid=7784e57a-7de1-487e-bd98-6222f6ebe62a"]}],"mendeley":{"formattedCitation":"[26]","plainTextFormattedCitation":"[26]","previouslyFormattedCitation":"[45]"},"properties":{"noteIndex":0},"schema":"https://github.com/citation-style-language/schema/raw/master/csl-citation.json"}</w:instrText>
            </w:r>
            <w:r>
              <w:rPr>
                <w:sz w:val="20"/>
                <w:lang w:eastAsia="zh-CN"/>
              </w:rPr>
              <w:fldChar w:fldCharType="separate"/>
            </w:r>
            <w:r w:rsidR="006A1A14" w:rsidRPr="006A1A14">
              <w:rPr>
                <w:noProof/>
                <w:sz w:val="20"/>
                <w:lang w:eastAsia="zh-CN"/>
              </w:rPr>
              <w:t>[26]</w:t>
            </w:r>
            <w:r>
              <w:rPr>
                <w:sz w:val="20"/>
                <w:lang w:eastAsia="zh-CN"/>
              </w:rPr>
              <w:fldChar w:fldCharType="end"/>
            </w:r>
          </w:p>
        </w:tc>
        <w:tc>
          <w:tcPr>
            <w:tcW w:w="1927" w:type="dxa"/>
            <w:vAlign w:val="center"/>
          </w:tcPr>
          <w:p w14:paraId="659B532C" w14:textId="77777777" w:rsidR="00D557E3" w:rsidRDefault="00D557E3" w:rsidP="00826CB8">
            <w:pPr>
              <w:snapToGrid w:val="0"/>
              <w:spacing w:beforeLines="50" w:before="120" w:line="480" w:lineRule="auto"/>
              <w:ind w:right="28"/>
              <w:rPr>
                <w:sz w:val="20"/>
                <w:lang w:val="en-GB" w:eastAsia="zh-CN"/>
              </w:rPr>
            </w:pPr>
            <w:proofErr w:type="spellStart"/>
            <w:r>
              <w:rPr>
                <w:rFonts w:hint="eastAsia"/>
                <w:sz w:val="20"/>
                <w:lang w:val="en-GB" w:eastAsia="zh-CN"/>
              </w:rPr>
              <w:lastRenderedPageBreak/>
              <w:t>Poulownia</w:t>
            </w:r>
            <w:proofErr w:type="spellEnd"/>
          </w:p>
        </w:tc>
        <w:tc>
          <w:tcPr>
            <w:tcW w:w="1371" w:type="dxa"/>
            <w:vAlign w:val="center"/>
          </w:tcPr>
          <w:p w14:paraId="12D2A065"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30/40/50</w:t>
            </w:r>
          </w:p>
        </w:tc>
        <w:tc>
          <w:tcPr>
            <w:tcW w:w="950" w:type="dxa"/>
            <w:vAlign w:val="center"/>
          </w:tcPr>
          <w:p w14:paraId="355FFB43"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3</w:t>
            </w:r>
          </w:p>
        </w:tc>
        <w:tc>
          <w:tcPr>
            <w:tcW w:w="2343" w:type="dxa"/>
            <w:vAlign w:val="center"/>
          </w:tcPr>
          <w:p w14:paraId="3E371880"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266</w:t>
            </w:r>
          </w:p>
        </w:tc>
        <w:tc>
          <w:tcPr>
            <w:tcW w:w="1635" w:type="dxa"/>
            <w:vAlign w:val="center"/>
          </w:tcPr>
          <w:p w14:paraId="62B3B433"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30/14/10</w:t>
            </w:r>
          </w:p>
        </w:tc>
      </w:tr>
      <w:tr w:rsidR="00D557E3" w:rsidRPr="00155D6E" w14:paraId="351766A1" w14:textId="77777777" w:rsidTr="00826CB8">
        <w:trPr>
          <w:jc w:val="center"/>
        </w:trPr>
        <w:tc>
          <w:tcPr>
            <w:tcW w:w="1242" w:type="dxa"/>
            <w:vAlign w:val="center"/>
          </w:tcPr>
          <w:p w14:paraId="7550C9E4" w14:textId="01D6F684" w:rsidR="00D557E3" w:rsidRDefault="00D557E3" w:rsidP="00826CB8">
            <w:pPr>
              <w:snapToGrid w:val="0"/>
              <w:spacing w:beforeLines="50" w:before="120" w:line="480" w:lineRule="auto"/>
              <w:ind w:right="28"/>
              <w:rPr>
                <w:sz w:val="20"/>
                <w:lang w:eastAsia="zh-CN"/>
              </w:rPr>
            </w:pPr>
            <w:r>
              <w:rPr>
                <w:rFonts w:hint="eastAsia"/>
                <w:sz w:val="20"/>
                <w:lang w:eastAsia="zh-CN"/>
              </w:rPr>
              <w:t xml:space="preserve">Harada (2001) </w:t>
            </w:r>
            <w:r>
              <w:rPr>
                <w:sz w:val="20"/>
                <w:lang w:eastAsia="zh-CN"/>
              </w:rPr>
              <w:fldChar w:fldCharType="begin" w:fldLock="1"/>
            </w:r>
            <w:r w:rsidR="006A1A14">
              <w:rPr>
                <w:sz w:val="20"/>
                <w:lang w:eastAsia="zh-CN"/>
              </w:rPr>
              <w:instrText>ADDIN CSL_CITATION {"citationItems":[{"id":"ITEM-1","itemData":{"DOI":"10.1002/fam.766","author":[{"dropping-particle":"","family":"Harada","given":"Toshiro","non-dropping-particle":"","parse-names":false,"suffix":""}],"container-title":"Fire and Materials","id":"ITEM-1","issued":{"date-parts":[["2002"]]},"page":"161-167","title":"Time to Ignition , Heat Release Rate and Fire Endurance Time of Wood in Cone Calorimeter Test","type":"article-journal","volume":"25"},"uris":["http://www.mendeley.com/documents/?uuid=83e312d0-ae51-44a9-b196-c5718fdd7d0b","http://www.mendeley.com/documents/?uuid=53c16ec0-f913-4dbb-8fc8-808b7f279c0b","http://www.mendeley.com/documents/?uuid=7784e57a-7de1-487e-bd98-6222f6ebe62a"]}],"mendeley":{"formattedCitation":"[26]","plainTextFormattedCitation":"[26]","previouslyFormattedCitation":"[45]"},"properties":{"noteIndex":0},"schema":"https://github.com/citation-style-language/schema/raw/master/csl-citation.json"}</w:instrText>
            </w:r>
            <w:r>
              <w:rPr>
                <w:sz w:val="20"/>
                <w:lang w:eastAsia="zh-CN"/>
              </w:rPr>
              <w:fldChar w:fldCharType="separate"/>
            </w:r>
            <w:r w:rsidR="006A1A14" w:rsidRPr="006A1A14">
              <w:rPr>
                <w:noProof/>
                <w:sz w:val="20"/>
                <w:lang w:eastAsia="zh-CN"/>
              </w:rPr>
              <w:t>[26]</w:t>
            </w:r>
            <w:r>
              <w:rPr>
                <w:sz w:val="20"/>
                <w:lang w:eastAsia="zh-CN"/>
              </w:rPr>
              <w:fldChar w:fldCharType="end"/>
            </w:r>
          </w:p>
        </w:tc>
        <w:tc>
          <w:tcPr>
            <w:tcW w:w="1927" w:type="dxa"/>
            <w:vAlign w:val="center"/>
          </w:tcPr>
          <w:p w14:paraId="375E3474"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Zelkova</w:t>
            </w:r>
          </w:p>
        </w:tc>
        <w:tc>
          <w:tcPr>
            <w:tcW w:w="1371" w:type="dxa"/>
            <w:vAlign w:val="center"/>
          </w:tcPr>
          <w:p w14:paraId="340F0D19"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30/40/50</w:t>
            </w:r>
          </w:p>
        </w:tc>
        <w:tc>
          <w:tcPr>
            <w:tcW w:w="950" w:type="dxa"/>
            <w:vAlign w:val="center"/>
          </w:tcPr>
          <w:p w14:paraId="40765272"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3</w:t>
            </w:r>
          </w:p>
        </w:tc>
        <w:tc>
          <w:tcPr>
            <w:tcW w:w="2343" w:type="dxa"/>
            <w:vAlign w:val="center"/>
          </w:tcPr>
          <w:p w14:paraId="1645BB81"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703</w:t>
            </w:r>
          </w:p>
        </w:tc>
        <w:tc>
          <w:tcPr>
            <w:tcW w:w="1635" w:type="dxa"/>
            <w:vAlign w:val="center"/>
          </w:tcPr>
          <w:p w14:paraId="0C370069"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92/36/22</w:t>
            </w:r>
          </w:p>
        </w:tc>
      </w:tr>
      <w:tr w:rsidR="00D557E3" w:rsidRPr="00155D6E" w14:paraId="077B176C" w14:textId="77777777" w:rsidTr="00826CB8">
        <w:trPr>
          <w:jc w:val="center"/>
        </w:trPr>
        <w:tc>
          <w:tcPr>
            <w:tcW w:w="1242" w:type="dxa"/>
            <w:vAlign w:val="center"/>
          </w:tcPr>
          <w:p w14:paraId="5DC907F3" w14:textId="5C5A5C31" w:rsidR="00D557E3" w:rsidRDefault="00D557E3" w:rsidP="00826CB8">
            <w:pPr>
              <w:snapToGrid w:val="0"/>
              <w:spacing w:beforeLines="50" w:before="120" w:line="480" w:lineRule="auto"/>
              <w:ind w:right="28"/>
              <w:rPr>
                <w:sz w:val="20"/>
                <w:lang w:eastAsia="zh-CN"/>
              </w:rPr>
            </w:pPr>
            <w:r>
              <w:rPr>
                <w:rFonts w:hint="eastAsia"/>
                <w:sz w:val="20"/>
                <w:lang w:eastAsia="zh-CN"/>
              </w:rPr>
              <w:t xml:space="preserve">Spearpoint and Quintiere </w:t>
            </w:r>
            <w:r>
              <w:rPr>
                <w:sz w:val="20"/>
                <w:lang w:eastAsia="zh-CN"/>
              </w:rPr>
              <w:fldChar w:fldCharType="begin" w:fldLock="1"/>
            </w:r>
            <w:r w:rsidR="006A1A14">
              <w:rPr>
                <w:sz w:val="20"/>
                <w:lang w:eastAsia="zh-CN"/>
              </w:rPr>
              <w:instrText>ADDIN CSL_CITATION {"citationItems":[{"id":"ITEM-1","itemData":{"DOI":"doi.org/10.1016/S0379-7112(00)00055-2","author":[{"dropping-particle":"","family":"Spearpoint","given":"M J","non-dropping-particle":"","parse-names":false,"suffix":""},{"dropping-particle":"","family":"Quintiere","given":"J G","non-dropping-particle":"","parse-names":false,"suffix":""}],"container-title":"Fire Safety Journal","id":"ITEM-1","issued":{"date-parts":[["2001"]]},"page":"391-415","title":"Predicting the piloted ignition of wood in the cone calorimeter using an integral model — effect of species, grain orientation and heat flux","type":"article-journal","volume":"36"},"uris":["http://www.mendeley.com/documents/?uuid=f1fe9a5f-18a0-461c-af04-f71ffc38b901"]}],"mendeley":{"formattedCitation":"[27]","plainTextFormattedCitation":"[27]","previouslyFormattedCitation":"[6]"},"properties":{"noteIndex":0},"schema":"https://github.com/citation-style-language/schema/raw/master/csl-citation.json"}</w:instrText>
            </w:r>
            <w:r>
              <w:rPr>
                <w:sz w:val="20"/>
                <w:lang w:eastAsia="zh-CN"/>
              </w:rPr>
              <w:fldChar w:fldCharType="separate"/>
            </w:r>
            <w:r w:rsidR="006A1A14" w:rsidRPr="006A1A14">
              <w:rPr>
                <w:noProof/>
                <w:sz w:val="20"/>
                <w:lang w:eastAsia="zh-CN"/>
              </w:rPr>
              <w:t>[27]</w:t>
            </w:r>
            <w:r>
              <w:rPr>
                <w:sz w:val="20"/>
                <w:lang w:eastAsia="zh-CN"/>
              </w:rPr>
              <w:fldChar w:fldCharType="end"/>
            </w:r>
          </w:p>
        </w:tc>
        <w:tc>
          <w:tcPr>
            <w:tcW w:w="1927" w:type="dxa"/>
            <w:vAlign w:val="center"/>
          </w:tcPr>
          <w:p w14:paraId="0442F0D7"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Redwood</w:t>
            </w:r>
          </w:p>
        </w:tc>
        <w:tc>
          <w:tcPr>
            <w:tcW w:w="1371" w:type="dxa"/>
            <w:vAlign w:val="center"/>
          </w:tcPr>
          <w:p w14:paraId="171E0960"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13</w:t>
            </w:r>
          </w:p>
        </w:tc>
        <w:tc>
          <w:tcPr>
            <w:tcW w:w="950" w:type="dxa"/>
            <w:vAlign w:val="center"/>
          </w:tcPr>
          <w:p w14:paraId="765A7439"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8.6</w:t>
            </w:r>
          </w:p>
        </w:tc>
        <w:tc>
          <w:tcPr>
            <w:tcW w:w="2343" w:type="dxa"/>
            <w:vAlign w:val="center"/>
          </w:tcPr>
          <w:p w14:paraId="0729B26F"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354</w:t>
            </w:r>
          </w:p>
        </w:tc>
        <w:tc>
          <w:tcPr>
            <w:tcW w:w="1635" w:type="dxa"/>
            <w:vAlign w:val="center"/>
          </w:tcPr>
          <w:p w14:paraId="65AF0C63"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2170</w:t>
            </w:r>
          </w:p>
        </w:tc>
      </w:tr>
      <w:tr w:rsidR="00D557E3" w:rsidRPr="00155D6E" w14:paraId="23BA1E0A" w14:textId="77777777" w:rsidTr="00826CB8">
        <w:trPr>
          <w:jc w:val="center"/>
        </w:trPr>
        <w:tc>
          <w:tcPr>
            <w:tcW w:w="1242" w:type="dxa"/>
            <w:vAlign w:val="center"/>
          </w:tcPr>
          <w:p w14:paraId="183E3B77" w14:textId="68630A00" w:rsidR="00D557E3" w:rsidRDefault="00D557E3" w:rsidP="00826CB8">
            <w:pPr>
              <w:snapToGrid w:val="0"/>
              <w:spacing w:beforeLines="50" w:before="120" w:line="480" w:lineRule="auto"/>
              <w:ind w:right="28"/>
              <w:rPr>
                <w:sz w:val="20"/>
                <w:lang w:eastAsia="zh-CN"/>
              </w:rPr>
            </w:pPr>
            <w:r>
              <w:rPr>
                <w:rFonts w:hint="eastAsia"/>
                <w:sz w:val="20"/>
                <w:lang w:eastAsia="zh-CN"/>
              </w:rPr>
              <w:t xml:space="preserve">Spearpoint and Quintiere </w:t>
            </w:r>
            <w:r>
              <w:rPr>
                <w:sz w:val="20"/>
                <w:lang w:eastAsia="zh-CN"/>
              </w:rPr>
              <w:fldChar w:fldCharType="begin" w:fldLock="1"/>
            </w:r>
            <w:r w:rsidR="006A1A14">
              <w:rPr>
                <w:sz w:val="20"/>
                <w:lang w:eastAsia="zh-CN"/>
              </w:rPr>
              <w:instrText>ADDIN CSL_CITATION {"citationItems":[{"id":"ITEM-1","itemData":{"DOI":"doi.org/10.1016/S0379-7112(00)00055-2","author":[{"dropping-particle":"","family":"Spearpoint","given":"M J","non-dropping-particle":"","parse-names":false,"suffix":""},{"dropping-particle":"","family":"Quintiere","given":"J G","non-dropping-particle":"","parse-names":false,"suffix":""}],"container-title":"Fire Safety Journal","id":"ITEM-1","issued":{"date-parts":[["2001"]]},"page":"391-415","title":"Predicting the piloted ignition of wood in the cone calorimeter using an integral model — effect of species, grain orientation and heat flux","type":"article-journal","volume":"36"},"uris":["http://www.mendeley.com/documents/?uuid=f1fe9a5f-18a0-461c-af04-f71ffc38b901"]}],"mendeley":{"formattedCitation":"[27]","plainTextFormattedCitation":"[27]","previouslyFormattedCitation":"[6]"},"properties":{"noteIndex":0},"schema":"https://github.com/citation-style-language/schema/raw/master/csl-citation.json"}</w:instrText>
            </w:r>
            <w:r>
              <w:rPr>
                <w:sz w:val="20"/>
                <w:lang w:eastAsia="zh-CN"/>
              </w:rPr>
              <w:fldChar w:fldCharType="separate"/>
            </w:r>
            <w:r w:rsidR="006A1A14" w:rsidRPr="006A1A14">
              <w:rPr>
                <w:noProof/>
                <w:sz w:val="20"/>
                <w:lang w:eastAsia="zh-CN"/>
              </w:rPr>
              <w:t>[27]</w:t>
            </w:r>
            <w:r>
              <w:rPr>
                <w:sz w:val="20"/>
                <w:lang w:eastAsia="zh-CN"/>
              </w:rPr>
              <w:fldChar w:fldCharType="end"/>
            </w:r>
          </w:p>
        </w:tc>
        <w:tc>
          <w:tcPr>
            <w:tcW w:w="1927" w:type="dxa"/>
            <w:vAlign w:val="center"/>
          </w:tcPr>
          <w:p w14:paraId="267C04AC" w14:textId="77777777" w:rsidR="00D557E3" w:rsidRDefault="00D557E3" w:rsidP="00826CB8">
            <w:pPr>
              <w:snapToGrid w:val="0"/>
              <w:spacing w:beforeLines="50" w:before="120" w:line="480" w:lineRule="auto"/>
              <w:ind w:right="28"/>
              <w:rPr>
                <w:sz w:val="20"/>
                <w:lang w:val="en-GB" w:eastAsia="zh-CN"/>
              </w:rPr>
            </w:pPr>
            <w:r>
              <w:rPr>
                <w:sz w:val="20"/>
                <w:lang w:val="en-GB" w:eastAsia="zh-CN"/>
              </w:rPr>
              <w:t>D</w:t>
            </w:r>
            <w:r>
              <w:rPr>
                <w:rFonts w:hint="eastAsia"/>
                <w:sz w:val="20"/>
                <w:lang w:val="en-GB" w:eastAsia="zh-CN"/>
              </w:rPr>
              <w:t>ouglas fir</w:t>
            </w:r>
          </w:p>
        </w:tc>
        <w:tc>
          <w:tcPr>
            <w:tcW w:w="1371" w:type="dxa"/>
            <w:vAlign w:val="center"/>
          </w:tcPr>
          <w:p w14:paraId="7ECBF60D"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12</w:t>
            </w:r>
          </w:p>
        </w:tc>
        <w:tc>
          <w:tcPr>
            <w:tcW w:w="950" w:type="dxa"/>
            <w:vAlign w:val="center"/>
          </w:tcPr>
          <w:p w14:paraId="71AB3A12"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7.4</w:t>
            </w:r>
          </w:p>
        </w:tc>
        <w:tc>
          <w:tcPr>
            <w:tcW w:w="2343" w:type="dxa"/>
            <w:vAlign w:val="center"/>
          </w:tcPr>
          <w:p w14:paraId="50DFAD5D"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502</w:t>
            </w:r>
          </w:p>
        </w:tc>
        <w:tc>
          <w:tcPr>
            <w:tcW w:w="1635" w:type="dxa"/>
            <w:vAlign w:val="center"/>
          </w:tcPr>
          <w:p w14:paraId="300AA71F"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3633</w:t>
            </w:r>
          </w:p>
        </w:tc>
      </w:tr>
      <w:tr w:rsidR="00D557E3" w:rsidRPr="00155D6E" w14:paraId="3D57E6EB" w14:textId="77777777" w:rsidTr="00826CB8">
        <w:trPr>
          <w:jc w:val="center"/>
        </w:trPr>
        <w:tc>
          <w:tcPr>
            <w:tcW w:w="1242" w:type="dxa"/>
            <w:vAlign w:val="center"/>
          </w:tcPr>
          <w:p w14:paraId="361F2DF1" w14:textId="53C3A4C9" w:rsidR="00D557E3" w:rsidRDefault="00D557E3" w:rsidP="00826CB8">
            <w:pPr>
              <w:snapToGrid w:val="0"/>
              <w:spacing w:beforeLines="50" w:before="120" w:line="480" w:lineRule="auto"/>
              <w:ind w:right="28"/>
              <w:rPr>
                <w:sz w:val="20"/>
                <w:lang w:eastAsia="zh-CN"/>
              </w:rPr>
            </w:pPr>
            <w:r>
              <w:rPr>
                <w:rFonts w:hint="eastAsia"/>
                <w:sz w:val="20"/>
                <w:lang w:eastAsia="zh-CN"/>
              </w:rPr>
              <w:t xml:space="preserve">Spearpoint and Quintiere </w:t>
            </w:r>
            <w:r>
              <w:rPr>
                <w:sz w:val="20"/>
                <w:lang w:eastAsia="zh-CN"/>
              </w:rPr>
              <w:fldChar w:fldCharType="begin" w:fldLock="1"/>
            </w:r>
            <w:r w:rsidR="006A1A14">
              <w:rPr>
                <w:sz w:val="20"/>
                <w:lang w:eastAsia="zh-CN"/>
              </w:rPr>
              <w:instrText>ADDIN CSL_CITATION {"citationItems":[{"id":"ITEM-1","itemData":{"DOI":"doi.org/10.1016/S0379-7112(00)00055-2","author":[{"dropping-particle":"","family":"Spearpoint","given":"M J","non-dropping-particle":"","parse-names":false,"suffix":""},{"dropping-particle":"","family":"Quintiere","given":"J G","non-dropping-particle":"","parse-names":false,"suffix":""}],"container-title":"Fire Safety Journal","id":"ITEM-1","issued":{"date-parts":[["2001"]]},"page":"391-415","title":"Predicting the piloted ignition of wood in the cone calorimeter using an integral model — effect of species, grain orientation and heat flux","type":"article-journal","volume":"36"},"uris":["http://www.mendeley.com/documents/?uuid=f1fe9a5f-18a0-461c-af04-f71ffc38b901"]}],"mendeley":{"formattedCitation":"[27]","plainTextFormattedCitation":"[27]","previouslyFormattedCitation":"[6]"},"properties":{"noteIndex":0},"schema":"https://github.com/citation-style-language/schema/raw/master/csl-citation.json"}</w:instrText>
            </w:r>
            <w:r>
              <w:rPr>
                <w:sz w:val="20"/>
                <w:lang w:eastAsia="zh-CN"/>
              </w:rPr>
              <w:fldChar w:fldCharType="separate"/>
            </w:r>
            <w:r w:rsidR="006A1A14" w:rsidRPr="006A1A14">
              <w:rPr>
                <w:noProof/>
                <w:sz w:val="20"/>
                <w:lang w:eastAsia="zh-CN"/>
              </w:rPr>
              <w:t>[27]</w:t>
            </w:r>
            <w:r>
              <w:rPr>
                <w:sz w:val="20"/>
                <w:lang w:eastAsia="zh-CN"/>
              </w:rPr>
              <w:fldChar w:fldCharType="end"/>
            </w:r>
          </w:p>
        </w:tc>
        <w:tc>
          <w:tcPr>
            <w:tcW w:w="1927" w:type="dxa"/>
            <w:vAlign w:val="center"/>
          </w:tcPr>
          <w:p w14:paraId="653234E4"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Maple</w:t>
            </w:r>
          </w:p>
        </w:tc>
        <w:tc>
          <w:tcPr>
            <w:tcW w:w="1371" w:type="dxa"/>
            <w:vAlign w:val="center"/>
          </w:tcPr>
          <w:p w14:paraId="5223ED76"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12</w:t>
            </w:r>
          </w:p>
        </w:tc>
        <w:tc>
          <w:tcPr>
            <w:tcW w:w="950" w:type="dxa"/>
            <w:vAlign w:val="center"/>
          </w:tcPr>
          <w:p w14:paraId="4759B184"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4.8</w:t>
            </w:r>
          </w:p>
        </w:tc>
        <w:tc>
          <w:tcPr>
            <w:tcW w:w="2343" w:type="dxa"/>
            <w:vAlign w:val="center"/>
          </w:tcPr>
          <w:p w14:paraId="56FBF323"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741</w:t>
            </w:r>
          </w:p>
        </w:tc>
        <w:tc>
          <w:tcPr>
            <w:tcW w:w="1635" w:type="dxa"/>
            <w:vAlign w:val="center"/>
          </w:tcPr>
          <w:p w14:paraId="1AAB6BEB"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3610</w:t>
            </w:r>
          </w:p>
        </w:tc>
      </w:tr>
      <w:tr w:rsidR="00D557E3" w:rsidRPr="00155D6E" w14:paraId="7150A0BD" w14:textId="77777777" w:rsidTr="00826CB8">
        <w:trPr>
          <w:jc w:val="center"/>
        </w:trPr>
        <w:tc>
          <w:tcPr>
            <w:tcW w:w="1242" w:type="dxa"/>
            <w:vAlign w:val="center"/>
          </w:tcPr>
          <w:p w14:paraId="7042A953" w14:textId="5AB77B85" w:rsidR="00D557E3" w:rsidRDefault="00D557E3" w:rsidP="00826CB8">
            <w:pPr>
              <w:snapToGrid w:val="0"/>
              <w:spacing w:beforeLines="50" w:before="120" w:line="480" w:lineRule="auto"/>
              <w:ind w:right="28"/>
              <w:rPr>
                <w:sz w:val="20"/>
                <w:lang w:eastAsia="zh-CN"/>
              </w:rPr>
            </w:pPr>
            <w:r>
              <w:rPr>
                <w:rFonts w:hint="eastAsia"/>
                <w:sz w:val="20"/>
                <w:lang w:eastAsia="zh-CN"/>
              </w:rPr>
              <w:t xml:space="preserve">Spearpoint and Quintiere </w:t>
            </w:r>
            <w:r>
              <w:rPr>
                <w:sz w:val="20"/>
                <w:lang w:eastAsia="zh-CN"/>
              </w:rPr>
              <w:fldChar w:fldCharType="begin" w:fldLock="1"/>
            </w:r>
            <w:r w:rsidR="006A1A14">
              <w:rPr>
                <w:sz w:val="20"/>
                <w:lang w:eastAsia="zh-CN"/>
              </w:rPr>
              <w:instrText>ADDIN CSL_CITATION {"citationItems":[{"id":"ITEM-1","itemData":{"DOI":"doi.org/10.1016/S0379-7112(00)00055-2","author":[{"dropping-particle":"","family":"Spearpoint","given":"M J","non-dropping-particle":"","parse-names":false,"suffix":""},{"dropping-particle":"","family":"Quintiere","given":"J G","non-dropping-particle":"","parse-names":false,"suffix":""}],"container-title":"Fire Safety Journal","id":"ITEM-1","issued":{"date-parts":[["2001"]]},"page":"391-415","title":"Predicting the piloted ignition of wood in the cone calorimeter using an integral model — effect of species, grain orientation and heat flux","type":"article-journal","volume":"36"},"uris":["http://www.mendeley.com/documents/?uuid=f1fe9a5f-18a0-461c-af04-f71ffc38b901"]}],"mendeley":{"formattedCitation":"[27]","plainTextFormattedCitation":"[27]","previouslyFormattedCitation":"[6]"},"properties":{"noteIndex":0},"schema":"https://github.com/citation-style-language/schema/raw/master/csl-citation.json"}</w:instrText>
            </w:r>
            <w:r>
              <w:rPr>
                <w:sz w:val="20"/>
                <w:lang w:eastAsia="zh-CN"/>
              </w:rPr>
              <w:fldChar w:fldCharType="separate"/>
            </w:r>
            <w:r w:rsidR="006A1A14" w:rsidRPr="006A1A14">
              <w:rPr>
                <w:noProof/>
                <w:sz w:val="20"/>
                <w:lang w:eastAsia="zh-CN"/>
              </w:rPr>
              <w:t>[27]</w:t>
            </w:r>
            <w:r>
              <w:rPr>
                <w:sz w:val="20"/>
                <w:lang w:eastAsia="zh-CN"/>
              </w:rPr>
              <w:fldChar w:fldCharType="end"/>
            </w:r>
          </w:p>
        </w:tc>
        <w:tc>
          <w:tcPr>
            <w:tcW w:w="1927" w:type="dxa"/>
            <w:vAlign w:val="center"/>
          </w:tcPr>
          <w:p w14:paraId="4866BAD4"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Redwood</w:t>
            </w:r>
          </w:p>
        </w:tc>
        <w:tc>
          <w:tcPr>
            <w:tcW w:w="1371" w:type="dxa"/>
            <w:vAlign w:val="center"/>
          </w:tcPr>
          <w:p w14:paraId="281A4397"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9</w:t>
            </w:r>
          </w:p>
        </w:tc>
        <w:tc>
          <w:tcPr>
            <w:tcW w:w="950" w:type="dxa"/>
            <w:vAlign w:val="center"/>
          </w:tcPr>
          <w:p w14:paraId="129FB2E7"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7.4</w:t>
            </w:r>
          </w:p>
        </w:tc>
        <w:tc>
          <w:tcPr>
            <w:tcW w:w="2343" w:type="dxa"/>
            <w:vAlign w:val="center"/>
          </w:tcPr>
          <w:p w14:paraId="139F007E"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328</w:t>
            </w:r>
          </w:p>
        </w:tc>
        <w:tc>
          <w:tcPr>
            <w:tcW w:w="1635" w:type="dxa"/>
            <w:vAlign w:val="center"/>
          </w:tcPr>
          <w:p w14:paraId="55E29A91"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1416</w:t>
            </w:r>
          </w:p>
        </w:tc>
      </w:tr>
      <w:tr w:rsidR="00D557E3" w:rsidRPr="00155D6E" w14:paraId="0B14FDBB" w14:textId="77777777" w:rsidTr="00826CB8">
        <w:trPr>
          <w:jc w:val="center"/>
        </w:trPr>
        <w:tc>
          <w:tcPr>
            <w:tcW w:w="1242" w:type="dxa"/>
            <w:vAlign w:val="center"/>
          </w:tcPr>
          <w:p w14:paraId="3D335A5D" w14:textId="0416F21B" w:rsidR="00D557E3" w:rsidRDefault="00D557E3" w:rsidP="00826CB8">
            <w:pPr>
              <w:snapToGrid w:val="0"/>
              <w:spacing w:beforeLines="50" w:before="120" w:line="480" w:lineRule="auto"/>
              <w:ind w:right="28"/>
              <w:rPr>
                <w:sz w:val="20"/>
                <w:lang w:eastAsia="zh-CN"/>
              </w:rPr>
            </w:pPr>
            <w:r>
              <w:rPr>
                <w:rFonts w:hint="eastAsia"/>
                <w:sz w:val="20"/>
                <w:lang w:eastAsia="zh-CN"/>
              </w:rPr>
              <w:t xml:space="preserve">Spearpoint and Quintiere </w:t>
            </w:r>
            <w:r>
              <w:rPr>
                <w:sz w:val="20"/>
                <w:lang w:eastAsia="zh-CN"/>
              </w:rPr>
              <w:fldChar w:fldCharType="begin" w:fldLock="1"/>
            </w:r>
            <w:r w:rsidR="006A1A14">
              <w:rPr>
                <w:sz w:val="20"/>
                <w:lang w:eastAsia="zh-CN"/>
              </w:rPr>
              <w:instrText>ADDIN CSL_CITATION {"citationItems":[{"id":"ITEM-1","itemData":{"DOI":"doi.org/10.1016/S0379-7112(00)00055-2","author":[{"dropping-particle":"","family":"Spearpoint","given":"M J","non-dropping-particle":"","parse-names":false,"suffix":""},{"dropping-particle":"","family":"Quintiere","given":"J G","non-dropping-particle":"","parse-names":false,"suffix":""}],"container-title":"Fire Safety Journal","id":"ITEM-1","issued":{"date-parts":[["2001"]]},"page":"391-415","title":"Predicting the piloted ignition of wood in the cone calorimeter using an integral model — effect of species, grain orientation and heat flux","type":"article-journal","volume":"36"},"uris":["http://www.mendeley.com/documents/?uuid=f1fe9a5f-18a0-461c-af04-f71ffc38b901"]}],"mendeley":{"formattedCitation":"[27]","plainTextFormattedCitation":"[27]","previouslyFormattedCitation":"[6]"},"properties":{"noteIndex":0},"schema":"https://github.com/citation-style-language/schema/raw/master/csl-citation.json"}</w:instrText>
            </w:r>
            <w:r>
              <w:rPr>
                <w:sz w:val="20"/>
                <w:lang w:eastAsia="zh-CN"/>
              </w:rPr>
              <w:fldChar w:fldCharType="separate"/>
            </w:r>
            <w:r w:rsidR="006A1A14" w:rsidRPr="006A1A14">
              <w:rPr>
                <w:noProof/>
                <w:sz w:val="20"/>
                <w:lang w:eastAsia="zh-CN"/>
              </w:rPr>
              <w:t>[27]</w:t>
            </w:r>
            <w:r>
              <w:rPr>
                <w:sz w:val="20"/>
                <w:lang w:eastAsia="zh-CN"/>
              </w:rPr>
              <w:fldChar w:fldCharType="end"/>
            </w:r>
          </w:p>
        </w:tc>
        <w:tc>
          <w:tcPr>
            <w:tcW w:w="1927" w:type="dxa"/>
            <w:vAlign w:val="center"/>
          </w:tcPr>
          <w:p w14:paraId="761E643E" w14:textId="77777777" w:rsidR="00D557E3" w:rsidRDefault="00D557E3" w:rsidP="00826CB8">
            <w:pPr>
              <w:snapToGrid w:val="0"/>
              <w:spacing w:beforeLines="50" w:before="120" w:line="480" w:lineRule="auto"/>
              <w:ind w:right="28"/>
              <w:rPr>
                <w:sz w:val="20"/>
                <w:lang w:val="en-GB" w:eastAsia="zh-CN"/>
              </w:rPr>
            </w:pPr>
            <w:r>
              <w:rPr>
                <w:sz w:val="20"/>
                <w:lang w:val="en-GB" w:eastAsia="zh-CN"/>
              </w:rPr>
              <w:t>D</w:t>
            </w:r>
            <w:r>
              <w:rPr>
                <w:rFonts w:hint="eastAsia"/>
                <w:sz w:val="20"/>
                <w:lang w:val="en-GB" w:eastAsia="zh-CN"/>
              </w:rPr>
              <w:t>ouglas fir</w:t>
            </w:r>
          </w:p>
        </w:tc>
        <w:tc>
          <w:tcPr>
            <w:tcW w:w="1371" w:type="dxa"/>
            <w:vAlign w:val="center"/>
          </w:tcPr>
          <w:p w14:paraId="06F8A326"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9</w:t>
            </w:r>
          </w:p>
        </w:tc>
        <w:tc>
          <w:tcPr>
            <w:tcW w:w="950" w:type="dxa"/>
            <w:vAlign w:val="center"/>
          </w:tcPr>
          <w:p w14:paraId="0B97AFC4"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8.5</w:t>
            </w:r>
          </w:p>
        </w:tc>
        <w:tc>
          <w:tcPr>
            <w:tcW w:w="2343" w:type="dxa"/>
            <w:vAlign w:val="center"/>
          </w:tcPr>
          <w:p w14:paraId="553EA634"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455</w:t>
            </w:r>
          </w:p>
        </w:tc>
        <w:tc>
          <w:tcPr>
            <w:tcW w:w="1635" w:type="dxa"/>
            <w:vAlign w:val="center"/>
          </w:tcPr>
          <w:p w14:paraId="5F7AF4FA"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2395</w:t>
            </w:r>
          </w:p>
        </w:tc>
      </w:tr>
      <w:tr w:rsidR="00D557E3" w:rsidRPr="00155D6E" w14:paraId="1D5D723F" w14:textId="77777777" w:rsidTr="00826CB8">
        <w:trPr>
          <w:jc w:val="center"/>
        </w:trPr>
        <w:tc>
          <w:tcPr>
            <w:tcW w:w="1242" w:type="dxa"/>
            <w:vAlign w:val="center"/>
          </w:tcPr>
          <w:p w14:paraId="3F56996B" w14:textId="59F570BF" w:rsidR="00D557E3" w:rsidRDefault="00D557E3" w:rsidP="00826CB8">
            <w:pPr>
              <w:snapToGrid w:val="0"/>
              <w:spacing w:beforeLines="50" w:before="120" w:line="480" w:lineRule="auto"/>
              <w:ind w:right="28"/>
              <w:rPr>
                <w:sz w:val="20"/>
                <w:lang w:eastAsia="zh-CN"/>
              </w:rPr>
            </w:pPr>
            <w:r>
              <w:rPr>
                <w:rFonts w:hint="eastAsia"/>
                <w:sz w:val="20"/>
                <w:lang w:eastAsia="zh-CN"/>
              </w:rPr>
              <w:t>Spearpoint and Quintiere</w:t>
            </w:r>
            <w:r>
              <w:rPr>
                <w:sz w:val="20"/>
                <w:lang w:eastAsia="zh-CN"/>
              </w:rPr>
              <w:t xml:space="preserve"> </w:t>
            </w:r>
            <w:r>
              <w:rPr>
                <w:sz w:val="20"/>
                <w:lang w:eastAsia="zh-CN"/>
              </w:rPr>
              <w:lastRenderedPageBreak/>
              <w:fldChar w:fldCharType="begin" w:fldLock="1"/>
            </w:r>
            <w:r w:rsidR="006A1A14">
              <w:rPr>
                <w:sz w:val="20"/>
                <w:lang w:eastAsia="zh-CN"/>
              </w:rPr>
              <w:instrText>ADDIN CSL_CITATION {"citationItems":[{"id":"ITEM-1","itemData":{"DOI":"doi.org/10.1016/S0379-7112(00)00055-2","author":[{"dropping-particle":"","family":"Spearpoint","given":"M J","non-dropping-particle":"","parse-names":false,"suffix":""},{"dropping-particle":"","family":"Quintiere","given":"J G","non-dropping-particle":"","parse-names":false,"suffix":""}],"container-title":"Fire Safety Journal","id":"ITEM-1","issued":{"date-parts":[["2001"]]},"page":"391-415","title":"Predicting the piloted ignition of wood in the cone calorimeter using an integral model — effect of species, grain orientation and heat flux","type":"article-journal","volume":"36"},"uris":["http://www.mendeley.com/documents/?uuid=f1fe9a5f-18a0-461c-af04-f71ffc38b901"]}],"mendeley":{"formattedCitation":"[27]","plainTextFormattedCitation":"[27]","previouslyFormattedCitation":"[6]"},"properties":{"noteIndex":0},"schema":"https://github.com/citation-style-language/schema/raw/master/csl-citation.json"}</w:instrText>
            </w:r>
            <w:r>
              <w:rPr>
                <w:sz w:val="20"/>
                <w:lang w:eastAsia="zh-CN"/>
              </w:rPr>
              <w:fldChar w:fldCharType="separate"/>
            </w:r>
            <w:r w:rsidR="006A1A14" w:rsidRPr="006A1A14">
              <w:rPr>
                <w:noProof/>
                <w:sz w:val="20"/>
                <w:lang w:eastAsia="zh-CN"/>
              </w:rPr>
              <w:t>[27]</w:t>
            </w:r>
            <w:r>
              <w:rPr>
                <w:sz w:val="20"/>
                <w:lang w:eastAsia="zh-CN"/>
              </w:rPr>
              <w:fldChar w:fldCharType="end"/>
            </w:r>
          </w:p>
        </w:tc>
        <w:tc>
          <w:tcPr>
            <w:tcW w:w="1927" w:type="dxa"/>
            <w:vAlign w:val="center"/>
          </w:tcPr>
          <w:p w14:paraId="78487755"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lastRenderedPageBreak/>
              <w:t>Maple</w:t>
            </w:r>
          </w:p>
        </w:tc>
        <w:tc>
          <w:tcPr>
            <w:tcW w:w="1371" w:type="dxa"/>
            <w:vAlign w:val="center"/>
          </w:tcPr>
          <w:p w14:paraId="0F16F370"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8</w:t>
            </w:r>
          </w:p>
        </w:tc>
        <w:tc>
          <w:tcPr>
            <w:tcW w:w="950" w:type="dxa"/>
            <w:vAlign w:val="center"/>
          </w:tcPr>
          <w:p w14:paraId="7E85D764"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4.8</w:t>
            </w:r>
          </w:p>
        </w:tc>
        <w:tc>
          <w:tcPr>
            <w:tcW w:w="2343" w:type="dxa"/>
            <w:vAlign w:val="center"/>
          </w:tcPr>
          <w:p w14:paraId="6FA51102"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742</w:t>
            </w:r>
          </w:p>
        </w:tc>
        <w:tc>
          <w:tcPr>
            <w:tcW w:w="1635" w:type="dxa"/>
            <w:vAlign w:val="center"/>
          </w:tcPr>
          <w:p w14:paraId="2A8A7955"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2680</w:t>
            </w:r>
          </w:p>
        </w:tc>
      </w:tr>
      <w:tr w:rsidR="00D557E3" w:rsidRPr="00155D6E" w14:paraId="43E8D8A6" w14:textId="77777777" w:rsidTr="00826CB8">
        <w:trPr>
          <w:jc w:val="center"/>
        </w:trPr>
        <w:tc>
          <w:tcPr>
            <w:tcW w:w="1242" w:type="dxa"/>
            <w:vAlign w:val="center"/>
          </w:tcPr>
          <w:p w14:paraId="24F48F7D" w14:textId="0CE9DCD0" w:rsidR="00D557E3" w:rsidRDefault="00D557E3" w:rsidP="00826CB8">
            <w:pPr>
              <w:snapToGrid w:val="0"/>
              <w:spacing w:beforeLines="50" w:before="120" w:line="480" w:lineRule="auto"/>
              <w:ind w:right="28"/>
              <w:rPr>
                <w:sz w:val="20"/>
                <w:lang w:eastAsia="zh-CN"/>
              </w:rPr>
            </w:pPr>
            <w:r>
              <w:rPr>
                <w:rFonts w:hint="eastAsia"/>
                <w:sz w:val="20"/>
                <w:lang w:eastAsia="zh-CN"/>
              </w:rPr>
              <w:t xml:space="preserve">Shen et al. (2013) </w:t>
            </w:r>
            <w:r>
              <w:rPr>
                <w:sz w:val="20"/>
                <w:lang w:eastAsia="zh-CN"/>
              </w:rPr>
              <w:fldChar w:fldCharType="begin" w:fldLock="1"/>
            </w:r>
            <w:r w:rsidR="006A1A14">
              <w:rPr>
                <w:sz w:val="20"/>
                <w:lang w:eastAsia="zh-CN"/>
              </w:rPr>
              <w:instrText>ADDIN CSL_CITATION {"citationItems":[{"id":"ITEM-1","itemData":{"DOI":"10.1007/s11814-012-0098-9","ISBN":"0256-1115\\r1975-7220","ISSN":"02561115","abstract":"The pyrolysis and ignition of wood is of great importance to understand the initial stage of combustion, helping control the occurrence and spread of unwanted building and forestry fires. The development of a thermal-balanced model is introduced for examining the analytical relationship between the ignition time and external heat flux. The critical heat flux, one of the important fire-retardant characteristics of combustible solid, is determined from a correlation study between the ignition time and external heat flux. One of the thermal-balanced integral models, considering the effect of surface heat losses, average absorptivity and moisture content, is employed to give the prediction of surface temperature rise, ignition time and ignition temperature of the Aspen. The results show that the model readily and satisfactorily predicts ignition temperature and ignition time of wood with different moisture contents.","author":[{"dropping-particle":"","family":"Shen","given":"Dekui","non-dropping-particle":"","parse-names":false,"suffix":""},{"dropping-particle":"","family":"Xiao","given":"Rui","non-dropping-particle":"","parse-names":false,"suffix":""},{"dropping-particle":"","family":"Fang","given":"Mengxiang","non-dropping-particle":"","parse-names":false,"suffix":""},{"dropping-particle":"","family":"Chow","given":"Wanki","non-dropping-particle":"","parse-names":false,"suffix":""}],"container-title":"Korean Journal of Chemical Engineering","id":"ITEM-1","issue":"1","issued":{"date-parts":[["2013"]]},"page":"228-234","title":"Thermal-balanced integral model for pyrolysis and ignition of wood","type":"article-journal","volume":"30"},"uris":["http://www.mendeley.com/documents/?uuid=f76995c9-dfe1-487c-b39b-5646dd9bcee3","http://www.mendeley.com/documents/?uuid=e25fd0f7-cc5f-48d5-9a51-d7841c3a1f51","http://www.mendeley.com/documents/?uuid=b1dd37dd-6141-4e71-8c04-ba5b5e8883c0"]}],"mendeley":{"formattedCitation":"[28]","plainTextFormattedCitation":"[28]","previouslyFormattedCitation":"[14]"},"properties":{"noteIndex":0},"schema":"https://github.com/citation-style-language/schema/raw/master/csl-citation.json"}</w:instrText>
            </w:r>
            <w:r>
              <w:rPr>
                <w:sz w:val="20"/>
                <w:lang w:eastAsia="zh-CN"/>
              </w:rPr>
              <w:fldChar w:fldCharType="separate"/>
            </w:r>
            <w:r w:rsidR="006A1A14" w:rsidRPr="006A1A14">
              <w:rPr>
                <w:noProof/>
                <w:sz w:val="20"/>
                <w:lang w:eastAsia="zh-CN"/>
              </w:rPr>
              <w:t>[28]</w:t>
            </w:r>
            <w:r>
              <w:rPr>
                <w:sz w:val="20"/>
                <w:lang w:eastAsia="zh-CN"/>
              </w:rPr>
              <w:fldChar w:fldCharType="end"/>
            </w:r>
          </w:p>
        </w:tc>
        <w:tc>
          <w:tcPr>
            <w:tcW w:w="1927" w:type="dxa"/>
            <w:vAlign w:val="center"/>
          </w:tcPr>
          <w:p w14:paraId="55317584"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Aspen</w:t>
            </w:r>
          </w:p>
        </w:tc>
        <w:tc>
          <w:tcPr>
            <w:tcW w:w="1371" w:type="dxa"/>
            <w:vAlign w:val="center"/>
          </w:tcPr>
          <w:p w14:paraId="65763140"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40</w:t>
            </w:r>
          </w:p>
        </w:tc>
        <w:tc>
          <w:tcPr>
            <w:tcW w:w="950" w:type="dxa"/>
            <w:vAlign w:val="center"/>
          </w:tcPr>
          <w:p w14:paraId="024C5E76"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3.2/12.6/24.7/36</w:t>
            </w:r>
          </w:p>
        </w:tc>
        <w:tc>
          <w:tcPr>
            <w:tcW w:w="2343" w:type="dxa"/>
            <w:vAlign w:val="center"/>
          </w:tcPr>
          <w:p w14:paraId="46D09229"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525/573/634/692</w:t>
            </w:r>
          </w:p>
        </w:tc>
        <w:tc>
          <w:tcPr>
            <w:tcW w:w="1635" w:type="dxa"/>
            <w:vAlign w:val="center"/>
          </w:tcPr>
          <w:p w14:paraId="4A83F8B3"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45/97/109/156</w:t>
            </w:r>
          </w:p>
        </w:tc>
      </w:tr>
      <w:tr w:rsidR="00D557E3" w:rsidRPr="00155D6E" w14:paraId="25F32952" w14:textId="77777777" w:rsidTr="00826CB8">
        <w:trPr>
          <w:jc w:val="center"/>
        </w:trPr>
        <w:tc>
          <w:tcPr>
            <w:tcW w:w="1242" w:type="dxa"/>
            <w:vAlign w:val="center"/>
          </w:tcPr>
          <w:p w14:paraId="56CC282D" w14:textId="2E4EA3D9" w:rsidR="00D557E3" w:rsidRDefault="00D557E3" w:rsidP="00826CB8">
            <w:pPr>
              <w:snapToGrid w:val="0"/>
              <w:spacing w:beforeLines="50" w:before="120" w:line="480" w:lineRule="auto"/>
              <w:ind w:right="28"/>
              <w:rPr>
                <w:sz w:val="20"/>
                <w:lang w:eastAsia="zh-CN"/>
              </w:rPr>
            </w:pPr>
            <w:r>
              <w:rPr>
                <w:rFonts w:hint="eastAsia"/>
                <w:sz w:val="20"/>
                <w:lang w:eastAsia="zh-CN"/>
              </w:rPr>
              <w:t xml:space="preserve">Park and Lee (2008) </w:t>
            </w:r>
            <w:r>
              <w:rPr>
                <w:sz w:val="20"/>
                <w:lang w:eastAsia="zh-CN"/>
              </w:rPr>
              <w:fldChar w:fldCharType="begin" w:fldLock="1"/>
            </w:r>
            <w:r w:rsidR="006A1A14">
              <w:rPr>
                <w:sz w:val="20"/>
                <w:lang w:eastAsia="zh-CN"/>
              </w:rPr>
              <w:instrText>ADDIN CSL_CITATION {"citationItems":[{"id":"ITEM-1","itemData":{"abstract":"This study was performed to evaluate the burning characteristics of wood-based materials and the effect of surface treatment of fire retardant using cone calorimeter. Four types of wood-based materials, such as Plywood, Oriented Strand Board (OSB), Particle Board (PB) and Medium Density Fiberboard (MDF), were tested at a constant heat flux of 50 kW/m 2 to investigate the time to ignition, mass loss rate, heat release rate, effective heat of combustion, etc. In addition, each type of wood-based material was tested at the same heat flux after fire retardant treatment on the surface to evaluate the effect of this treatment on the burning characteristics. The surface treatment of fire retardant, by the amount of 110 g/m 2 , delayed the time to ignition almost twice. However, it was indicated that heat release rate, mass loss rate, and effective heat of combustion were not significantly affected by fire retardants treatment for all types of wood-based materials.","author":[{"dropping-particle":"","family":"Park","given":"Joo-Saeng","non-dropping-particle":"","parse-names":false,"suffix":""},{"dropping-particle":"","family":"Lee","given":"Jun-Jae","non-dropping-particle":"","parse-names":false,"suffix":""}],"container-title":"Mokchae Konghak","id":"ITEM-1","issue":"2","issued":{"date-parts":[["2008"]]},"page":"1-8","title":"Ignition and Heat Release Rate of Wood-based Materials in Cone Calorimeter Tests","type":"article-journal","volume":"36"},"uris":["http://www.mendeley.com/documents/?uuid=854eb0c3-bc74-4cfd-83de-ebf181ece906","http://www.mendeley.com/documents/?uuid=24fe6f34-ff62-4473-a80d-2da6be556216","http://www.mendeley.com/documents/?uuid=4fb4d21e-b0af-4266-81a9-93118c5eb966"]}],"mendeley":{"formattedCitation":"[29]","plainTextFormattedCitation":"[29]","previouslyFormattedCitation":"[76]"},"properties":{"noteIndex":0},"schema":"https://github.com/citation-style-language/schema/raw/master/csl-citation.json"}</w:instrText>
            </w:r>
            <w:r>
              <w:rPr>
                <w:sz w:val="20"/>
                <w:lang w:eastAsia="zh-CN"/>
              </w:rPr>
              <w:fldChar w:fldCharType="separate"/>
            </w:r>
            <w:r w:rsidR="006A1A14" w:rsidRPr="006A1A14">
              <w:rPr>
                <w:noProof/>
                <w:sz w:val="20"/>
                <w:lang w:eastAsia="zh-CN"/>
              </w:rPr>
              <w:t>[29]</w:t>
            </w:r>
            <w:r>
              <w:rPr>
                <w:sz w:val="20"/>
                <w:lang w:eastAsia="zh-CN"/>
              </w:rPr>
              <w:fldChar w:fldCharType="end"/>
            </w:r>
          </w:p>
        </w:tc>
        <w:tc>
          <w:tcPr>
            <w:tcW w:w="1927" w:type="dxa"/>
            <w:vAlign w:val="center"/>
          </w:tcPr>
          <w:p w14:paraId="712E3850" w14:textId="77777777" w:rsidR="00D557E3" w:rsidRDefault="00D557E3" w:rsidP="00826CB8">
            <w:pPr>
              <w:snapToGrid w:val="0"/>
              <w:spacing w:beforeLines="50" w:before="120" w:line="480" w:lineRule="auto"/>
              <w:ind w:right="28"/>
              <w:rPr>
                <w:sz w:val="20"/>
                <w:lang w:val="en-GB" w:eastAsia="zh-CN"/>
              </w:rPr>
            </w:pPr>
            <w:r>
              <w:rPr>
                <w:sz w:val="20"/>
                <w:lang w:val="en-GB" w:eastAsia="zh-CN"/>
              </w:rPr>
              <w:t>P</w:t>
            </w:r>
            <w:r>
              <w:rPr>
                <w:rFonts w:hint="eastAsia"/>
                <w:sz w:val="20"/>
                <w:lang w:val="en-GB" w:eastAsia="zh-CN"/>
              </w:rPr>
              <w:t>lywood</w:t>
            </w:r>
          </w:p>
        </w:tc>
        <w:tc>
          <w:tcPr>
            <w:tcW w:w="1371" w:type="dxa"/>
            <w:vAlign w:val="center"/>
          </w:tcPr>
          <w:p w14:paraId="15333978"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50</w:t>
            </w:r>
          </w:p>
        </w:tc>
        <w:tc>
          <w:tcPr>
            <w:tcW w:w="950" w:type="dxa"/>
            <w:vAlign w:val="center"/>
          </w:tcPr>
          <w:p w14:paraId="6930735A"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10.3</w:t>
            </w:r>
          </w:p>
        </w:tc>
        <w:tc>
          <w:tcPr>
            <w:tcW w:w="2343" w:type="dxa"/>
            <w:vAlign w:val="center"/>
          </w:tcPr>
          <w:p w14:paraId="02C63DD5"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540</w:t>
            </w:r>
          </w:p>
        </w:tc>
        <w:tc>
          <w:tcPr>
            <w:tcW w:w="1635" w:type="dxa"/>
            <w:vAlign w:val="center"/>
          </w:tcPr>
          <w:p w14:paraId="0A3ECAB5"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35</w:t>
            </w:r>
          </w:p>
        </w:tc>
      </w:tr>
      <w:tr w:rsidR="00D557E3" w:rsidRPr="00155D6E" w14:paraId="6CF164EB" w14:textId="77777777" w:rsidTr="00826CB8">
        <w:trPr>
          <w:jc w:val="center"/>
        </w:trPr>
        <w:tc>
          <w:tcPr>
            <w:tcW w:w="1242" w:type="dxa"/>
            <w:vAlign w:val="center"/>
          </w:tcPr>
          <w:p w14:paraId="7C84F5A9" w14:textId="19FAD52F" w:rsidR="00D557E3" w:rsidRDefault="00D557E3" w:rsidP="00826CB8">
            <w:pPr>
              <w:snapToGrid w:val="0"/>
              <w:spacing w:beforeLines="50" w:before="120" w:line="480" w:lineRule="auto"/>
              <w:ind w:right="28"/>
              <w:rPr>
                <w:sz w:val="20"/>
                <w:lang w:eastAsia="zh-CN"/>
              </w:rPr>
            </w:pPr>
            <w:r>
              <w:rPr>
                <w:sz w:val="20"/>
                <w:lang w:eastAsia="zh-CN"/>
              </w:rPr>
              <w:t xml:space="preserve">Lin et al. (2023) </w:t>
            </w:r>
            <w:r>
              <w:rPr>
                <w:sz w:val="20"/>
                <w:lang w:eastAsia="zh-CN"/>
              </w:rPr>
              <w:fldChar w:fldCharType="begin" w:fldLock="1"/>
            </w:r>
            <w:r w:rsidR="006A1A14">
              <w:rPr>
                <w:sz w:val="20"/>
                <w:lang w:eastAsia="zh-CN"/>
              </w:rPr>
              <w:instrText>ADDIN CSL_CITATION {"citationItems":[{"id":"ITEM-1","itemData":{"DOI":"10.1016/j.firesaf.2023.103745","ISSN":"03797112","abstract":"Wood is one of the most commonly-used and sustainable construction materials, but it is flammable in nature. Pre-charring is an ancient approach used to protect wooden construction materials against biochemical impacts, but its effectiveness in improving fire performance is still poorly understood. This work proposes a novel method to generate engineered wood with a uniform and robust surface char layer through slow pyrolysis under low thermal irradiation of 20 kW/m2. We found that the flammability of the pre-charred wood can be significantly reduced under higher irradiations up to 50 kW/m2 by increasing the ignition time by up to seven-fold and doubling the ignition temperature to about 670 °C. For the tested wood species (Merbau), we quantify a minimum char-layer thickness of 6 ± 1 mm to achieve effective fire retardancy. The fire hazards of pre-charred wood are also mitigated significantly, where observed flames become weaker, thinner, and bluer than that of the virgin wood. The peak heat release rate of burning pre-charred wood is reduced by over 50%, helping maintain the fire resilience of timber structures. This work quantifies the fire performance of pre-charred wood, highlighting a promising direction toward fire-safe timber construction materials.","author":[{"dropping-particle":"","family":"Lin","given":"Shaorun","non-dropping-particle":"","parse-names":false,"suffix":""},{"dropping-particle":"","family":"Qin","given":"Yunzhu","non-dropping-particle":"","parse-names":false,"suffix":""},{"dropping-particle":"","family":"Huang","given":"Xinyan","non-dropping-particle":"","parse-names":false,"suffix":""},{"dropping-particle":"","family":"Gollner","given":"Michael J.","non-dropping-particle":"","parse-names":false,"suffix":""}],"container-title":"Fire Safety Journal","id":"ITEM-1","issue":"November 2022","issued":{"date-parts":[["2023"]]},"page":"103745","publisher":"Elsevier Ltd","title":"Use of Pre-Charred Surfaces to Improve Fire Performance of Wood","type":"article-journal","volume":"136"},"uris":["http://www.mendeley.com/documents/?uuid=ec040bf6-79ca-47bd-92e7-757d030ec8e8","http://www.mendeley.com/documents/?uuid=e833dbe9-45d8-4f5f-99a8-76450836c9e8","http://www.mendeley.com/documents/?uuid=94fe9cfe-25cc-43a0-ac0a-4ce6a869ca15"]}],"mendeley":{"formattedCitation":"[30]","plainTextFormattedCitation":"[30]","previouslyFormattedCitation":"[77]"},"properties":{"noteIndex":0},"schema":"https://github.com/citation-style-language/schema/raw/master/csl-citation.json"}</w:instrText>
            </w:r>
            <w:r>
              <w:rPr>
                <w:sz w:val="20"/>
                <w:lang w:eastAsia="zh-CN"/>
              </w:rPr>
              <w:fldChar w:fldCharType="separate"/>
            </w:r>
            <w:r w:rsidR="006A1A14" w:rsidRPr="006A1A14">
              <w:rPr>
                <w:noProof/>
                <w:sz w:val="20"/>
                <w:lang w:eastAsia="zh-CN"/>
              </w:rPr>
              <w:t>[30]</w:t>
            </w:r>
            <w:r>
              <w:rPr>
                <w:sz w:val="20"/>
                <w:lang w:eastAsia="zh-CN"/>
              </w:rPr>
              <w:fldChar w:fldCharType="end"/>
            </w:r>
          </w:p>
        </w:tc>
        <w:tc>
          <w:tcPr>
            <w:tcW w:w="1927" w:type="dxa"/>
            <w:vAlign w:val="center"/>
          </w:tcPr>
          <w:p w14:paraId="13D13EE8" w14:textId="77777777" w:rsidR="00D557E3" w:rsidRDefault="00D557E3" w:rsidP="00826CB8">
            <w:pPr>
              <w:snapToGrid w:val="0"/>
              <w:spacing w:beforeLines="50" w:before="120" w:line="480" w:lineRule="auto"/>
              <w:ind w:right="28"/>
              <w:rPr>
                <w:sz w:val="20"/>
                <w:lang w:val="en-GB" w:eastAsia="zh-CN"/>
              </w:rPr>
            </w:pPr>
            <w:r>
              <w:rPr>
                <w:sz w:val="20"/>
                <w:lang w:val="en-GB" w:eastAsia="zh-CN"/>
              </w:rPr>
              <w:t>Merbau</w:t>
            </w:r>
          </w:p>
        </w:tc>
        <w:tc>
          <w:tcPr>
            <w:tcW w:w="1371" w:type="dxa"/>
            <w:vAlign w:val="center"/>
          </w:tcPr>
          <w:p w14:paraId="5D6718BB" w14:textId="77777777" w:rsidR="00D557E3" w:rsidRDefault="00D557E3" w:rsidP="00826CB8">
            <w:pPr>
              <w:snapToGrid w:val="0"/>
              <w:spacing w:beforeLines="50" w:before="120" w:line="480" w:lineRule="auto"/>
              <w:ind w:right="28"/>
              <w:rPr>
                <w:sz w:val="20"/>
                <w:lang w:val="en-GB" w:eastAsia="zh-CN"/>
              </w:rPr>
            </w:pPr>
            <w:r>
              <w:rPr>
                <w:sz w:val="20"/>
                <w:lang w:val="en-GB" w:eastAsia="zh-CN"/>
              </w:rPr>
              <w:t>40/50</w:t>
            </w:r>
          </w:p>
        </w:tc>
        <w:tc>
          <w:tcPr>
            <w:tcW w:w="950" w:type="dxa"/>
            <w:vAlign w:val="center"/>
          </w:tcPr>
          <w:p w14:paraId="572C9E97" w14:textId="77777777" w:rsidR="00D557E3" w:rsidRDefault="00D557E3" w:rsidP="00826CB8">
            <w:pPr>
              <w:snapToGrid w:val="0"/>
              <w:spacing w:beforeLines="50" w:before="120" w:line="480" w:lineRule="auto"/>
              <w:ind w:right="28"/>
              <w:rPr>
                <w:sz w:val="20"/>
                <w:lang w:val="en-GB" w:eastAsia="zh-CN"/>
              </w:rPr>
            </w:pPr>
            <w:r>
              <w:rPr>
                <w:sz w:val="20"/>
                <w:lang w:val="en-GB" w:eastAsia="zh-CN"/>
              </w:rPr>
              <w:t>0</w:t>
            </w:r>
          </w:p>
        </w:tc>
        <w:tc>
          <w:tcPr>
            <w:tcW w:w="2343" w:type="dxa"/>
            <w:vAlign w:val="center"/>
          </w:tcPr>
          <w:p w14:paraId="65CCECD5" w14:textId="77777777" w:rsidR="00D557E3" w:rsidRDefault="00D557E3" w:rsidP="00826CB8">
            <w:pPr>
              <w:snapToGrid w:val="0"/>
              <w:spacing w:beforeLines="50" w:before="120" w:line="480" w:lineRule="auto"/>
              <w:ind w:right="28"/>
              <w:rPr>
                <w:sz w:val="20"/>
                <w:lang w:val="en-GB" w:eastAsia="zh-CN"/>
              </w:rPr>
            </w:pPr>
            <w:r>
              <w:rPr>
                <w:sz w:val="20"/>
                <w:lang w:val="en-GB" w:eastAsia="zh-CN"/>
              </w:rPr>
              <w:t>900</w:t>
            </w:r>
          </w:p>
        </w:tc>
        <w:tc>
          <w:tcPr>
            <w:tcW w:w="1635" w:type="dxa"/>
            <w:vAlign w:val="center"/>
          </w:tcPr>
          <w:p w14:paraId="01A68964" w14:textId="77777777" w:rsidR="00D557E3" w:rsidRPr="00885896" w:rsidRDefault="00D557E3" w:rsidP="00826CB8">
            <w:pPr>
              <w:snapToGrid w:val="0"/>
              <w:spacing w:beforeLines="50" w:before="120" w:line="480" w:lineRule="auto"/>
              <w:ind w:right="28"/>
              <w:rPr>
                <w:sz w:val="20"/>
                <w:lang w:eastAsia="zh-CN"/>
              </w:rPr>
            </w:pPr>
            <w:r>
              <w:rPr>
                <w:sz w:val="20"/>
                <w:lang w:val="en-GB" w:eastAsia="zh-CN"/>
              </w:rPr>
              <w:t>39/</w:t>
            </w:r>
            <w:r>
              <w:rPr>
                <w:rFonts w:hint="eastAsia"/>
                <w:sz w:val="20"/>
                <w:lang w:val="en-GB" w:eastAsia="zh-CN"/>
              </w:rPr>
              <w:t>22</w:t>
            </w:r>
          </w:p>
        </w:tc>
      </w:tr>
      <w:tr w:rsidR="00D557E3" w:rsidRPr="00155D6E" w14:paraId="1CEC009B" w14:textId="77777777" w:rsidTr="00826CB8">
        <w:trPr>
          <w:jc w:val="center"/>
        </w:trPr>
        <w:tc>
          <w:tcPr>
            <w:tcW w:w="1242" w:type="dxa"/>
            <w:vAlign w:val="center"/>
          </w:tcPr>
          <w:p w14:paraId="03B96FEE" w14:textId="68E53FDB" w:rsidR="00D557E3" w:rsidRDefault="00D557E3" w:rsidP="00826CB8">
            <w:pPr>
              <w:snapToGrid w:val="0"/>
              <w:spacing w:beforeLines="50" w:before="120" w:line="480" w:lineRule="auto"/>
              <w:ind w:right="28"/>
              <w:rPr>
                <w:sz w:val="20"/>
                <w:lang w:eastAsia="zh-CN"/>
              </w:rPr>
            </w:pPr>
            <w:r>
              <w:rPr>
                <w:rFonts w:hint="eastAsia"/>
                <w:sz w:val="20"/>
                <w:lang w:eastAsia="zh-CN"/>
              </w:rPr>
              <w:t xml:space="preserve">Chung and Jin (2022) </w:t>
            </w:r>
            <w:r>
              <w:rPr>
                <w:sz w:val="20"/>
                <w:lang w:eastAsia="zh-CN"/>
              </w:rPr>
              <w:fldChar w:fldCharType="begin" w:fldLock="1"/>
            </w:r>
            <w:r w:rsidR="006A1A14">
              <w:rPr>
                <w:sz w:val="20"/>
                <w:lang w:eastAsia="zh-CN"/>
              </w:rPr>
              <w:instrText>ADDIN CSL_CITATION {"citationItems":[{"id":"ITEM-1","itemData":{"author":[{"dropping-particle":"","family":"Jin","given":"Yeong-jin Chung Eui","non-dropping-particle":"","parse-names":false,"suffix":""}],"id":"ITEM-1","issue":"1","issued":{"date-parts":[["2022"]]},"page":"64-73","title":"Prediction of Fire Risk Ratings of Wood Species for Fire Prevention Design","type":"article-journal","volume":"36"},"uris":["http://www.mendeley.com/documents/?uuid=3095627a-ef0a-46a0-a632-8538908383c1","http://www.mendeley.com/documents/?uuid=fd60a311-ba95-4295-a78e-b59aa7be5bcd","http://www.mendeley.com/documents/?uuid=7a7d11b0-cc12-4346-9713-df2e48f224fa"]}],"mendeley":{"formattedCitation":"[31]","plainTextFormattedCitation":"[31]","previouslyFormattedCitation":"[78]"},"properties":{"noteIndex":0},"schema":"https://github.com/citation-style-language/schema/raw/master/csl-citation.json"}</w:instrText>
            </w:r>
            <w:r>
              <w:rPr>
                <w:sz w:val="20"/>
                <w:lang w:eastAsia="zh-CN"/>
              </w:rPr>
              <w:fldChar w:fldCharType="separate"/>
            </w:r>
            <w:r w:rsidR="006A1A14" w:rsidRPr="006A1A14">
              <w:rPr>
                <w:noProof/>
                <w:sz w:val="20"/>
                <w:lang w:eastAsia="zh-CN"/>
              </w:rPr>
              <w:t>[31]</w:t>
            </w:r>
            <w:r>
              <w:rPr>
                <w:sz w:val="20"/>
                <w:lang w:eastAsia="zh-CN"/>
              </w:rPr>
              <w:fldChar w:fldCharType="end"/>
            </w:r>
          </w:p>
        </w:tc>
        <w:tc>
          <w:tcPr>
            <w:tcW w:w="1927" w:type="dxa"/>
            <w:vAlign w:val="center"/>
          </w:tcPr>
          <w:p w14:paraId="7C07B355"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Spruce</w:t>
            </w:r>
          </w:p>
        </w:tc>
        <w:tc>
          <w:tcPr>
            <w:tcW w:w="1371" w:type="dxa"/>
            <w:vAlign w:val="center"/>
          </w:tcPr>
          <w:p w14:paraId="4E77B4B8"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50</w:t>
            </w:r>
          </w:p>
        </w:tc>
        <w:tc>
          <w:tcPr>
            <w:tcW w:w="950" w:type="dxa"/>
            <w:vAlign w:val="center"/>
          </w:tcPr>
          <w:p w14:paraId="615CE5F6"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10.7</w:t>
            </w:r>
          </w:p>
        </w:tc>
        <w:tc>
          <w:tcPr>
            <w:tcW w:w="2343" w:type="dxa"/>
            <w:vAlign w:val="center"/>
          </w:tcPr>
          <w:p w14:paraId="43EEF685"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511</w:t>
            </w:r>
          </w:p>
        </w:tc>
        <w:tc>
          <w:tcPr>
            <w:tcW w:w="1635" w:type="dxa"/>
            <w:vAlign w:val="center"/>
          </w:tcPr>
          <w:p w14:paraId="4174123A"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9</w:t>
            </w:r>
          </w:p>
        </w:tc>
      </w:tr>
      <w:tr w:rsidR="00D557E3" w:rsidRPr="00155D6E" w14:paraId="6562F978" w14:textId="77777777" w:rsidTr="00826CB8">
        <w:trPr>
          <w:jc w:val="center"/>
        </w:trPr>
        <w:tc>
          <w:tcPr>
            <w:tcW w:w="1242" w:type="dxa"/>
            <w:vAlign w:val="center"/>
          </w:tcPr>
          <w:p w14:paraId="24E0035E" w14:textId="43C7E737" w:rsidR="00D557E3" w:rsidRPr="00563492" w:rsidRDefault="00D557E3" w:rsidP="00826CB8">
            <w:pPr>
              <w:snapToGrid w:val="0"/>
              <w:spacing w:beforeLines="50" w:before="120" w:line="480" w:lineRule="auto"/>
              <w:ind w:right="28"/>
              <w:rPr>
                <w:b/>
                <w:bCs/>
                <w:sz w:val="20"/>
                <w:lang w:eastAsia="zh-CN"/>
              </w:rPr>
            </w:pPr>
            <w:r>
              <w:rPr>
                <w:rFonts w:hint="eastAsia"/>
                <w:sz w:val="20"/>
                <w:lang w:eastAsia="zh-CN"/>
              </w:rPr>
              <w:t xml:space="preserve">Chung and Jin (2022) </w:t>
            </w:r>
            <w:r>
              <w:rPr>
                <w:sz w:val="20"/>
                <w:lang w:eastAsia="zh-CN"/>
              </w:rPr>
              <w:fldChar w:fldCharType="begin" w:fldLock="1"/>
            </w:r>
            <w:r w:rsidR="006A1A14">
              <w:rPr>
                <w:sz w:val="20"/>
                <w:lang w:eastAsia="zh-CN"/>
              </w:rPr>
              <w:instrText>ADDIN CSL_CITATION {"citationItems":[{"id":"ITEM-1","itemData":{"author":[{"dropping-particle":"","family":"Jin","given":"Yeong-jin Chung Eui","non-dropping-particle":"","parse-names":false,"suffix":""}],"id":"ITEM-1","issue":"1","issued":{"date-parts":[["2022"]]},"page":"64-73","title":"Prediction of Fire Risk Ratings of Wood Species for Fire Prevention Design","type":"article-journal","volume":"36"},"uris":["http://www.mendeley.com/documents/?uuid=7a7d11b0-cc12-4346-9713-df2e48f224fa","http://www.mendeley.com/documents/?uuid=fd60a311-ba95-4295-a78e-b59aa7be5bcd","http://www.mendeley.com/documents/?uuid=3095627a-ef0a-46a0-a632-8538908383c1"]}],"mendeley":{"formattedCitation":"[31]","plainTextFormattedCitation":"[31]","previouslyFormattedCitation":"[78]"},"properties":{"noteIndex":0},"schema":"https://github.com/citation-style-language/schema/raw/master/csl-citation.json"}</w:instrText>
            </w:r>
            <w:r>
              <w:rPr>
                <w:sz w:val="20"/>
                <w:lang w:eastAsia="zh-CN"/>
              </w:rPr>
              <w:fldChar w:fldCharType="separate"/>
            </w:r>
            <w:r w:rsidR="006A1A14" w:rsidRPr="006A1A14">
              <w:rPr>
                <w:noProof/>
                <w:sz w:val="20"/>
                <w:lang w:eastAsia="zh-CN"/>
              </w:rPr>
              <w:t>[31]</w:t>
            </w:r>
            <w:r>
              <w:rPr>
                <w:sz w:val="20"/>
                <w:lang w:eastAsia="zh-CN"/>
              </w:rPr>
              <w:fldChar w:fldCharType="end"/>
            </w:r>
          </w:p>
        </w:tc>
        <w:tc>
          <w:tcPr>
            <w:tcW w:w="1927" w:type="dxa"/>
            <w:vAlign w:val="center"/>
          </w:tcPr>
          <w:p w14:paraId="40EDE472" w14:textId="77777777" w:rsidR="00D557E3" w:rsidRDefault="00D557E3" w:rsidP="00826CB8">
            <w:pPr>
              <w:snapToGrid w:val="0"/>
              <w:spacing w:beforeLines="50" w:before="120" w:line="480" w:lineRule="auto"/>
              <w:ind w:right="28"/>
              <w:rPr>
                <w:sz w:val="20"/>
                <w:lang w:val="en-GB" w:eastAsia="zh-CN"/>
              </w:rPr>
            </w:pPr>
            <w:r>
              <w:rPr>
                <w:sz w:val="20"/>
                <w:lang w:val="en-GB" w:eastAsia="zh-CN"/>
              </w:rPr>
              <w:t>P</w:t>
            </w:r>
            <w:r>
              <w:rPr>
                <w:rFonts w:hint="eastAsia"/>
                <w:sz w:val="20"/>
                <w:lang w:val="en-GB" w:eastAsia="zh-CN"/>
              </w:rPr>
              <w:t>ich pine</w:t>
            </w:r>
          </w:p>
        </w:tc>
        <w:tc>
          <w:tcPr>
            <w:tcW w:w="1371" w:type="dxa"/>
            <w:vAlign w:val="center"/>
          </w:tcPr>
          <w:p w14:paraId="0161C535"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50</w:t>
            </w:r>
          </w:p>
        </w:tc>
        <w:tc>
          <w:tcPr>
            <w:tcW w:w="950" w:type="dxa"/>
            <w:vAlign w:val="center"/>
          </w:tcPr>
          <w:p w14:paraId="1ED722ED"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10</w:t>
            </w:r>
          </w:p>
        </w:tc>
        <w:tc>
          <w:tcPr>
            <w:tcW w:w="2343" w:type="dxa"/>
            <w:vAlign w:val="center"/>
          </w:tcPr>
          <w:p w14:paraId="3E639911"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419</w:t>
            </w:r>
          </w:p>
        </w:tc>
        <w:tc>
          <w:tcPr>
            <w:tcW w:w="1635" w:type="dxa"/>
            <w:vAlign w:val="center"/>
          </w:tcPr>
          <w:p w14:paraId="0DF404A5"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17</w:t>
            </w:r>
          </w:p>
        </w:tc>
      </w:tr>
      <w:tr w:rsidR="00D557E3" w:rsidRPr="00155D6E" w14:paraId="2C834D00" w14:textId="77777777" w:rsidTr="00826CB8">
        <w:trPr>
          <w:jc w:val="center"/>
        </w:trPr>
        <w:tc>
          <w:tcPr>
            <w:tcW w:w="1242" w:type="dxa"/>
            <w:vAlign w:val="center"/>
          </w:tcPr>
          <w:p w14:paraId="21094E08" w14:textId="7389AFF7" w:rsidR="00D557E3" w:rsidRDefault="00D557E3" w:rsidP="00826CB8">
            <w:pPr>
              <w:snapToGrid w:val="0"/>
              <w:spacing w:beforeLines="50" w:before="120" w:line="480" w:lineRule="auto"/>
              <w:ind w:right="28"/>
              <w:rPr>
                <w:sz w:val="20"/>
                <w:lang w:eastAsia="zh-CN"/>
              </w:rPr>
            </w:pPr>
            <w:r>
              <w:rPr>
                <w:rFonts w:hint="eastAsia"/>
                <w:sz w:val="20"/>
                <w:lang w:eastAsia="zh-CN"/>
              </w:rPr>
              <w:t xml:space="preserve">Chung and Jin (2022) </w:t>
            </w:r>
            <w:r>
              <w:rPr>
                <w:sz w:val="20"/>
                <w:lang w:eastAsia="zh-CN"/>
              </w:rPr>
              <w:fldChar w:fldCharType="begin" w:fldLock="1"/>
            </w:r>
            <w:r w:rsidR="006A1A14">
              <w:rPr>
                <w:sz w:val="20"/>
                <w:lang w:eastAsia="zh-CN"/>
              </w:rPr>
              <w:instrText>ADDIN CSL_CITATION {"citationItems":[{"id":"ITEM-1","itemData":{"author":[{"dropping-particle":"","family":"Jin","given":"Yeong-jin Chung Eui","non-dropping-particle":"","parse-names":false,"suffix":""}],"id":"ITEM-1","issue":"1","issued":{"date-parts":[["2022"]]},"page":"64-73","title":"Prediction of Fire Risk Ratings of Wood Species for Fire Prevention Design","type":"article-journal","volume":"36"},"uris":["http://www.mendeley.com/documents/?uuid=7a7d11b0-cc12-4346-9713-df2e48f224fa","http://www.mendeley.com/documents/?uuid=fd60a311-ba95-4295-a78e-b59aa7be5bcd","http://www.mendeley.com/documents/?uuid=3095627a-ef0a-46a0-a632-8538908383c1"]}],"mendeley":{"formattedCitation":"[31]","plainTextFormattedCitation":"[31]","previouslyFormattedCitation":"[78]"},"properties":{"noteIndex":0},"schema":"https://github.com/citation-style-language/schema/raw/master/csl-citation.json"}</w:instrText>
            </w:r>
            <w:r>
              <w:rPr>
                <w:sz w:val="20"/>
                <w:lang w:eastAsia="zh-CN"/>
              </w:rPr>
              <w:fldChar w:fldCharType="separate"/>
            </w:r>
            <w:r w:rsidR="006A1A14" w:rsidRPr="006A1A14">
              <w:rPr>
                <w:noProof/>
                <w:sz w:val="20"/>
                <w:lang w:eastAsia="zh-CN"/>
              </w:rPr>
              <w:t>[31]</w:t>
            </w:r>
            <w:r>
              <w:rPr>
                <w:sz w:val="20"/>
                <w:lang w:eastAsia="zh-CN"/>
              </w:rPr>
              <w:fldChar w:fldCharType="end"/>
            </w:r>
          </w:p>
        </w:tc>
        <w:tc>
          <w:tcPr>
            <w:tcW w:w="1927" w:type="dxa"/>
            <w:vAlign w:val="center"/>
          </w:tcPr>
          <w:p w14:paraId="7D034FC9" w14:textId="77777777" w:rsidR="00D557E3" w:rsidRDefault="00D557E3" w:rsidP="00826CB8">
            <w:pPr>
              <w:snapToGrid w:val="0"/>
              <w:spacing w:beforeLines="50" w:before="120" w:line="480" w:lineRule="auto"/>
              <w:ind w:right="28"/>
              <w:rPr>
                <w:sz w:val="20"/>
                <w:lang w:val="en-GB" w:eastAsia="zh-CN"/>
              </w:rPr>
            </w:pPr>
            <w:r>
              <w:rPr>
                <w:sz w:val="20"/>
                <w:lang w:val="en-GB" w:eastAsia="zh-CN"/>
              </w:rPr>
              <w:t>L</w:t>
            </w:r>
            <w:r>
              <w:rPr>
                <w:rFonts w:hint="eastAsia"/>
                <w:sz w:val="20"/>
                <w:lang w:val="en-GB" w:eastAsia="zh-CN"/>
              </w:rPr>
              <w:t>auan</w:t>
            </w:r>
          </w:p>
        </w:tc>
        <w:tc>
          <w:tcPr>
            <w:tcW w:w="1371" w:type="dxa"/>
            <w:vAlign w:val="center"/>
          </w:tcPr>
          <w:p w14:paraId="0318CBC8"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50</w:t>
            </w:r>
          </w:p>
        </w:tc>
        <w:tc>
          <w:tcPr>
            <w:tcW w:w="950" w:type="dxa"/>
            <w:vAlign w:val="center"/>
          </w:tcPr>
          <w:p w14:paraId="694E7193"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8.8</w:t>
            </w:r>
          </w:p>
        </w:tc>
        <w:tc>
          <w:tcPr>
            <w:tcW w:w="2343" w:type="dxa"/>
            <w:vAlign w:val="center"/>
          </w:tcPr>
          <w:p w14:paraId="0167FDE8"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543</w:t>
            </w:r>
          </w:p>
        </w:tc>
        <w:tc>
          <w:tcPr>
            <w:tcW w:w="1635" w:type="dxa"/>
            <w:vAlign w:val="center"/>
          </w:tcPr>
          <w:p w14:paraId="0D846E2C"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10</w:t>
            </w:r>
          </w:p>
        </w:tc>
      </w:tr>
      <w:tr w:rsidR="00D557E3" w:rsidRPr="00155D6E" w14:paraId="1A9D5F62" w14:textId="77777777" w:rsidTr="00826CB8">
        <w:trPr>
          <w:jc w:val="center"/>
        </w:trPr>
        <w:tc>
          <w:tcPr>
            <w:tcW w:w="1242" w:type="dxa"/>
            <w:vAlign w:val="center"/>
          </w:tcPr>
          <w:p w14:paraId="442DD520" w14:textId="364B9324" w:rsidR="00D557E3" w:rsidRDefault="00D557E3" w:rsidP="00826CB8">
            <w:pPr>
              <w:snapToGrid w:val="0"/>
              <w:spacing w:beforeLines="50" w:before="120" w:line="480" w:lineRule="auto"/>
              <w:ind w:right="28"/>
              <w:rPr>
                <w:sz w:val="20"/>
                <w:lang w:eastAsia="zh-CN"/>
              </w:rPr>
            </w:pPr>
            <w:r>
              <w:rPr>
                <w:rFonts w:hint="eastAsia"/>
                <w:sz w:val="20"/>
                <w:lang w:eastAsia="zh-CN"/>
              </w:rPr>
              <w:t xml:space="preserve">Chung and Jin (2022) </w:t>
            </w:r>
            <w:r>
              <w:rPr>
                <w:sz w:val="20"/>
                <w:lang w:eastAsia="zh-CN"/>
              </w:rPr>
              <w:fldChar w:fldCharType="begin" w:fldLock="1"/>
            </w:r>
            <w:r w:rsidR="006A1A14">
              <w:rPr>
                <w:sz w:val="20"/>
                <w:lang w:eastAsia="zh-CN"/>
              </w:rPr>
              <w:instrText>ADDIN CSL_CITATION {"citationItems":[{"id":"ITEM-1","itemData":{"author":[{"dropping-particle":"","family":"Jin","given":"Yeong-jin Chung Eui","non-dropping-particle":"","parse-names":false,"suffix":""}],"id":"ITEM-1","issue":"1","issued":{"date-parts":[["2022"]]},"page":"64-73","title":"Prediction of Fire Risk Ratings of Wood Species for Fire Prevention Design","type":"article-journal","volume":"36"},"uris":["http://www.mendeley.com/documents/?uuid=7a7d11b0-cc12-4346-9713-df2e48f224fa","http://www.mendeley.com/documents/?uuid=fd60a311-ba95-4295-a78e-b59aa7be5bcd","http://www.mendeley.com/documents/?uuid=3095627a-ef0a-46a0-a632-8538908383c1"]}],"mendeley":{"formattedCitation":"[31]","plainTextFormattedCitation":"[31]","previouslyFormattedCitation":"[78]"},"properties":{"noteIndex":0},"schema":"https://github.com/citation-style-language/schema/raw/master/csl-citation.json"}</w:instrText>
            </w:r>
            <w:r>
              <w:rPr>
                <w:sz w:val="20"/>
                <w:lang w:eastAsia="zh-CN"/>
              </w:rPr>
              <w:fldChar w:fldCharType="separate"/>
            </w:r>
            <w:r w:rsidR="006A1A14" w:rsidRPr="006A1A14">
              <w:rPr>
                <w:noProof/>
                <w:sz w:val="20"/>
                <w:lang w:eastAsia="zh-CN"/>
              </w:rPr>
              <w:t>[31]</w:t>
            </w:r>
            <w:r>
              <w:rPr>
                <w:sz w:val="20"/>
                <w:lang w:eastAsia="zh-CN"/>
              </w:rPr>
              <w:fldChar w:fldCharType="end"/>
            </w:r>
          </w:p>
        </w:tc>
        <w:tc>
          <w:tcPr>
            <w:tcW w:w="1927" w:type="dxa"/>
            <w:vAlign w:val="center"/>
          </w:tcPr>
          <w:p w14:paraId="2D55FFD6" w14:textId="77777777" w:rsidR="00D557E3" w:rsidRDefault="00D557E3" w:rsidP="00826CB8">
            <w:pPr>
              <w:snapToGrid w:val="0"/>
              <w:spacing w:beforeLines="50" w:before="120" w:line="480" w:lineRule="auto"/>
              <w:ind w:right="28"/>
              <w:rPr>
                <w:sz w:val="20"/>
                <w:lang w:val="en-GB" w:eastAsia="zh-CN"/>
              </w:rPr>
            </w:pPr>
            <w:proofErr w:type="gramStart"/>
            <w:r>
              <w:rPr>
                <w:sz w:val="20"/>
                <w:lang w:val="en-GB" w:eastAsia="zh-CN"/>
              </w:rPr>
              <w:t>C</w:t>
            </w:r>
            <w:r>
              <w:rPr>
                <w:rFonts w:hint="eastAsia"/>
                <w:sz w:val="20"/>
                <w:lang w:val="en-GB" w:eastAsia="zh-CN"/>
              </w:rPr>
              <w:t>hest nut</w:t>
            </w:r>
            <w:proofErr w:type="gramEnd"/>
          </w:p>
        </w:tc>
        <w:tc>
          <w:tcPr>
            <w:tcW w:w="1371" w:type="dxa"/>
            <w:vAlign w:val="center"/>
          </w:tcPr>
          <w:p w14:paraId="57447062"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50</w:t>
            </w:r>
          </w:p>
        </w:tc>
        <w:tc>
          <w:tcPr>
            <w:tcW w:w="950" w:type="dxa"/>
            <w:vAlign w:val="center"/>
          </w:tcPr>
          <w:p w14:paraId="77984FEA"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11</w:t>
            </w:r>
          </w:p>
        </w:tc>
        <w:tc>
          <w:tcPr>
            <w:tcW w:w="2343" w:type="dxa"/>
            <w:vAlign w:val="center"/>
          </w:tcPr>
          <w:p w14:paraId="293ECEED"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634</w:t>
            </w:r>
          </w:p>
        </w:tc>
        <w:tc>
          <w:tcPr>
            <w:tcW w:w="1635" w:type="dxa"/>
            <w:vAlign w:val="center"/>
          </w:tcPr>
          <w:p w14:paraId="69952AF1"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37</w:t>
            </w:r>
          </w:p>
        </w:tc>
      </w:tr>
      <w:tr w:rsidR="00D557E3" w:rsidRPr="00155D6E" w14:paraId="6EE94690" w14:textId="77777777" w:rsidTr="00826CB8">
        <w:trPr>
          <w:jc w:val="center"/>
        </w:trPr>
        <w:tc>
          <w:tcPr>
            <w:tcW w:w="1242" w:type="dxa"/>
            <w:vAlign w:val="center"/>
          </w:tcPr>
          <w:p w14:paraId="2260E16F" w14:textId="414BBD2F" w:rsidR="00D557E3" w:rsidRDefault="00D557E3" w:rsidP="00826CB8">
            <w:pPr>
              <w:snapToGrid w:val="0"/>
              <w:spacing w:beforeLines="50" w:before="120" w:line="480" w:lineRule="auto"/>
              <w:ind w:right="28"/>
              <w:rPr>
                <w:sz w:val="20"/>
                <w:lang w:eastAsia="zh-CN"/>
              </w:rPr>
            </w:pPr>
            <w:r>
              <w:rPr>
                <w:rFonts w:hint="eastAsia"/>
                <w:sz w:val="20"/>
                <w:lang w:eastAsia="zh-CN"/>
              </w:rPr>
              <w:t xml:space="preserve">Chung and Jin (2022) </w:t>
            </w:r>
            <w:r>
              <w:rPr>
                <w:sz w:val="20"/>
                <w:lang w:eastAsia="zh-CN"/>
              </w:rPr>
              <w:fldChar w:fldCharType="begin" w:fldLock="1"/>
            </w:r>
            <w:r w:rsidR="006A1A14">
              <w:rPr>
                <w:sz w:val="20"/>
                <w:lang w:eastAsia="zh-CN"/>
              </w:rPr>
              <w:instrText>ADDIN CSL_CITATION {"citationItems":[{"id":"ITEM-1","itemData":{"author":[{"dropping-particle":"","family":"Jin","given":"Yeong-jin Chung Eui","non-dropping-particle":"","parse-names":false,"suffix":""}],"id":"ITEM-1","issue":"1","issued":{"date-parts":[["2022"]]},"page":"64-73","title":"Prediction of Fire Risk Ratings of Wood Species for Fire Prevention Design","type":"article-journal","volume":"36"},"uris":["http://www.mendeley.com/documents/?uuid=7a7d11b0-cc12-4346-9713-df2e48f224fa","http://www.mendeley.com/documents/?uuid=fd60a311-ba95-4295-a78e-b59aa7be5bcd","http://www.mendeley.com/documents/?uuid=3095627a-ef0a-46a0-a632-8538908383c1"]}],"mendeley":{"formattedCitation":"[31]","plainTextFormattedCitation":"[31]","previouslyFormattedCitation":"[78]"},"properties":{"noteIndex":0},"schema":"https://github.com/citation-style-language/schema/raw/master/csl-citation.json"}</w:instrText>
            </w:r>
            <w:r>
              <w:rPr>
                <w:sz w:val="20"/>
                <w:lang w:eastAsia="zh-CN"/>
              </w:rPr>
              <w:fldChar w:fldCharType="separate"/>
            </w:r>
            <w:r w:rsidR="006A1A14" w:rsidRPr="006A1A14">
              <w:rPr>
                <w:noProof/>
                <w:sz w:val="20"/>
                <w:lang w:eastAsia="zh-CN"/>
              </w:rPr>
              <w:t>[31]</w:t>
            </w:r>
            <w:r>
              <w:rPr>
                <w:sz w:val="20"/>
                <w:lang w:eastAsia="zh-CN"/>
              </w:rPr>
              <w:fldChar w:fldCharType="end"/>
            </w:r>
          </w:p>
        </w:tc>
        <w:tc>
          <w:tcPr>
            <w:tcW w:w="1927" w:type="dxa"/>
            <w:vAlign w:val="center"/>
          </w:tcPr>
          <w:p w14:paraId="79B526F4" w14:textId="77777777" w:rsidR="00D557E3" w:rsidRDefault="00D557E3" w:rsidP="00826CB8">
            <w:pPr>
              <w:snapToGrid w:val="0"/>
              <w:spacing w:beforeLines="50" w:before="120" w:line="480" w:lineRule="auto"/>
              <w:ind w:right="28"/>
              <w:rPr>
                <w:sz w:val="20"/>
                <w:lang w:val="en-GB" w:eastAsia="zh-CN"/>
              </w:rPr>
            </w:pPr>
            <w:r>
              <w:rPr>
                <w:sz w:val="20"/>
                <w:lang w:val="en-GB" w:eastAsia="zh-CN"/>
              </w:rPr>
              <w:t>O</w:t>
            </w:r>
            <w:r>
              <w:rPr>
                <w:rFonts w:hint="eastAsia"/>
                <w:sz w:val="20"/>
                <w:lang w:val="en-GB" w:eastAsia="zh-CN"/>
              </w:rPr>
              <w:t>ak</w:t>
            </w:r>
          </w:p>
        </w:tc>
        <w:tc>
          <w:tcPr>
            <w:tcW w:w="1371" w:type="dxa"/>
            <w:vAlign w:val="center"/>
          </w:tcPr>
          <w:p w14:paraId="35A4515B"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50</w:t>
            </w:r>
          </w:p>
        </w:tc>
        <w:tc>
          <w:tcPr>
            <w:tcW w:w="950" w:type="dxa"/>
            <w:vAlign w:val="center"/>
          </w:tcPr>
          <w:p w14:paraId="7BD1ED7E"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12.1</w:t>
            </w:r>
          </w:p>
        </w:tc>
        <w:tc>
          <w:tcPr>
            <w:tcW w:w="2343" w:type="dxa"/>
            <w:vAlign w:val="center"/>
          </w:tcPr>
          <w:p w14:paraId="3F90E805"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976</w:t>
            </w:r>
          </w:p>
        </w:tc>
        <w:tc>
          <w:tcPr>
            <w:tcW w:w="1635" w:type="dxa"/>
            <w:vAlign w:val="center"/>
          </w:tcPr>
          <w:p w14:paraId="3521DB5D"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51</w:t>
            </w:r>
          </w:p>
        </w:tc>
      </w:tr>
      <w:tr w:rsidR="00D557E3" w:rsidRPr="00155D6E" w14:paraId="04124AF9" w14:textId="77777777" w:rsidTr="00826CB8">
        <w:trPr>
          <w:jc w:val="center"/>
        </w:trPr>
        <w:tc>
          <w:tcPr>
            <w:tcW w:w="1242" w:type="dxa"/>
            <w:vAlign w:val="center"/>
          </w:tcPr>
          <w:p w14:paraId="064502F8" w14:textId="6A71019F" w:rsidR="00D557E3" w:rsidRDefault="00D557E3" w:rsidP="00826CB8">
            <w:pPr>
              <w:snapToGrid w:val="0"/>
              <w:spacing w:beforeLines="50" w:before="120" w:line="480" w:lineRule="auto"/>
              <w:ind w:right="28"/>
              <w:rPr>
                <w:sz w:val="20"/>
                <w:lang w:eastAsia="zh-CN"/>
              </w:rPr>
            </w:pPr>
            <w:r>
              <w:rPr>
                <w:rFonts w:hint="eastAsia"/>
                <w:sz w:val="20"/>
                <w:lang w:eastAsia="zh-CN"/>
              </w:rPr>
              <w:t xml:space="preserve">Chung and Jin (2022) </w:t>
            </w:r>
            <w:r>
              <w:rPr>
                <w:sz w:val="20"/>
                <w:lang w:eastAsia="zh-CN"/>
              </w:rPr>
              <w:lastRenderedPageBreak/>
              <w:fldChar w:fldCharType="begin" w:fldLock="1"/>
            </w:r>
            <w:r w:rsidR="006A1A14">
              <w:rPr>
                <w:sz w:val="20"/>
                <w:lang w:eastAsia="zh-CN"/>
              </w:rPr>
              <w:instrText>ADDIN CSL_CITATION {"citationItems":[{"id":"ITEM-1","itemData":{"author":[{"dropping-particle":"","family":"Jin","given":"Yeong-jin Chung Eui","non-dropping-particle":"","parse-names":false,"suffix":""}],"id":"ITEM-1","issue":"1","issued":{"date-parts":[["2022"]]},"page":"64-73","title":"Prediction of Fire Risk Ratings of Wood Species for Fire Prevention Design","type":"article-journal","volume":"36"},"uris":["http://www.mendeley.com/documents/?uuid=7a7d11b0-cc12-4346-9713-df2e48f224fa","http://www.mendeley.com/documents/?uuid=fd60a311-ba95-4295-a78e-b59aa7be5bcd","http://www.mendeley.com/documents/?uuid=3095627a-ef0a-46a0-a632-8538908383c1"]}],"mendeley":{"formattedCitation":"[31]","plainTextFormattedCitation":"[31]","previouslyFormattedCitation":"[78]"},"properties":{"noteIndex":0},"schema":"https://github.com/citation-style-language/schema/raw/master/csl-citation.json"}</w:instrText>
            </w:r>
            <w:r>
              <w:rPr>
                <w:sz w:val="20"/>
                <w:lang w:eastAsia="zh-CN"/>
              </w:rPr>
              <w:fldChar w:fldCharType="separate"/>
            </w:r>
            <w:r w:rsidR="006A1A14" w:rsidRPr="006A1A14">
              <w:rPr>
                <w:noProof/>
                <w:sz w:val="20"/>
                <w:lang w:eastAsia="zh-CN"/>
              </w:rPr>
              <w:t>[31]</w:t>
            </w:r>
            <w:r>
              <w:rPr>
                <w:sz w:val="20"/>
                <w:lang w:eastAsia="zh-CN"/>
              </w:rPr>
              <w:fldChar w:fldCharType="end"/>
            </w:r>
          </w:p>
        </w:tc>
        <w:tc>
          <w:tcPr>
            <w:tcW w:w="1927" w:type="dxa"/>
            <w:vAlign w:val="center"/>
          </w:tcPr>
          <w:p w14:paraId="208F92ED" w14:textId="77777777" w:rsidR="00D557E3" w:rsidRDefault="00D557E3" w:rsidP="00826CB8">
            <w:pPr>
              <w:snapToGrid w:val="0"/>
              <w:spacing w:beforeLines="50" w:before="120" w:line="480" w:lineRule="auto"/>
              <w:ind w:right="28"/>
              <w:rPr>
                <w:sz w:val="20"/>
                <w:lang w:val="en-GB" w:eastAsia="zh-CN"/>
              </w:rPr>
            </w:pPr>
            <w:r>
              <w:rPr>
                <w:sz w:val="20"/>
                <w:lang w:val="en-GB" w:eastAsia="zh-CN"/>
              </w:rPr>
              <w:lastRenderedPageBreak/>
              <w:t>Z</w:t>
            </w:r>
            <w:r>
              <w:rPr>
                <w:rFonts w:hint="eastAsia"/>
                <w:sz w:val="20"/>
                <w:lang w:val="en-GB" w:eastAsia="zh-CN"/>
              </w:rPr>
              <w:t>elkova</w:t>
            </w:r>
          </w:p>
        </w:tc>
        <w:tc>
          <w:tcPr>
            <w:tcW w:w="1371" w:type="dxa"/>
            <w:vAlign w:val="center"/>
          </w:tcPr>
          <w:p w14:paraId="3F0455BB"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50</w:t>
            </w:r>
          </w:p>
        </w:tc>
        <w:tc>
          <w:tcPr>
            <w:tcW w:w="950" w:type="dxa"/>
            <w:vAlign w:val="center"/>
          </w:tcPr>
          <w:p w14:paraId="2459B34A"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10</w:t>
            </w:r>
          </w:p>
        </w:tc>
        <w:tc>
          <w:tcPr>
            <w:tcW w:w="2343" w:type="dxa"/>
            <w:vAlign w:val="center"/>
          </w:tcPr>
          <w:p w14:paraId="203FD4E2"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655</w:t>
            </w:r>
          </w:p>
        </w:tc>
        <w:tc>
          <w:tcPr>
            <w:tcW w:w="1635" w:type="dxa"/>
            <w:vAlign w:val="center"/>
          </w:tcPr>
          <w:p w14:paraId="4BD6A204" w14:textId="77777777" w:rsidR="00D557E3" w:rsidRDefault="00D557E3" w:rsidP="00826CB8">
            <w:pPr>
              <w:snapToGrid w:val="0"/>
              <w:spacing w:beforeLines="50" w:before="120" w:line="480" w:lineRule="auto"/>
              <w:ind w:right="28"/>
              <w:rPr>
                <w:sz w:val="20"/>
                <w:lang w:val="en-GB" w:eastAsia="zh-CN"/>
              </w:rPr>
            </w:pPr>
            <w:r>
              <w:rPr>
                <w:rFonts w:hint="eastAsia"/>
                <w:sz w:val="20"/>
                <w:lang w:val="en-GB" w:eastAsia="zh-CN"/>
              </w:rPr>
              <w:t>41</w:t>
            </w:r>
          </w:p>
        </w:tc>
      </w:tr>
    </w:tbl>
    <w:p w14:paraId="774D052C" w14:textId="77777777" w:rsidR="00664BF1" w:rsidRDefault="00664BF1"/>
    <w:p w14:paraId="412A832E" w14:textId="77777777" w:rsidR="00D557E3" w:rsidRDefault="00D557E3"/>
    <w:p w14:paraId="2B4620A0" w14:textId="131A3BA7" w:rsidR="00D557E3" w:rsidRPr="00D557E3" w:rsidRDefault="00D557E3">
      <w:pPr>
        <w:rPr>
          <w:b/>
          <w:bCs/>
          <w:lang w:eastAsia="zh-CN"/>
        </w:rPr>
      </w:pPr>
      <w:r w:rsidRPr="00D557E3">
        <w:rPr>
          <w:rFonts w:hint="eastAsia"/>
          <w:b/>
          <w:bCs/>
          <w:lang w:eastAsia="zh-CN"/>
        </w:rPr>
        <w:t>References</w:t>
      </w:r>
    </w:p>
    <w:p w14:paraId="19FC6419" w14:textId="3ABA8549" w:rsidR="006A1A14" w:rsidRPr="006A1A14" w:rsidRDefault="006A1A14" w:rsidP="006A1A14">
      <w:pPr>
        <w:autoSpaceDE w:val="0"/>
        <w:autoSpaceDN w:val="0"/>
        <w:adjustRightInd w:val="0"/>
        <w:ind w:left="640" w:hanging="640"/>
        <w:jc w:val="both"/>
        <w:rPr>
          <w:noProof/>
        </w:rPr>
      </w:pPr>
      <w:r>
        <w:rPr>
          <w:lang w:eastAsia="zh-CN"/>
        </w:rPr>
        <w:fldChar w:fldCharType="begin" w:fldLock="1"/>
      </w:r>
      <w:r>
        <w:rPr>
          <w:lang w:eastAsia="zh-CN"/>
        </w:rPr>
        <w:instrText xml:space="preserve">ADDIN Mendeley Bibliography CSL_BIBLIOGRAPHY </w:instrText>
      </w:r>
      <w:r>
        <w:rPr>
          <w:lang w:eastAsia="zh-CN"/>
        </w:rPr>
        <w:fldChar w:fldCharType="separate"/>
      </w:r>
      <w:r w:rsidRPr="006A1A14">
        <w:rPr>
          <w:noProof/>
        </w:rPr>
        <w:t>[1]</w:t>
      </w:r>
      <w:r w:rsidRPr="006A1A14">
        <w:rPr>
          <w:noProof/>
        </w:rPr>
        <w:tab/>
        <w:t>Chen X, Zhou Z, Li P, Zhou D, Wang J. Effects of sample orientation on pyrolysis and piloted ignition of wood. J Fire Sci 2014;32:483–97. https://doi.org/10.1177/0734904114534612.</w:t>
      </w:r>
    </w:p>
    <w:p w14:paraId="0298E20F" w14:textId="77777777" w:rsidR="006A1A14" w:rsidRPr="006A1A14" w:rsidRDefault="006A1A14" w:rsidP="006A1A14">
      <w:pPr>
        <w:autoSpaceDE w:val="0"/>
        <w:autoSpaceDN w:val="0"/>
        <w:adjustRightInd w:val="0"/>
        <w:ind w:left="640" w:hanging="640"/>
        <w:jc w:val="both"/>
        <w:rPr>
          <w:noProof/>
        </w:rPr>
      </w:pPr>
      <w:r w:rsidRPr="006A1A14">
        <w:rPr>
          <w:noProof/>
        </w:rPr>
        <w:t>[2]</w:t>
      </w:r>
      <w:r w:rsidRPr="006A1A14">
        <w:rPr>
          <w:noProof/>
        </w:rPr>
        <w:tab/>
        <w:t>Seo HJ, Park JE, Son DW. Combustion and thermal characteristics of Korean wood species. BioResources 2016;11:7537–50. https://doi.org/10.15376/biores.11.3.7537-7550.</w:t>
      </w:r>
    </w:p>
    <w:p w14:paraId="3E251E29" w14:textId="77777777" w:rsidR="006A1A14" w:rsidRPr="006A1A14" w:rsidRDefault="006A1A14" w:rsidP="006A1A14">
      <w:pPr>
        <w:autoSpaceDE w:val="0"/>
        <w:autoSpaceDN w:val="0"/>
        <w:adjustRightInd w:val="0"/>
        <w:ind w:left="640" w:hanging="640"/>
        <w:jc w:val="both"/>
        <w:rPr>
          <w:noProof/>
        </w:rPr>
      </w:pPr>
      <w:r w:rsidRPr="006A1A14">
        <w:rPr>
          <w:noProof/>
        </w:rPr>
        <w:t>[3]</w:t>
      </w:r>
      <w:r w:rsidRPr="006A1A14">
        <w:rPr>
          <w:noProof/>
        </w:rPr>
        <w:tab/>
        <w:t>Grexa O, Horvathova E, Osvald A. Cone Calorimeter Studies of Wood Species. Int Symp Fire Technol 1997:77–84.</w:t>
      </w:r>
    </w:p>
    <w:p w14:paraId="3102D407" w14:textId="77777777" w:rsidR="006A1A14" w:rsidRPr="006A1A14" w:rsidRDefault="006A1A14" w:rsidP="006A1A14">
      <w:pPr>
        <w:autoSpaceDE w:val="0"/>
        <w:autoSpaceDN w:val="0"/>
        <w:adjustRightInd w:val="0"/>
        <w:ind w:left="640" w:hanging="640"/>
        <w:jc w:val="both"/>
        <w:rPr>
          <w:noProof/>
        </w:rPr>
      </w:pPr>
      <w:r w:rsidRPr="006A1A14">
        <w:rPr>
          <w:noProof/>
        </w:rPr>
        <w:t>[4]</w:t>
      </w:r>
      <w:r w:rsidRPr="006A1A14">
        <w:rPr>
          <w:noProof/>
        </w:rPr>
        <w:tab/>
        <w:t>Martinka J, Chrebet T, Král J, Balog K. An examination of the behaviour of thermally treated spruce wood under fire conditions. Wood Res 2013;58:599–606.</w:t>
      </w:r>
    </w:p>
    <w:p w14:paraId="548CE5CF" w14:textId="77777777" w:rsidR="006A1A14" w:rsidRPr="006A1A14" w:rsidRDefault="006A1A14" w:rsidP="006A1A14">
      <w:pPr>
        <w:autoSpaceDE w:val="0"/>
        <w:autoSpaceDN w:val="0"/>
        <w:adjustRightInd w:val="0"/>
        <w:ind w:left="640" w:hanging="640"/>
        <w:jc w:val="both"/>
        <w:rPr>
          <w:noProof/>
        </w:rPr>
      </w:pPr>
      <w:r w:rsidRPr="006A1A14">
        <w:rPr>
          <w:noProof/>
        </w:rPr>
        <w:t>[5]</w:t>
      </w:r>
      <w:r w:rsidRPr="006A1A14">
        <w:rPr>
          <w:noProof/>
        </w:rPr>
        <w:tab/>
        <w:t>Rocha M, Landesmann A. Combustion properties of Brazilian natural wood species Monique. Fire Mater 2016;40:219–28. https://doi.org/10.1002/fam.2281.</w:t>
      </w:r>
    </w:p>
    <w:p w14:paraId="3C592B2A" w14:textId="77777777" w:rsidR="006A1A14" w:rsidRPr="006A1A14" w:rsidRDefault="006A1A14" w:rsidP="006A1A14">
      <w:pPr>
        <w:autoSpaceDE w:val="0"/>
        <w:autoSpaceDN w:val="0"/>
        <w:adjustRightInd w:val="0"/>
        <w:ind w:left="640" w:hanging="640"/>
        <w:jc w:val="both"/>
        <w:rPr>
          <w:noProof/>
        </w:rPr>
      </w:pPr>
      <w:r w:rsidRPr="006A1A14">
        <w:rPr>
          <w:noProof/>
        </w:rPr>
        <w:t>[6]</w:t>
      </w:r>
      <w:r w:rsidRPr="006A1A14">
        <w:rPr>
          <w:noProof/>
        </w:rPr>
        <w:tab/>
        <w:t>Hao H, Chow CL, Lau D. Effect of heat flux on combustion of different wood species. Fuel 2020;278. https://doi.org/10.1016/j.fuel.2020.118325.</w:t>
      </w:r>
    </w:p>
    <w:p w14:paraId="43D9B27D" w14:textId="77777777" w:rsidR="006A1A14" w:rsidRPr="006A1A14" w:rsidRDefault="006A1A14" w:rsidP="006A1A14">
      <w:pPr>
        <w:autoSpaceDE w:val="0"/>
        <w:autoSpaceDN w:val="0"/>
        <w:adjustRightInd w:val="0"/>
        <w:ind w:left="640" w:hanging="640"/>
        <w:jc w:val="both"/>
        <w:rPr>
          <w:noProof/>
        </w:rPr>
      </w:pPr>
      <w:r w:rsidRPr="006A1A14">
        <w:rPr>
          <w:noProof/>
        </w:rPr>
        <w:t>[7]</w:t>
      </w:r>
      <w:r w:rsidRPr="006A1A14">
        <w:rPr>
          <w:noProof/>
        </w:rPr>
        <w:tab/>
        <w:t>Öhrn O. Time to ignition for wood covered with ZnO. Luleå University of Technology, 2023.</w:t>
      </w:r>
    </w:p>
    <w:p w14:paraId="11A14326" w14:textId="77777777" w:rsidR="006A1A14" w:rsidRPr="006A1A14" w:rsidRDefault="006A1A14" w:rsidP="006A1A14">
      <w:pPr>
        <w:autoSpaceDE w:val="0"/>
        <w:autoSpaceDN w:val="0"/>
        <w:adjustRightInd w:val="0"/>
        <w:ind w:left="640" w:hanging="640"/>
        <w:jc w:val="both"/>
        <w:rPr>
          <w:noProof/>
        </w:rPr>
      </w:pPr>
      <w:r w:rsidRPr="006A1A14">
        <w:rPr>
          <w:noProof/>
        </w:rPr>
        <w:t>[8]</w:t>
      </w:r>
      <w:r w:rsidRPr="006A1A14">
        <w:rPr>
          <w:noProof/>
        </w:rPr>
        <w:tab/>
        <w:t>Öhrn O, Sykam K, Gawusu S, Mensah RA, Försth M, Shanmugam V, et al. Surface coated ZnO powder as flame retardant for wood: A short communication. Sci Total Environ 2023;897:1–7. https://doi.org/10.1016/j.scitotenv.2023.165290.</w:t>
      </w:r>
    </w:p>
    <w:p w14:paraId="7299C532" w14:textId="77777777" w:rsidR="006A1A14" w:rsidRPr="006A1A14" w:rsidRDefault="006A1A14" w:rsidP="006A1A14">
      <w:pPr>
        <w:autoSpaceDE w:val="0"/>
        <w:autoSpaceDN w:val="0"/>
        <w:adjustRightInd w:val="0"/>
        <w:ind w:left="640" w:hanging="640"/>
        <w:jc w:val="both"/>
        <w:rPr>
          <w:noProof/>
        </w:rPr>
      </w:pPr>
      <w:r w:rsidRPr="006A1A14">
        <w:rPr>
          <w:noProof/>
        </w:rPr>
        <w:t>[9]</w:t>
      </w:r>
      <w:r w:rsidRPr="006A1A14">
        <w:rPr>
          <w:noProof/>
        </w:rPr>
        <w:tab/>
        <w:t>Liu H, Li M, Jiang L, Xu Q. Experimental and theoretical study on ignition and combustion characteristics of aging woods by cone calorimetry. J Therm Anal Calorim 2023;148:10573–82. https://doi.org/10.1007/s10973-023-12311-0.</w:t>
      </w:r>
    </w:p>
    <w:p w14:paraId="102EF871" w14:textId="77777777" w:rsidR="006A1A14" w:rsidRPr="006A1A14" w:rsidRDefault="006A1A14" w:rsidP="006A1A14">
      <w:pPr>
        <w:autoSpaceDE w:val="0"/>
        <w:autoSpaceDN w:val="0"/>
        <w:adjustRightInd w:val="0"/>
        <w:ind w:left="640" w:hanging="640"/>
        <w:jc w:val="both"/>
        <w:rPr>
          <w:noProof/>
        </w:rPr>
      </w:pPr>
      <w:r w:rsidRPr="006A1A14">
        <w:rPr>
          <w:noProof/>
        </w:rPr>
        <w:t>[10]</w:t>
      </w:r>
      <w:r w:rsidRPr="006A1A14">
        <w:rPr>
          <w:noProof/>
        </w:rPr>
        <w:tab/>
        <w:t>Hedayati F, Yang W, Zhou A. Effects of moisture content and heating condition on pyrolysis and combustion properties of structural fuels. Fire Mater 2018;42:741–9. https://doi.org/10.1002/fam.2528.</w:t>
      </w:r>
    </w:p>
    <w:p w14:paraId="74FDC277" w14:textId="77777777" w:rsidR="006A1A14" w:rsidRPr="006A1A14" w:rsidRDefault="006A1A14" w:rsidP="006A1A14">
      <w:pPr>
        <w:autoSpaceDE w:val="0"/>
        <w:autoSpaceDN w:val="0"/>
        <w:adjustRightInd w:val="0"/>
        <w:ind w:left="640" w:hanging="640"/>
        <w:jc w:val="both"/>
        <w:rPr>
          <w:noProof/>
        </w:rPr>
      </w:pPr>
      <w:r w:rsidRPr="006A1A14">
        <w:rPr>
          <w:noProof/>
        </w:rPr>
        <w:t>[11]</w:t>
      </w:r>
      <w:r w:rsidRPr="006A1A14">
        <w:rPr>
          <w:noProof/>
        </w:rPr>
        <w:tab/>
        <w:t>Nguyen TT, Nguyen TVK, Xiao Z, Wang F, Zheng Z, Che W, et al. Combustion behavior of poplar (Populus adenopoda Maxim.) and radiata pine (Pinus radiata Don.) treated with a combination of styrene-acrylic copolymer and sodium silicate. Eur J Wood Wood Prod 2019;77:439–52. https://doi.org/10.1007/s00107-019-01401-2.</w:t>
      </w:r>
    </w:p>
    <w:p w14:paraId="461A5102" w14:textId="77777777" w:rsidR="006A1A14" w:rsidRPr="006A1A14" w:rsidRDefault="006A1A14" w:rsidP="006A1A14">
      <w:pPr>
        <w:autoSpaceDE w:val="0"/>
        <w:autoSpaceDN w:val="0"/>
        <w:adjustRightInd w:val="0"/>
        <w:ind w:left="640" w:hanging="640"/>
        <w:jc w:val="both"/>
        <w:rPr>
          <w:noProof/>
        </w:rPr>
      </w:pPr>
      <w:r w:rsidRPr="006A1A14">
        <w:rPr>
          <w:noProof/>
        </w:rPr>
        <w:t>[12]</w:t>
      </w:r>
      <w:r w:rsidRPr="006A1A14">
        <w:rPr>
          <w:noProof/>
        </w:rPr>
        <w:tab/>
        <w:t>Batiot B, Luche J, Rogaume T. Thermal and chemical analysis of flammability and combustibility of fir wood in cone calorimeter coupled to FTIR apparatus. Fire Mater 2014;38:418–31. https://doi.org/10.1002/fam.2192.</w:t>
      </w:r>
    </w:p>
    <w:p w14:paraId="7AA28447" w14:textId="77777777" w:rsidR="006A1A14" w:rsidRPr="006A1A14" w:rsidRDefault="006A1A14" w:rsidP="006A1A14">
      <w:pPr>
        <w:autoSpaceDE w:val="0"/>
        <w:autoSpaceDN w:val="0"/>
        <w:adjustRightInd w:val="0"/>
        <w:ind w:left="640" w:hanging="640"/>
        <w:jc w:val="both"/>
        <w:rPr>
          <w:noProof/>
        </w:rPr>
      </w:pPr>
      <w:r w:rsidRPr="006A1A14">
        <w:rPr>
          <w:noProof/>
        </w:rPr>
        <w:t>[13]</w:t>
      </w:r>
      <w:r w:rsidRPr="006A1A14">
        <w:rPr>
          <w:noProof/>
        </w:rPr>
        <w:tab/>
        <w:t>Jin E, Chung YJ. Fire risk assessment of cypress wood coated with metal oxide and metal silicate flame retardant using cone calorimeter. J Fire Sci 2020;38:504–21. https://doi.org/10.1177/0734904120948215.</w:t>
      </w:r>
    </w:p>
    <w:p w14:paraId="47B98DBB" w14:textId="77777777" w:rsidR="006A1A14" w:rsidRPr="006A1A14" w:rsidRDefault="006A1A14" w:rsidP="006A1A14">
      <w:pPr>
        <w:autoSpaceDE w:val="0"/>
        <w:autoSpaceDN w:val="0"/>
        <w:adjustRightInd w:val="0"/>
        <w:ind w:left="640" w:hanging="640"/>
        <w:jc w:val="both"/>
        <w:rPr>
          <w:noProof/>
        </w:rPr>
      </w:pPr>
      <w:r w:rsidRPr="006A1A14">
        <w:rPr>
          <w:noProof/>
        </w:rPr>
        <w:t>[14]</w:t>
      </w:r>
      <w:r w:rsidRPr="006A1A14">
        <w:rPr>
          <w:noProof/>
        </w:rPr>
        <w:tab/>
        <w:t>Xu Q, Chen L, Harries KA, Zhang F, Liu Q, Feng J. Combustion and charring properties of five common constructional wood species from cone calorimeter tests. Constr Build Mater 2015;96:416–27. https://doi.org/10.1016/j.conbuildmat.2015.08.062.</w:t>
      </w:r>
    </w:p>
    <w:p w14:paraId="347F152D" w14:textId="77777777" w:rsidR="006A1A14" w:rsidRPr="006A1A14" w:rsidRDefault="006A1A14" w:rsidP="006A1A14">
      <w:pPr>
        <w:autoSpaceDE w:val="0"/>
        <w:autoSpaceDN w:val="0"/>
        <w:adjustRightInd w:val="0"/>
        <w:ind w:left="640" w:hanging="640"/>
        <w:jc w:val="both"/>
        <w:rPr>
          <w:noProof/>
        </w:rPr>
      </w:pPr>
      <w:r w:rsidRPr="006A1A14">
        <w:rPr>
          <w:noProof/>
        </w:rPr>
        <w:t>[15]</w:t>
      </w:r>
      <w:r w:rsidRPr="006A1A14">
        <w:rPr>
          <w:noProof/>
        </w:rPr>
        <w:tab/>
        <w:t>Mindykowski P, Jørgensen M, Svensson S, Jomaas G. A simple correlation for monitoring the ignition propensity of wet nordic spruce wood. Fire Saf J 2019;107:186–92. https://doi.org/10.1016/j.firesaf.2018.08.001.</w:t>
      </w:r>
    </w:p>
    <w:p w14:paraId="0A5C3BD0" w14:textId="77777777" w:rsidR="006A1A14" w:rsidRPr="006A1A14" w:rsidRDefault="006A1A14" w:rsidP="006A1A14">
      <w:pPr>
        <w:autoSpaceDE w:val="0"/>
        <w:autoSpaceDN w:val="0"/>
        <w:adjustRightInd w:val="0"/>
        <w:ind w:left="640" w:hanging="640"/>
        <w:jc w:val="both"/>
        <w:rPr>
          <w:noProof/>
        </w:rPr>
      </w:pPr>
      <w:r w:rsidRPr="006A1A14">
        <w:rPr>
          <w:noProof/>
        </w:rPr>
        <w:t>[16]</w:t>
      </w:r>
      <w:r w:rsidRPr="006A1A14">
        <w:rPr>
          <w:noProof/>
        </w:rPr>
        <w:tab/>
        <w:t>Haurie L, Giraldo MP, Lacasta AM, Montón J, Sonnier R. Influence of different parameters in the fire behaviour of seven hardwood species. Fire Saf J 2019;107:193–201. https://doi.org/10.1016/j.firesaf.2018.08.002.</w:t>
      </w:r>
    </w:p>
    <w:p w14:paraId="0F6F5396" w14:textId="77777777" w:rsidR="006A1A14" w:rsidRPr="006A1A14" w:rsidRDefault="006A1A14" w:rsidP="006A1A14">
      <w:pPr>
        <w:autoSpaceDE w:val="0"/>
        <w:autoSpaceDN w:val="0"/>
        <w:adjustRightInd w:val="0"/>
        <w:ind w:left="640" w:hanging="640"/>
        <w:jc w:val="both"/>
        <w:rPr>
          <w:noProof/>
        </w:rPr>
      </w:pPr>
      <w:r w:rsidRPr="006A1A14">
        <w:rPr>
          <w:noProof/>
        </w:rPr>
        <w:t>[17]</w:t>
      </w:r>
      <w:r w:rsidRPr="006A1A14">
        <w:rPr>
          <w:noProof/>
        </w:rPr>
        <w:tab/>
        <w:t>Martinka J, Hroncová E, Kačíková D, Rantuch P, Balog K, Ladomerský J. Ignition parameters of poplar wood. Acta Fac Xylologiae Zvolen 2017;59:85–95. https://doi.org/10.17423/afx.2017.59.1.08.</w:t>
      </w:r>
    </w:p>
    <w:p w14:paraId="3CE65DBC" w14:textId="77777777" w:rsidR="006A1A14" w:rsidRPr="006A1A14" w:rsidRDefault="006A1A14" w:rsidP="006A1A14">
      <w:pPr>
        <w:autoSpaceDE w:val="0"/>
        <w:autoSpaceDN w:val="0"/>
        <w:adjustRightInd w:val="0"/>
        <w:ind w:left="640" w:hanging="640"/>
        <w:jc w:val="both"/>
        <w:rPr>
          <w:noProof/>
        </w:rPr>
      </w:pPr>
      <w:r w:rsidRPr="006A1A14">
        <w:rPr>
          <w:noProof/>
        </w:rPr>
        <w:t>[18]</w:t>
      </w:r>
      <w:r w:rsidRPr="006A1A14">
        <w:rPr>
          <w:noProof/>
        </w:rPr>
        <w:tab/>
        <w:t>Moghtaderi B, Novozhilov V, Fletcher DF, Kent JH. A New Correlation for Bench-scale Piloted Ignition Data of Wood. Fire Saf J 1997;29:41–59. https://doi.org/10.1016/S0379-7112(97)00004-0.</w:t>
      </w:r>
    </w:p>
    <w:p w14:paraId="6CA6D0A2" w14:textId="77777777" w:rsidR="006A1A14" w:rsidRPr="006A1A14" w:rsidRDefault="006A1A14" w:rsidP="006A1A14">
      <w:pPr>
        <w:autoSpaceDE w:val="0"/>
        <w:autoSpaceDN w:val="0"/>
        <w:adjustRightInd w:val="0"/>
        <w:ind w:left="640" w:hanging="640"/>
        <w:jc w:val="both"/>
        <w:rPr>
          <w:noProof/>
        </w:rPr>
      </w:pPr>
      <w:r w:rsidRPr="006A1A14">
        <w:rPr>
          <w:noProof/>
        </w:rPr>
        <w:lastRenderedPageBreak/>
        <w:t>[19]</w:t>
      </w:r>
      <w:r w:rsidRPr="006A1A14">
        <w:rPr>
          <w:noProof/>
        </w:rPr>
        <w:tab/>
        <w:t>Hagen M, Hereid J, Delichatsios MA, Zhang J, Bakirtzis D. Flammability assessment of fire-retarded Nordic Spruce wood using thermogravimetric analyses and cone calorimetry. Fire Saf J 2009;44:1053–66. https://doi.org/10.1016/j.firesaf.2009.07.004.</w:t>
      </w:r>
    </w:p>
    <w:p w14:paraId="569EC0CD" w14:textId="77777777" w:rsidR="006A1A14" w:rsidRPr="006A1A14" w:rsidRDefault="006A1A14" w:rsidP="006A1A14">
      <w:pPr>
        <w:autoSpaceDE w:val="0"/>
        <w:autoSpaceDN w:val="0"/>
        <w:adjustRightInd w:val="0"/>
        <w:ind w:left="640" w:hanging="640"/>
        <w:jc w:val="both"/>
        <w:rPr>
          <w:noProof/>
        </w:rPr>
      </w:pPr>
      <w:r w:rsidRPr="006A1A14">
        <w:rPr>
          <w:noProof/>
        </w:rPr>
        <w:t>[20]</w:t>
      </w:r>
      <w:r w:rsidRPr="006A1A14">
        <w:rPr>
          <w:noProof/>
        </w:rPr>
        <w:tab/>
        <w:t>Jaskółowski W, Ogrodnik P. The study of time to ignition of woods under external heat flux by piloted ignition and autoignition. For Wood Technol 2014;137:133–7.</w:t>
      </w:r>
    </w:p>
    <w:p w14:paraId="23574C52" w14:textId="77777777" w:rsidR="006A1A14" w:rsidRPr="006A1A14" w:rsidRDefault="006A1A14" w:rsidP="006A1A14">
      <w:pPr>
        <w:autoSpaceDE w:val="0"/>
        <w:autoSpaceDN w:val="0"/>
        <w:adjustRightInd w:val="0"/>
        <w:ind w:left="640" w:hanging="640"/>
        <w:jc w:val="both"/>
        <w:rPr>
          <w:noProof/>
        </w:rPr>
      </w:pPr>
      <w:r w:rsidRPr="006A1A14">
        <w:rPr>
          <w:noProof/>
        </w:rPr>
        <w:t>[21]</w:t>
      </w:r>
      <w:r w:rsidRPr="006A1A14">
        <w:rPr>
          <w:noProof/>
        </w:rPr>
        <w:tab/>
        <w:t>Delichatsios M, Paroz B, Bhargava A. Flammability properties for charring materials. Fire Saf J 2003;38:219–28. https://doi.org/10.1016/S0379-7112(02)00080-2.</w:t>
      </w:r>
    </w:p>
    <w:p w14:paraId="6717A314" w14:textId="77777777" w:rsidR="006A1A14" w:rsidRPr="006A1A14" w:rsidRDefault="006A1A14" w:rsidP="006A1A14">
      <w:pPr>
        <w:autoSpaceDE w:val="0"/>
        <w:autoSpaceDN w:val="0"/>
        <w:adjustRightInd w:val="0"/>
        <w:ind w:left="640" w:hanging="640"/>
        <w:jc w:val="both"/>
        <w:rPr>
          <w:noProof/>
        </w:rPr>
      </w:pPr>
      <w:r w:rsidRPr="006A1A14">
        <w:rPr>
          <w:noProof/>
        </w:rPr>
        <w:t>[22]</w:t>
      </w:r>
      <w:r w:rsidRPr="006A1A14">
        <w:rPr>
          <w:noProof/>
        </w:rPr>
        <w:tab/>
        <w:t>Yuan S, Sun X, Wang W, Zhou B, Sun X, Sun J, et al. The Reaction-to-fire Performance of Wood Covered with A Transparent Film: A Potential Method for the Preservation of Chinese Wooden Historical Buildings. Int J Archit Herit 2023;17:1778–90. https://doi.org/10.1080/15583058.2022.2070050.</w:t>
      </w:r>
    </w:p>
    <w:p w14:paraId="10D82670" w14:textId="77777777" w:rsidR="006A1A14" w:rsidRPr="006A1A14" w:rsidRDefault="006A1A14" w:rsidP="006A1A14">
      <w:pPr>
        <w:autoSpaceDE w:val="0"/>
        <w:autoSpaceDN w:val="0"/>
        <w:adjustRightInd w:val="0"/>
        <w:ind w:left="640" w:hanging="640"/>
        <w:jc w:val="both"/>
        <w:rPr>
          <w:noProof/>
        </w:rPr>
      </w:pPr>
      <w:r w:rsidRPr="006A1A14">
        <w:rPr>
          <w:noProof/>
        </w:rPr>
        <w:t>[23]</w:t>
      </w:r>
      <w:r w:rsidRPr="006A1A14">
        <w:rPr>
          <w:noProof/>
        </w:rPr>
        <w:tab/>
        <w:t>Delichatsios MA. Piloted ignition times, critical heat fluxes and mass loss rates at reduced oxygen atmospheres. Fire Saf J 2005;40:197–212. https://doi.org/10.1016/j.firesaf.2004.11.005.</w:t>
      </w:r>
    </w:p>
    <w:p w14:paraId="4F4746F1" w14:textId="77777777" w:rsidR="006A1A14" w:rsidRPr="006A1A14" w:rsidRDefault="006A1A14" w:rsidP="006A1A14">
      <w:pPr>
        <w:autoSpaceDE w:val="0"/>
        <w:autoSpaceDN w:val="0"/>
        <w:adjustRightInd w:val="0"/>
        <w:ind w:left="640" w:hanging="640"/>
        <w:jc w:val="both"/>
        <w:rPr>
          <w:noProof/>
        </w:rPr>
      </w:pPr>
      <w:r w:rsidRPr="006A1A14">
        <w:rPr>
          <w:noProof/>
        </w:rPr>
        <w:t>[24]</w:t>
      </w:r>
      <w:r w:rsidRPr="006A1A14">
        <w:rPr>
          <w:noProof/>
        </w:rPr>
        <w:tab/>
        <w:t>Grześkowiak W. Effectiveness of new wood fire retardants using a cone calorimeter. J Fire Sci 2017;35:565–76. https://doi.org/10.1177/0734904117737464.</w:t>
      </w:r>
    </w:p>
    <w:p w14:paraId="7C79647D" w14:textId="77777777" w:rsidR="006A1A14" w:rsidRPr="006A1A14" w:rsidRDefault="006A1A14" w:rsidP="006A1A14">
      <w:pPr>
        <w:autoSpaceDE w:val="0"/>
        <w:autoSpaceDN w:val="0"/>
        <w:adjustRightInd w:val="0"/>
        <w:ind w:left="640" w:hanging="640"/>
        <w:jc w:val="both"/>
        <w:rPr>
          <w:noProof/>
        </w:rPr>
      </w:pPr>
      <w:r w:rsidRPr="006A1A14">
        <w:rPr>
          <w:noProof/>
        </w:rPr>
        <w:t>[25]</w:t>
      </w:r>
      <w:r w:rsidRPr="006A1A14">
        <w:rPr>
          <w:noProof/>
        </w:rPr>
        <w:tab/>
        <w:t>Tran HC, White RH. Burning rate of solid wood measured in a heat release rate calorimeter. Fire Mater 1992;16:197–206. https://doi.org/10.1002/fam.810160406.</w:t>
      </w:r>
    </w:p>
    <w:p w14:paraId="5811008D" w14:textId="77777777" w:rsidR="006A1A14" w:rsidRPr="006A1A14" w:rsidRDefault="006A1A14" w:rsidP="006A1A14">
      <w:pPr>
        <w:autoSpaceDE w:val="0"/>
        <w:autoSpaceDN w:val="0"/>
        <w:adjustRightInd w:val="0"/>
        <w:ind w:left="640" w:hanging="640"/>
        <w:jc w:val="both"/>
        <w:rPr>
          <w:noProof/>
        </w:rPr>
      </w:pPr>
      <w:r w:rsidRPr="006A1A14">
        <w:rPr>
          <w:noProof/>
        </w:rPr>
        <w:t>[26]</w:t>
      </w:r>
      <w:r w:rsidRPr="006A1A14">
        <w:rPr>
          <w:noProof/>
        </w:rPr>
        <w:tab/>
        <w:t>Harada T. Time to Ignition , Heat Release Rate and Fire Endurance Time of Wood in Cone Calorimeter Test. Fire Mater 2002;25:161–7. https://doi.org/10.1002/fam.766.</w:t>
      </w:r>
    </w:p>
    <w:p w14:paraId="1F4F05DB" w14:textId="77777777" w:rsidR="006A1A14" w:rsidRPr="006A1A14" w:rsidRDefault="006A1A14" w:rsidP="006A1A14">
      <w:pPr>
        <w:autoSpaceDE w:val="0"/>
        <w:autoSpaceDN w:val="0"/>
        <w:adjustRightInd w:val="0"/>
        <w:ind w:left="640" w:hanging="640"/>
        <w:jc w:val="both"/>
        <w:rPr>
          <w:noProof/>
        </w:rPr>
      </w:pPr>
      <w:r w:rsidRPr="006A1A14">
        <w:rPr>
          <w:noProof/>
        </w:rPr>
        <w:t>[27]</w:t>
      </w:r>
      <w:r w:rsidRPr="006A1A14">
        <w:rPr>
          <w:noProof/>
        </w:rPr>
        <w:tab/>
        <w:t>Spearpoint MJ, Quintiere JG. Predicting the piloted ignition of wood in the cone calorimeter using an integral model — effect of species, grain orientation and heat flux. Fire Saf J 2001;36:391–415. https://doi.org/doi.org/10.1016/S0379-7112(00)00055-2.</w:t>
      </w:r>
    </w:p>
    <w:p w14:paraId="35A053DD" w14:textId="77777777" w:rsidR="006A1A14" w:rsidRPr="006A1A14" w:rsidRDefault="006A1A14" w:rsidP="006A1A14">
      <w:pPr>
        <w:autoSpaceDE w:val="0"/>
        <w:autoSpaceDN w:val="0"/>
        <w:adjustRightInd w:val="0"/>
        <w:ind w:left="640" w:hanging="640"/>
        <w:jc w:val="both"/>
        <w:rPr>
          <w:noProof/>
        </w:rPr>
      </w:pPr>
      <w:r w:rsidRPr="006A1A14">
        <w:rPr>
          <w:noProof/>
        </w:rPr>
        <w:t>[28]</w:t>
      </w:r>
      <w:r w:rsidRPr="006A1A14">
        <w:rPr>
          <w:noProof/>
        </w:rPr>
        <w:tab/>
        <w:t>Shen D, Xiao R, Fang M, Chow W. Thermal-balanced integral model for pyrolysis and ignition of wood. Korean J Chem Eng 2013;30:228–34. https://doi.org/10.1007/s11814-012-0098-9.</w:t>
      </w:r>
    </w:p>
    <w:p w14:paraId="62BE0CB1" w14:textId="77777777" w:rsidR="006A1A14" w:rsidRPr="006A1A14" w:rsidRDefault="006A1A14" w:rsidP="006A1A14">
      <w:pPr>
        <w:autoSpaceDE w:val="0"/>
        <w:autoSpaceDN w:val="0"/>
        <w:adjustRightInd w:val="0"/>
        <w:ind w:left="640" w:hanging="640"/>
        <w:jc w:val="both"/>
        <w:rPr>
          <w:noProof/>
        </w:rPr>
      </w:pPr>
      <w:r w:rsidRPr="006A1A14">
        <w:rPr>
          <w:noProof/>
        </w:rPr>
        <w:t>[29]</w:t>
      </w:r>
      <w:r w:rsidRPr="006A1A14">
        <w:rPr>
          <w:noProof/>
        </w:rPr>
        <w:tab/>
        <w:t>Park J-S, Lee J-J. Ignition and Heat Release Rate of Wood-based Materials in Cone Calorimeter Tests. Mokchae Konghak 2008;36:1–8.</w:t>
      </w:r>
    </w:p>
    <w:p w14:paraId="2FF9C01D" w14:textId="77777777" w:rsidR="006A1A14" w:rsidRPr="006A1A14" w:rsidRDefault="006A1A14" w:rsidP="006A1A14">
      <w:pPr>
        <w:autoSpaceDE w:val="0"/>
        <w:autoSpaceDN w:val="0"/>
        <w:adjustRightInd w:val="0"/>
        <w:ind w:left="640" w:hanging="640"/>
        <w:jc w:val="both"/>
        <w:rPr>
          <w:noProof/>
        </w:rPr>
      </w:pPr>
      <w:r w:rsidRPr="006A1A14">
        <w:rPr>
          <w:noProof/>
        </w:rPr>
        <w:t>[30]</w:t>
      </w:r>
      <w:r w:rsidRPr="006A1A14">
        <w:rPr>
          <w:noProof/>
        </w:rPr>
        <w:tab/>
        <w:t>Lin S, Qin Y, Huang X, Gollner MJ. Use of Pre-Charred Surfaces to Improve Fire Performance of Wood. Fire Saf J 2023;136:103745. https://doi.org/10.1016/j.firesaf.2023.103745.</w:t>
      </w:r>
    </w:p>
    <w:p w14:paraId="1B4BDBE6" w14:textId="77777777" w:rsidR="006A1A14" w:rsidRPr="006A1A14" w:rsidRDefault="006A1A14" w:rsidP="006A1A14">
      <w:pPr>
        <w:autoSpaceDE w:val="0"/>
        <w:autoSpaceDN w:val="0"/>
        <w:adjustRightInd w:val="0"/>
        <w:ind w:left="640" w:hanging="640"/>
        <w:jc w:val="both"/>
        <w:rPr>
          <w:noProof/>
        </w:rPr>
      </w:pPr>
      <w:r w:rsidRPr="006A1A14">
        <w:rPr>
          <w:noProof/>
        </w:rPr>
        <w:t>[31]</w:t>
      </w:r>
      <w:r w:rsidRPr="006A1A14">
        <w:rPr>
          <w:noProof/>
        </w:rPr>
        <w:tab/>
        <w:t>Jin YCE. Prediction of Fire Risk Ratings of Wood Species for Fire Prevention Design 2022;36:64–73.</w:t>
      </w:r>
    </w:p>
    <w:p w14:paraId="7350C4B2" w14:textId="1BB5FAA6" w:rsidR="00D557E3" w:rsidRDefault="006A1A14" w:rsidP="006A1A14">
      <w:pPr>
        <w:jc w:val="both"/>
        <w:rPr>
          <w:rFonts w:hint="eastAsia"/>
          <w:lang w:eastAsia="zh-CN"/>
        </w:rPr>
      </w:pPr>
      <w:r>
        <w:rPr>
          <w:lang w:eastAsia="zh-CN"/>
        </w:rPr>
        <w:fldChar w:fldCharType="end"/>
      </w:r>
    </w:p>
    <w:sectPr w:rsidR="00D557E3" w:rsidSect="00D557E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仿宋">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A1EBE"/>
    <w:multiLevelType w:val="hybridMultilevel"/>
    <w:tmpl w:val="4C4A45E6"/>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3615593"/>
    <w:multiLevelType w:val="multilevel"/>
    <w:tmpl w:val="4E8A5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814CA6"/>
    <w:multiLevelType w:val="multilevel"/>
    <w:tmpl w:val="92D0DCE4"/>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 w15:restartNumberingAfterBreak="0">
    <w:nsid w:val="1A97458B"/>
    <w:multiLevelType w:val="multilevel"/>
    <w:tmpl w:val="39748E3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1E1D6DDD"/>
    <w:multiLevelType w:val="hybridMultilevel"/>
    <w:tmpl w:val="258E10F8"/>
    <w:lvl w:ilvl="0" w:tplc="5E02EF00">
      <w:start w:val="1"/>
      <w:numFmt w:val="decimal"/>
      <w:lvlText w:val="%1."/>
      <w:lvlJc w:val="left"/>
      <w:pPr>
        <w:ind w:left="1020" w:hanging="360"/>
      </w:pPr>
    </w:lvl>
    <w:lvl w:ilvl="1" w:tplc="763EACB2">
      <w:start w:val="1"/>
      <w:numFmt w:val="decimal"/>
      <w:lvlText w:val="%2."/>
      <w:lvlJc w:val="left"/>
      <w:pPr>
        <w:ind w:left="1020" w:hanging="360"/>
      </w:pPr>
    </w:lvl>
    <w:lvl w:ilvl="2" w:tplc="B1629CCE">
      <w:start w:val="1"/>
      <w:numFmt w:val="decimal"/>
      <w:lvlText w:val="%3."/>
      <w:lvlJc w:val="left"/>
      <w:pPr>
        <w:ind w:left="1020" w:hanging="360"/>
      </w:pPr>
    </w:lvl>
    <w:lvl w:ilvl="3" w:tplc="09DC97D8">
      <w:start w:val="1"/>
      <w:numFmt w:val="decimal"/>
      <w:lvlText w:val="%4."/>
      <w:lvlJc w:val="left"/>
      <w:pPr>
        <w:ind w:left="1020" w:hanging="360"/>
      </w:pPr>
    </w:lvl>
    <w:lvl w:ilvl="4" w:tplc="CD1AD90A">
      <w:start w:val="1"/>
      <w:numFmt w:val="decimal"/>
      <w:lvlText w:val="%5."/>
      <w:lvlJc w:val="left"/>
      <w:pPr>
        <w:ind w:left="1020" w:hanging="360"/>
      </w:pPr>
    </w:lvl>
    <w:lvl w:ilvl="5" w:tplc="DDAA7AFE">
      <w:start w:val="1"/>
      <w:numFmt w:val="decimal"/>
      <w:lvlText w:val="%6."/>
      <w:lvlJc w:val="left"/>
      <w:pPr>
        <w:ind w:left="1020" w:hanging="360"/>
      </w:pPr>
    </w:lvl>
    <w:lvl w:ilvl="6" w:tplc="C7F21C64">
      <w:start w:val="1"/>
      <w:numFmt w:val="decimal"/>
      <w:lvlText w:val="%7."/>
      <w:lvlJc w:val="left"/>
      <w:pPr>
        <w:ind w:left="1020" w:hanging="360"/>
      </w:pPr>
    </w:lvl>
    <w:lvl w:ilvl="7" w:tplc="AFE2EA3C">
      <w:start w:val="1"/>
      <w:numFmt w:val="decimal"/>
      <w:lvlText w:val="%8."/>
      <w:lvlJc w:val="left"/>
      <w:pPr>
        <w:ind w:left="1020" w:hanging="360"/>
      </w:pPr>
    </w:lvl>
    <w:lvl w:ilvl="8" w:tplc="B2C496AE">
      <w:start w:val="1"/>
      <w:numFmt w:val="decimal"/>
      <w:lvlText w:val="%9."/>
      <w:lvlJc w:val="left"/>
      <w:pPr>
        <w:ind w:left="1020" w:hanging="360"/>
      </w:pPr>
    </w:lvl>
  </w:abstractNum>
  <w:abstractNum w:abstractNumId="5" w15:restartNumberingAfterBreak="0">
    <w:nsid w:val="2D5B281D"/>
    <w:multiLevelType w:val="hybridMultilevel"/>
    <w:tmpl w:val="44DE7244"/>
    <w:lvl w:ilvl="0" w:tplc="C53AC4B8">
      <w:start w:val="1"/>
      <w:numFmt w:val="decimal"/>
      <w:lvlText w:val="(%1)"/>
      <w:lvlJc w:val="left"/>
      <w:pPr>
        <w:ind w:left="360" w:hanging="360"/>
      </w:pPr>
      <w:rPr>
        <w:rFonts w:hint="eastAsi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1F51503"/>
    <w:multiLevelType w:val="multilevel"/>
    <w:tmpl w:val="98D81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231810"/>
    <w:multiLevelType w:val="hybridMultilevel"/>
    <w:tmpl w:val="CF2A3F1A"/>
    <w:lvl w:ilvl="0" w:tplc="F2A65A1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4C1B6EAD"/>
    <w:multiLevelType w:val="hybridMultilevel"/>
    <w:tmpl w:val="3C58826A"/>
    <w:lvl w:ilvl="0" w:tplc="F38A8F8E">
      <w:numFmt w:val="bullet"/>
      <w:lvlText w:val="•"/>
      <w:lvlJc w:val="left"/>
      <w:pPr>
        <w:ind w:left="360" w:hanging="360"/>
      </w:pPr>
      <w:rPr>
        <w:rFonts w:ascii="宋体" w:eastAsia="宋体" w:hAnsi="宋体" w:cs="Times New Roman" w:hint="eastAsi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5C667E18"/>
    <w:multiLevelType w:val="hybridMultilevel"/>
    <w:tmpl w:val="9FDE8DB0"/>
    <w:lvl w:ilvl="0" w:tplc="F85A395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61BE065F"/>
    <w:multiLevelType w:val="multilevel"/>
    <w:tmpl w:val="520C2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810CCB"/>
    <w:multiLevelType w:val="hybridMultilevel"/>
    <w:tmpl w:val="3F0640AA"/>
    <w:lvl w:ilvl="0" w:tplc="6338D7BE">
      <w:start w:val="2"/>
      <w:numFmt w:val="decimal"/>
      <w:lvlText w:val="(%1)"/>
      <w:lvlJc w:val="left"/>
      <w:pPr>
        <w:ind w:left="720" w:hanging="360"/>
      </w:pPr>
      <w:rPr>
        <w:rFonts w:hint="default"/>
        <w:b/>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2" w15:restartNumberingAfterBreak="0">
    <w:nsid w:val="6B045271"/>
    <w:multiLevelType w:val="multilevel"/>
    <w:tmpl w:val="0E206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FE505FF"/>
    <w:multiLevelType w:val="multilevel"/>
    <w:tmpl w:val="944C8E64"/>
    <w:lvl w:ilvl="0">
      <w:start w:val="1"/>
      <w:numFmt w:val="decimal"/>
      <w:lvlText w:val="%1."/>
      <w:lvlJc w:val="left"/>
      <w:pPr>
        <w:ind w:left="360" w:hanging="360"/>
      </w:pPr>
      <w:rPr>
        <w:rFonts w:eastAsiaTheme="minorEastAsia" w:hint="default"/>
      </w:rPr>
    </w:lvl>
    <w:lvl w:ilvl="1">
      <w:start w:val="1"/>
      <w:numFmt w:val="decimal"/>
      <w:lvlText w:val="%1.%2."/>
      <w:lvlJc w:val="left"/>
      <w:pPr>
        <w:ind w:left="360" w:hanging="360"/>
      </w:pPr>
      <w:rPr>
        <w:rFonts w:eastAsiaTheme="minorEastAsia" w:hint="default"/>
      </w:rPr>
    </w:lvl>
    <w:lvl w:ilvl="2">
      <w:start w:val="1"/>
      <w:numFmt w:val="decimal"/>
      <w:lvlText w:val="%1.%2.%3."/>
      <w:lvlJc w:val="left"/>
      <w:pPr>
        <w:ind w:left="720" w:hanging="720"/>
      </w:pPr>
      <w:rPr>
        <w:rFonts w:eastAsiaTheme="minorEastAsia" w:hint="default"/>
      </w:rPr>
    </w:lvl>
    <w:lvl w:ilvl="3">
      <w:start w:val="1"/>
      <w:numFmt w:val="decimal"/>
      <w:lvlText w:val="%1.%2.%3.%4."/>
      <w:lvlJc w:val="left"/>
      <w:pPr>
        <w:ind w:left="720" w:hanging="720"/>
      </w:pPr>
      <w:rPr>
        <w:rFonts w:eastAsiaTheme="minorEastAsia" w:hint="default"/>
      </w:rPr>
    </w:lvl>
    <w:lvl w:ilvl="4">
      <w:start w:val="1"/>
      <w:numFmt w:val="decimal"/>
      <w:lvlText w:val="%1.%2.%3.%4.%5."/>
      <w:lvlJc w:val="left"/>
      <w:pPr>
        <w:ind w:left="1080" w:hanging="1080"/>
      </w:pPr>
      <w:rPr>
        <w:rFonts w:eastAsiaTheme="minorEastAsia" w:hint="default"/>
      </w:rPr>
    </w:lvl>
    <w:lvl w:ilvl="5">
      <w:start w:val="1"/>
      <w:numFmt w:val="decimal"/>
      <w:lvlText w:val="%1.%2.%3.%4.%5.%6."/>
      <w:lvlJc w:val="left"/>
      <w:pPr>
        <w:ind w:left="1080" w:hanging="1080"/>
      </w:pPr>
      <w:rPr>
        <w:rFonts w:eastAsiaTheme="minorEastAsia" w:hint="default"/>
      </w:rPr>
    </w:lvl>
    <w:lvl w:ilvl="6">
      <w:start w:val="1"/>
      <w:numFmt w:val="decimal"/>
      <w:lvlText w:val="%1.%2.%3.%4.%5.%6.%7."/>
      <w:lvlJc w:val="left"/>
      <w:pPr>
        <w:ind w:left="1440" w:hanging="1440"/>
      </w:pPr>
      <w:rPr>
        <w:rFonts w:eastAsiaTheme="minorEastAsia" w:hint="default"/>
      </w:rPr>
    </w:lvl>
    <w:lvl w:ilvl="7">
      <w:start w:val="1"/>
      <w:numFmt w:val="decimal"/>
      <w:lvlText w:val="%1.%2.%3.%4.%5.%6.%7.%8."/>
      <w:lvlJc w:val="left"/>
      <w:pPr>
        <w:ind w:left="1440" w:hanging="1440"/>
      </w:pPr>
      <w:rPr>
        <w:rFonts w:eastAsiaTheme="minorEastAsia" w:hint="default"/>
      </w:rPr>
    </w:lvl>
    <w:lvl w:ilvl="8">
      <w:start w:val="1"/>
      <w:numFmt w:val="decimal"/>
      <w:lvlText w:val="%1.%2.%3.%4.%5.%6.%7.%8.%9."/>
      <w:lvlJc w:val="left"/>
      <w:pPr>
        <w:ind w:left="1800" w:hanging="1800"/>
      </w:pPr>
      <w:rPr>
        <w:rFonts w:eastAsiaTheme="minorEastAsia" w:hint="default"/>
      </w:rPr>
    </w:lvl>
  </w:abstractNum>
  <w:abstractNum w:abstractNumId="14" w15:restartNumberingAfterBreak="0">
    <w:nsid w:val="71301D62"/>
    <w:multiLevelType w:val="hybridMultilevel"/>
    <w:tmpl w:val="F7F29698"/>
    <w:lvl w:ilvl="0" w:tplc="D056EC84">
      <w:start w:val="1"/>
      <w:numFmt w:val="decimal"/>
      <w:lvlText w:val="（%1）"/>
      <w:lvlJc w:val="left"/>
      <w:pPr>
        <w:ind w:left="720" w:hanging="720"/>
      </w:pPr>
      <w:rPr>
        <w:rFonts w:hint="default"/>
      </w:rPr>
    </w:lvl>
    <w:lvl w:ilvl="1" w:tplc="BCCEAA78">
      <w:start w:val="1"/>
      <w:numFmt w:val="decimalEnclosedCircle"/>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764F042B"/>
    <w:multiLevelType w:val="multilevel"/>
    <w:tmpl w:val="4D24E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7BD6AA5"/>
    <w:multiLevelType w:val="multilevel"/>
    <w:tmpl w:val="2AFC6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5644346">
    <w:abstractNumId w:val="0"/>
  </w:num>
  <w:num w:numId="2" w16cid:durableId="557014891">
    <w:abstractNumId w:val="14"/>
  </w:num>
  <w:num w:numId="3" w16cid:durableId="1610507012">
    <w:abstractNumId w:val="9"/>
  </w:num>
  <w:num w:numId="4" w16cid:durableId="216208888">
    <w:abstractNumId w:val="10"/>
  </w:num>
  <w:num w:numId="5" w16cid:durableId="372314743">
    <w:abstractNumId w:val="1"/>
  </w:num>
  <w:num w:numId="6" w16cid:durableId="1398044473">
    <w:abstractNumId w:val="16"/>
  </w:num>
  <w:num w:numId="7" w16cid:durableId="1889803627">
    <w:abstractNumId w:val="6"/>
  </w:num>
  <w:num w:numId="8" w16cid:durableId="488864985">
    <w:abstractNumId w:val="8"/>
  </w:num>
  <w:num w:numId="9" w16cid:durableId="845245038">
    <w:abstractNumId w:val="5"/>
  </w:num>
  <w:num w:numId="10" w16cid:durableId="1474984086">
    <w:abstractNumId w:val="2"/>
  </w:num>
  <w:num w:numId="11" w16cid:durableId="722751313">
    <w:abstractNumId w:val="7"/>
  </w:num>
  <w:num w:numId="12" w16cid:durableId="779301431">
    <w:abstractNumId w:val="4"/>
  </w:num>
  <w:num w:numId="13" w16cid:durableId="714815068">
    <w:abstractNumId w:val="15"/>
  </w:num>
  <w:num w:numId="14" w16cid:durableId="714474202">
    <w:abstractNumId w:val="12"/>
  </w:num>
  <w:num w:numId="15" w16cid:durableId="374307331">
    <w:abstractNumId w:val="11"/>
  </w:num>
  <w:num w:numId="16" w16cid:durableId="1126192311">
    <w:abstractNumId w:val="3"/>
  </w:num>
  <w:num w:numId="17" w16cid:durableId="15387883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C25"/>
    <w:rsid w:val="00022242"/>
    <w:rsid w:val="00175B2C"/>
    <w:rsid w:val="00664BF1"/>
    <w:rsid w:val="006A1A14"/>
    <w:rsid w:val="00CB1C25"/>
    <w:rsid w:val="00D557E3"/>
    <w:rsid w:val="00F63C7E"/>
    <w:rsid w:val="00FB29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712E7"/>
  <w15:chartTrackingRefBased/>
  <w15:docId w15:val="{181AF299-EB54-42D1-ACDB-BD68E7BB4B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57E3"/>
    <w:pPr>
      <w:widowControl w:val="0"/>
      <w:spacing w:after="0" w:line="240" w:lineRule="auto"/>
    </w:pPr>
    <w:rPr>
      <w:rFonts w:ascii="Times New Roman" w:hAnsi="Times New Roman" w:cs="Times New Roman"/>
      <w:snapToGrid w:val="0"/>
      <w:kern w:val="0"/>
      <w:sz w:val="22"/>
      <w:szCs w:val="20"/>
      <w:lang w:eastAsia="en-US"/>
      <w14:ligatures w14:val="none"/>
    </w:rPr>
  </w:style>
  <w:style w:type="paragraph" w:styleId="Heading1">
    <w:name w:val="heading 1"/>
    <w:basedOn w:val="Normal"/>
    <w:next w:val="Normal"/>
    <w:link w:val="Heading1Char"/>
    <w:uiPriority w:val="9"/>
    <w:qFormat/>
    <w:rsid w:val="00CB1C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CB1C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semiHidden/>
    <w:unhideWhenUsed/>
    <w:qFormat/>
    <w:rsid w:val="00CB1C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1C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1C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1C2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1C2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1C2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1C2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1C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1C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semiHidden/>
    <w:rsid w:val="00CB1C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1C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1C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1C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1C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1C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1C25"/>
    <w:rPr>
      <w:rFonts w:eastAsiaTheme="majorEastAsia" w:cstheme="majorBidi"/>
      <w:color w:val="272727" w:themeColor="text1" w:themeTint="D8"/>
    </w:rPr>
  </w:style>
  <w:style w:type="paragraph" w:styleId="Title">
    <w:name w:val="Title"/>
    <w:basedOn w:val="Normal"/>
    <w:next w:val="Normal"/>
    <w:link w:val="TitleChar"/>
    <w:qFormat/>
    <w:rsid w:val="00CB1C2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CB1C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1C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1C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1C25"/>
    <w:pPr>
      <w:spacing w:before="160"/>
      <w:jc w:val="center"/>
    </w:pPr>
    <w:rPr>
      <w:i/>
      <w:iCs/>
      <w:color w:val="404040" w:themeColor="text1" w:themeTint="BF"/>
    </w:rPr>
  </w:style>
  <w:style w:type="character" w:customStyle="1" w:styleId="QuoteChar">
    <w:name w:val="Quote Char"/>
    <w:basedOn w:val="DefaultParagraphFont"/>
    <w:link w:val="Quote"/>
    <w:uiPriority w:val="29"/>
    <w:rsid w:val="00CB1C25"/>
    <w:rPr>
      <w:i/>
      <w:iCs/>
      <w:color w:val="404040" w:themeColor="text1" w:themeTint="BF"/>
    </w:rPr>
  </w:style>
  <w:style w:type="paragraph" w:styleId="ListParagraph">
    <w:name w:val="List Paragraph"/>
    <w:basedOn w:val="Normal"/>
    <w:uiPriority w:val="34"/>
    <w:qFormat/>
    <w:rsid w:val="00CB1C25"/>
    <w:pPr>
      <w:ind w:left="720"/>
      <w:contextualSpacing/>
    </w:pPr>
  </w:style>
  <w:style w:type="character" w:styleId="IntenseEmphasis">
    <w:name w:val="Intense Emphasis"/>
    <w:basedOn w:val="DefaultParagraphFont"/>
    <w:uiPriority w:val="21"/>
    <w:qFormat/>
    <w:rsid w:val="00CB1C25"/>
    <w:rPr>
      <w:i/>
      <w:iCs/>
      <w:color w:val="0F4761" w:themeColor="accent1" w:themeShade="BF"/>
    </w:rPr>
  </w:style>
  <w:style w:type="paragraph" w:styleId="IntenseQuote">
    <w:name w:val="Intense Quote"/>
    <w:basedOn w:val="Normal"/>
    <w:next w:val="Normal"/>
    <w:link w:val="IntenseQuoteChar"/>
    <w:uiPriority w:val="30"/>
    <w:qFormat/>
    <w:rsid w:val="00CB1C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1C25"/>
    <w:rPr>
      <w:i/>
      <w:iCs/>
      <w:color w:val="0F4761" w:themeColor="accent1" w:themeShade="BF"/>
    </w:rPr>
  </w:style>
  <w:style w:type="character" w:styleId="IntenseReference">
    <w:name w:val="Intense Reference"/>
    <w:basedOn w:val="DefaultParagraphFont"/>
    <w:uiPriority w:val="32"/>
    <w:qFormat/>
    <w:rsid w:val="00CB1C25"/>
    <w:rPr>
      <w:b/>
      <w:bCs/>
      <w:smallCaps/>
      <w:color w:val="0F4761" w:themeColor="accent1" w:themeShade="BF"/>
      <w:spacing w:val="5"/>
    </w:rPr>
  </w:style>
  <w:style w:type="character" w:styleId="FootnoteReference">
    <w:name w:val="footnote reference"/>
    <w:semiHidden/>
    <w:rsid w:val="00D557E3"/>
  </w:style>
  <w:style w:type="paragraph" w:styleId="Caption">
    <w:name w:val="caption"/>
    <w:basedOn w:val="Normal"/>
    <w:next w:val="Normal"/>
    <w:qFormat/>
    <w:rsid w:val="00D557E3"/>
    <w:pPr>
      <w:tabs>
        <w:tab w:val="left" w:pos="1134"/>
      </w:tabs>
      <w:ind w:left="1134" w:hanging="1134"/>
    </w:pPr>
    <w:rPr>
      <w:bCs/>
      <w:i/>
    </w:rPr>
  </w:style>
  <w:style w:type="character" w:styleId="Hyperlink">
    <w:name w:val="Hyperlink"/>
    <w:basedOn w:val="DefaultParagraphFont"/>
    <w:rsid w:val="00D557E3"/>
    <w:rPr>
      <w:color w:val="0000FF"/>
      <w:u w:val="single"/>
    </w:rPr>
  </w:style>
  <w:style w:type="character" w:styleId="CommentReference">
    <w:name w:val="annotation reference"/>
    <w:basedOn w:val="DefaultParagraphFont"/>
    <w:semiHidden/>
    <w:rsid w:val="00D557E3"/>
    <w:rPr>
      <w:sz w:val="16"/>
      <w:szCs w:val="16"/>
    </w:rPr>
  </w:style>
  <w:style w:type="paragraph" w:styleId="CommentText">
    <w:name w:val="annotation text"/>
    <w:basedOn w:val="Normal"/>
    <w:link w:val="CommentTextChar"/>
    <w:semiHidden/>
    <w:rsid w:val="00D557E3"/>
    <w:rPr>
      <w:sz w:val="20"/>
    </w:rPr>
  </w:style>
  <w:style w:type="character" w:customStyle="1" w:styleId="CommentTextChar">
    <w:name w:val="Comment Text Char"/>
    <w:basedOn w:val="DefaultParagraphFont"/>
    <w:link w:val="CommentText"/>
    <w:semiHidden/>
    <w:rsid w:val="00D557E3"/>
    <w:rPr>
      <w:rFonts w:ascii="Times New Roman" w:hAnsi="Times New Roman" w:cs="Times New Roman"/>
      <w:snapToGrid w:val="0"/>
      <w:kern w:val="0"/>
      <w:sz w:val="20"/>
      <w:szCs w:val="20"/>
      <w:lang w:eastAsia="en-US"/>
      <w14:ligatures w14:val="none"/>
    </w:rPr>
  </w:style>
  <w:style w:type="paragraph" w:styleId="CommentSubject">
    <w:name w:val="annotation subject"/>
    <w:basedOn w:val="CommentText"/>
    <w:next w:val="CommentText"/>
    <w:link w:val="CommentSubjectChar"/>
    <w:semiHidden/>
    <w:rsid w:val="00D557E3"/>
    <w:rPr>
      <w:b/>
      <w:bCs/>
    </w:rPr>
  </w:style>
  <w:style w:type="character" w:customStyle="1" w:styleId="CommentSubjectChar">
    <w:name w:val="Comment Subject Char"/>
    <w:basedOn w:val="CommentTextChar"/>
    <w:link w:val="CommentSubject"/>
    <w:semiHidden/>
    <w:rsid w:val="00D557E3"/>
    <w:rPr>
      <w:rFonts w:ascii="Times New Roman" w:hAnsi="Times New Roman" w:cs="Times New Roman"/>
      <w:b/>
      <w:bCs/>
      <w:snapToGrid w:val="0"/>
      <w:kern w:val="0"/>
      <w:sz w:val="20"/>
      <w:szCs w:val="20"/>
      <w:lang w:eastAsia="en-US"/>
      <w14:ligatures w14:val="none"/>
    </w:rPr>
  </w:style>
  <w:style w:type="paragraph" w:styleId="BalloonText">
    <w:name w:val="Balloon Text"/>
    <w:basedOn w:val="Normal"/>
    <w:link w:val="BalloonTextChar"/>
    <w:semiHidden/>
    <w:rsid w:val="00D557E3"/>
    <w:rPr>
      <w:rFonts w:ascii="Tahoma" w:hAnsi="Tahoma" w:cs="Tahoma"/>
      <w:sz w:val="16"/>
      <w:szCs w:val="16"/>
    </w:rPr>
  </w:style>
  <w:style w:type="character" w:customStyle="1" w:styleId="BalloonTextChar">
    <w:name w:val="Balloon Text Char"/>
    <w:basedOn w:val="DefaultParagraphFont"/>
    <w:link w:val="BalloonText"/>
    <w:semiHidden/>
    <w:rsid w:val="00D557E3"/>
    <w:rPr>
      <w:rFonts w:ascii="Tahoma" w:hAnsi="Tahoma" w:cs="Tahoma"/>
      <w:snapToGrid w:val="0"/>
      <w:kern w:val="0"/>
      <w:sz w:val="16"/>
      <w:szCs w:val="16"/>
      <w:lang w:eastAsia="en-US"/>
      <w14:ligatures w14:val="none"/>
    </w:rPr>
  </w:style>
  <w:style w:type="paragraph" w:styleId="Header">
    <w:name w:val="header"/>
    <w:basedOn w:val="Normal"/>
    <w:link w:val="HeaderChar"/>
    <w:unhideWhenUsed/>
    <w:rsid w:val="00D557E3"/>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rsid w:val="00D557E3"/>
    <w:rPr>
      <w:rFonts w:ascii="Times New Roman" w:hAnsi="Times New Roman" w:cs="Times New Roman"/>
      <w:snapToGrid w:val="0"/>
      <w:kern w:val="0"/>
      <w:sz w:val="18"/>
      <w:szCs w:val="18"/>
      <w:lang w:eastAsia="en-US"/>
      <w14:ligatures w14:val="none"/>
    </w:rPr>
  </w:style>
  <w:style w:type="paragraph" w:styleId="Footer">
    <w:name w:val="footer"/>
    <w:basedOn w:val="Normal"/>
    <w:link w:val="FooterChar"/>
    <w:uiPriority w:val="99"/>
    <w:unhideWhenUsed/>
    <w:rsid w:val="00D557E3"/>
    <w:pPr>
      <w:tabs>
        <w:tab w:val="center" w:pos="4153"/>
        <w:tab w:val="right" w:pos="8306"/>
      </w:tabs>
      <w:snapToGrid w:val="0"/>
    </w:pPr>
    <w:rPr>
      <w:sz w:val="18"/>
      <w:szCs w:val="18"/>
    </w:rPr>
  </w:style>
  <w:style w:type="character" w:customStyle="1" w:styleId="FooterChar">
    <w:name w:val="Footer Char"/>
    <w:basedOn w:val="DefaultParagraphFont"/>
    <w:link w:val="Footer"/>
    <w:uiPriority w:val="99"/>
    <w:rsid w:val="00D557E3"/>
    <w:rPr>
      <w:rFonts w:ascii="Times New Roman" w:hAnsi="Times New Roman" w:cs="Times New Roman"/>
      <w:snapToGrid w:val="0"/>
      <w:kern w:val="0"/>
      <w:sz w:val="18"/>
      <w:szCs w:val="18"/>
      <w:lang w:eastAsia="en-US"/>
      <w14:ligatures w14:val="none"/>
    </w:rPr>
  </w:style>
  <w:style w:type="character" w:customStyle="1" w:styleId="label">
    <w:name w:val="label"/>
    <w:basedOn w:val="DefaultParagraphFont"/>
    <w:rsid w:val="00D557E3"/>
  </w:style>
  <w:style w:type="character" w:customStyle="1" w:styleId="src">
    <w:name w:val="src"/>
    <w:basedOn w:val="DefaultParagraphFont"/>
    <w:rsid w:val="00D557E3"/>
  </w:style>
  <w:style w:type="character" w:styleId="PlaceholderText">
    <w:name w:val="Placeholder Text"/>
    <w:basedOn w:val="DefaultParagraphFont"/>
    <w:uiPriority w:val="99"/>
    <w:semiHidden/>
    <w:rsid w:val="00D557E3"/>
    <w:rPr>
      <w:color w:val="808080"/>
    </w:rPr>
  </w:style>
  <w:style w:type="table" w:styleId="TableGrid">
    <w:name w:val="Table Grid"/>
    <w:basedOn w:val="TableNormal"/>
    <w:uiPriority w:val="39"/>
    <w:qFormat/>
    <w:rsid w:val="00D557E3"/>
    <w:pPr>
      <w:spacing w:after="0" w:line="240" w:lineRule="auto"/>
    </w:pPr>
    <w:rPr>
      <w:rFonts w:ascii="Times New Roman" w:hAnsi="Times New Roman" w:cs="Times New Roman"/>
      <w:kern w:val="0"/>
      <w:sz w:val="20"/>
      <w:szCs w:val="20"/>
      <w:lang w:val="sv-SE" w:eastAsia="sv-SE"/>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11.正文"/>
    <w:qFormat/>
    <w:rsid w:val="00D557E3"/>
    <w:pPr>
      <w:widowControl w:val="0"/>
      <w:spacing w:after="0" w:line="480" w:lineRule="auto"/>
      <w:ind w:firstLine="397"/>
      <w:jc w:val="both"/>
      <w:textAlignment w:val="center"/>
    </w:pPr>
    <w:rPr>
      <w:rFonts w:ascii="Times New Roman" w:eastAsia="仿宋" w:hAnsi="Times New Roman" w:cs="Times New Roman"/>
      <w:sz w:val="22"/>
      <w14:ligatures w14:val="none"/>
    </w:rPr>
  </w:style>
  <w:style w:type="paragraph" w:styleId="BodyText">
    <w:name w:val="Body Text"/>
    <w:basedOn w:val="Normal"/>
    <w:link w:val="BodyTextChar"/>
    <w:qFormat/>
    <w:rsid w:val="00D557E3"/>
    <w:pPr>
      <w:widowControl/>
      <w:spacing w:after="120"/>
      <w:jc w:val="both"/>
    </w:pPr>
    <w:rPr>
      <w:rFonts w:eastAsia="宋体"/>
      <w:snapToGrid/>
      <w:sz w:val="20"/>
    </w:rPr>
  </w:style>
  <w:style w:type="character" w:customStyle="1" w:styleId="BodyTextChar">
    <w:name w:val="Body Text Char"/>
    <w:basedOn w:val="DefaultParagraphFont"/>
    <w:link w:val="BodyText"/>
    <w:qFormat/>
    <w:rsid w:val="00D557E3"/>
    <w:rPr>
      <w:rFonts w:ascii="Times New Roman" w:eastAsia="宋体" w:hAnsi="Times New Roman" w:cs="Times New Roman"/>
      <w:kern w:val="0"/>
      <w:sz w:val="20"/>
      <w:szCs w:val="20"/>
      <w:lang w:eastAsia="en-US"/>
      <w14:ligatures w14:val="none"/>
    </w:rPr>
  </w:style>
  <w:style w:type="paragraph" w:styleId="Revision">
    <w:name w:val="Revision"/>
    <w:hidden/>
    <w:uiPriority w:val="99"/>
    <w:semiHidden/>
    <w:rsid w:val="00D557E3"/>
    <w:pPr>
      <w:spacing w:after="0" w:line="240" w:lineRule="auto"/>
    </w:pPr>
    <w:rPr>
      <w:rFonts w:ascii="Times New Roman" w:hAnsi="Times New Roman" w:cs="Times New Roman"/>
      <w:snapToGrid w:val="0"/>
      <w:kern w:val="0"/>
      <w:sz w:val="22"/>
      <w:szCs w:val="20"/>
      <w:lang w:eastAsia="en-US"/>
      <w14:ligatures w14:val="none"/>
    </w:rPr>
  </w:style>
  <w:style w:type="character" w:styleId="LineNumber">
    <w:name w:val="line number"/>
    <w:basedOn w:val="DefaultParagraphFont"/>
    <w:semiHidden/>
    <w:unhideWhenUsed/>
    <w:rsid w:val="00D557E3"/>
  </w:style>
  <w:style w:type="character" w:styleId="Strong">
    <w:name w:val="Strong"/>
    <w:basedOn w:val="DefaultParagraphFont"/>
    <w:uiPriority w:val="22"/>
    <w:qFormat/>
    <w:rsid w:val="00D557E3"/>
    <w:rPr>
      <w:b/>
      <w:bCs/>
    </w:rPr>
  </w:style>
  <w:style w:type="character" w:customStyle="1" w:styleId="katex-mathml">
    <w:name w:val="katex-mathml"/>
    <w:basedOn w:val="DefaultParagraphFont"/>
    <w:rsid w:val="00D557E3"/>
  </w:style>
  <w:style w:type="character" w:customStyle="1" w:styleId="mord">
    <w:name w:val="mord"/>
    <w:basedOn w:val="DefaultParagraphFont"/>
    <w:rsid w:val="00D557E3"/>
  </w:style>
  <w:style w:type="character" w:customStyle="1" w:styleId="vlist-s">
    <w:name w:val="vlist-s"/>
    <w:basedOn w:val="DefaultParagraphFont"/>
    <w:rsid w:val="00D557E3"/>
  </w:style>
  <w:style w:type="paragraph" w:styleId="NormalWeb">
    <w:name w:val="Normal (Web)"/>
    <w:basedOn w:val="Normal"/>
    <w:uiPriority w:val="99"/>
    <w:unhideWhenUsed/>
    <w:rsid w:val="00D557E3"/>
    <w:pPr>
      <w:widowControl/>
      <w:spacing w:before="100" w:beforeAutospacing="1" w:after="100" w:afterAutospacing="1"/>
    </w:pPr>
    <w:rPr>
      <w:rFonts w:ascii="宋体" w:eastAsia="宋体" w:hAnsi="宋体" w:cs="宋体"/>
      <w:snapToGrid/>
      <w:sz w:val="24"/>
      <w:szCs w:val="24"/>
      <w:lang w:eastAsia="zh-CN"/>
    </w:rPr>
  </w:style>
  <w:style w:type="character" w:styleId="Emphasis">
    <w:name w:val="Emphasis"/>
    <w:basedOn w:val="DefaultParagraphFont"/>
    <w:uiPriority w:val="20"/>
    <w:qFormat/>
    <w:rsid w:val="00D557E3"/>
    <w:rPr>
      <w:i/>
      <w:iCs/>
    </w:rPr>
  </w:style>
  <w:style w:type="character" w:styleId="UnresolvedMention">
    <w:name w:val="Unresolved Mention"/>
    <w:basedOn w:val="DefaultParagraphFont"/>
    <w:uiPriority w:val="99"/>
    <w:semiHidden/>
    <w:unhideWhenUsed/>
    <w:rsid w:val="00D557E3"/>
    <w:rPr>
      <w:color w:val="605E5C"/>
      <w:shd w:val="clear" w:color="auto" w:fill="E1DFDD"/>
    </w:rPr>
  </w:style>
  <w:style w:type="paragraph" w:customStyle="1" w:styleId="3">
    <w:name w:val="标题3"/>
    <w:basedOn w:val="Heading3"/>
    <w:link w:val="30"/>
    <w:qFormat/>
    <w:rsid w:val="00D557E3"/>
    <w:pPr>
      <w:snapToGrid w:val="0"/>
      <w:spacing w:before="0" w:after="0" w:line="480" w:lineRule="auto"/>
      <w:ind w:right="28"/>
      <w:jc w:val="both"/>
    </w:pPr>
    <w:rPr>
      <w:rFonts w:eastAsiaTheme="minorEastAsia" w:cs="Times New Roman"/>
      <w:b/>
      <w:color w:val="auto"/>
      <w:sz w:val="22"/>
      <w:szCs w:val="32"/>
      <w:lang w:val="en-GB"/>
    </w:rPr>
  </w:style>
  <w:style w:type="character" w:styleId="HTMLCode">
    <w:name w:val="HTML Code"/>
    <w:basedOn w:val="DefaultParagraphFont"/>
    <w:uiPriority w:val="99"/>
    <w:semiHidden/>
    <w:unhideWhenUsed/>
    <w:rsid w:val="00D557E3"/>
    <w:rPr>
      <w:rFonts w:ascii="宋体" w:eastAsia="宋体" w:hAnsi="宋体" w:cs="宋体"/>
      <w:sz w:val="24"/>
      <w:szCs w:val="24"/>
    </w:rPr>
  </w:style>
  <w:style w:type="character" w:customStyle="1" w:styleId="30">
    <w:name w:val="标题3 字符"/>
    <w:basedOn w:val="DefaultParagraphFont"/>
    <w:link w:val="3"/>
    <w:rsid w:val="00D557E3"/>
    <w:rPr>
      <w:rFonts w:ascii="Times New Roman" w:hAnsi="Times New Roman" w:cs="Times New Roman"/>
      <w:b/>
      <w:snapToGrid w:val="0"/>
      <w:kern w:val="0"/>
      <w:sz w:val="22"/>
      <w:szCs w:val="32"/>
      <w:lang w:val="en-GB"/>
      <w14:ligatures w14:val="none"/>
    </w:rPr>
  </w:style>
  <w:style w:type="character" w:customStyle="1" w:styleId="mrel">
    <w:name w:val="mrel"/>
    <w:basedOn w:val="DefaultParagraphFont"/>
    <w:rsid w:val="00D557E3"/>
  </w:style>
  <w:style w:type="character" w:customStyle="1" w:styleId="mbin">
    <w:name w:val="mbin"/>
    <w:basedOn w:val="DefaultParagraphFont"/>
    <w:rsid w:val="00D557E3"/>
  </w:style>
  <w:style w:type="character" w:customStyle="1" w:styleId="mop">
    <w:name w:val="mop"/>
    <w:basedOn w:val="DefaultParagraphFont"/>
    <w:rsid w:val="00D557E3"/>
  </w:style>
  <w:style w:type="paragraph" w:styleId="EndnoteText">
    <w:name w:val="endnote text"/>
    <w:basedOn w:val="Normal"/>
    <w:link w:val="EndnoteTextChar"/>
    <w:semiHidden/>
    <w:unhideWhenUsed/>
    <w:rsid w:val="00D557E3"/>
    <w:pPr>
      <w:snapToGrid w:val="0"/>
    </w:pPr>
  </w:style>
  <w:style w:type="character" w:customStyle="1" w:styleId="EndnoteTextChar">
    <w:name w:val="Endnote Text Char"/>
    <w:basedOn w:val="DefaultParagraphFont"/>
    <w:link w:val="EndnoteText"/>
    <w:semiHidden/>
    <w:rsid w:val="00D557E3"/>
    <w:rPr>
      <w:rFonts w:ascii="Times New Roman" w:hAnsi="Times New Roman" w:cs="Times New Roman"/>
      <w:snapToGrid w:val="0"/>
      <w:kern w:val="0"/>
      <w:sz w:val="22"/>
      <w:szCs w:val="20"/>
      <w:lang w:eastAsia="en-US"/>
      <w14:ligatures w14:val="none"/>
    </w:rPr>
  </w:style>
  <w:style w:type="character" w:styleId="EndnoteReference">
    <w:name w:val="endnote reference"/>
    <w:basedOn w:val="DefaultParagraphFont"/>
    <w:semiHidden/>
    <w:unhideWhenUsed/>
    <w:rsid w:val="00D557E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7DEB3D-0C5F-45D1-89B3-FEB20A1596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27780</Words>
  <Characters>147238</Characters>
  <Application>Microsoft Office Word</Application>
  <DocSecurity>0</DocSecurity>
  <Lines>24539</Lines>
  <Paragraphs>17501</Paragraphs>
  <ScaleCrop>false</ScaleCrop>
  <Company/>
  <LinksUpToDate>false</LinksUpToDate>
  <CharactersWithSpaces>157517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Shaorun Lin</dc:creator>
  <cp:keywords/>
  <dc:description/>
  <cp:lastModifiedBy>Shaorun Lin</cp:lastModifiedBy>
  <cp:revision>3</cp:revision>
  <dcterms:created xsi:type="dcterms:W3CDTF">2026-07-04T02:11:00Z</dcterms:created>
  <dcterms:modified xsi:type="dcterms:W3CDTF">2026-07-04T02:14:00Z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http://www.zotero.org/styles/apa</vt:lpwstr>
  </property>
  <property fmtid="{D5CDD505-2E9C-101B-9397-08002B2CF9AE}" pid="3" name="Mendeley Recent Style Name 0_1">
    <vt:lpwstr>American Psychological Association 7th edition</vt:lpwstr>
  </property>
  <property fmtid="{D5CDD505-2E9C-101B-9397-08002B2CF9AE}" pid="4" name="Mendeley Recent Style Id 1_1">
    <vt:lpwstr>http://www.zotero.org/styles/american-sociological-association</vt:lpwstr>
  </property>
  <property fmtid="{D5CDD505-2E9C-101B-9397-08002B2CF9AE}" pid="5" name="Mendeley Recent Style Name 1_1">
    <vt:lpwstr>American Sociological Association 6th/7th edition</vt:lpwstr>
  </property>
  <property fmtid="{D5CDD505-2E9C-101B-9397-08002B2CF9AE}" pid="6" name="Mendeley Recent Style Id 2_1">
    <vt:lpwstr>http://www.zotero.org/styles/construction-and-building-materials</vt:lpwstr>
  </property>
  <property fmtid="{D5CDD505-2E9C-101B-9397-08002B2CF9AE}" pid="7" name="Mendeley Recent Style Name 2_1">
    <vt:lpwstr>Construction and Building Materials</vt:lpwstr>
  </property>
  <property fmtid="{D5CDD505-2E9C-101B-9397-08002B2CF9AE}" pid="8" name="Mendeley Recent Style Id 3_1">
    <vt:lpwstr>http://www.zotero.org/styles/ecological-applications</vt:lpwstr>
  </property>
  <property fmtid="{D5CDD505-2E9C-101B-9397-08002B2CF9AE}" pid="9" name="Mendeley Recent Style Name 3_1">
    <vt:lpwstr>Ecological Applications</vt:lpwstr>
  </property>
  <property fmtid="{D5CDD505-2E9C-101B-9397-08002B2CF9AE}" pid="10" name="Mendeley Recent Style Id 4_1">
    <vt:lpwstr>http://csl.mendeley.com/styles/639730181/CNF</vt:lpwstr>
  </property>
  <property fmtid="{D5CDD505-2E9C-101B-9397-08002B2CF9AE}" pid="11" name="Mendeley Recent Style Name 4_1">
    <vt:lpwstr>Elsevier - Combustion and Flame - Yunzhu Qin</vt:lpwstr>
  </property>
  <property fmtid="{D5CDD505-2E9C-101B-9397-08002B2CF9AE}" pid="12" name="Mendeley Recent Style Id 5_1">
    <vt:lpwstr>http://www.zotero.org/styles/fuel</vt:lpwstr>
  </property>
  <property fmtid="{D5CDD505-2E9C-101B-9397-08002B2CF9AE}" pid="13" name="Mendeley Recent Style Name 5_1">
    <vt:lpwstr>Fuel</vt:lpwstr>
  </property>
  <property fmtid="{D5CDD505-2E9C-101B-9397-08002B2CF9AE}" pid="14" name="Mendeley Recent Style Id 6_1">
    <vt:lpwstr>http://www.zotero.org/styles/journal-of-building-engineering</vt:lpwstr>
  </property>
  <property fmtid="{D5CDD505-2E9C-101B-9397-08002B2CF9AE}" pid="15" name="Mendeley Recent Style Name 6_1">
    <vt:lpwstr>Journal of Building Engineering</vt:lpwstr>
  </property>
  <property fmtid="{D5CDD505-2E9C-101B-9397-08002B2CF9AE}" pid="16" name="Mendeley Recent Style Id 7_1">
    <vt:lpwstr>http://www.zotero.org/styles/journal-of-forestry-research</vt:lpwstr>
  </property>
  <property fmtid="{D5CDD505-2E9C-101B-9397-08002B2CF9AE}" pid="17" name="Mendeley Recent Style Name 7_1">
    <vt:lpwstr>Journal of Forestry Research</vt:lpwstr>
  </property>
  <property fmtid="{D5CDD505-2E9C-101B-9397-08002B2CF9AE}" pid="18" name="Mendeley Recent Style Id 8_1">
    <vt:lpwstr>http://www.zotero.org/styles/reliability-engineering-and-system-safety</vt:lpwstr>
  </property>
  <property fmtid="{D5CDD505-2E9C-101B-9397-08002B2CF9AE}" pid="19" name="Mendeley Recent Style Name 8_1">
    <vt:lpwstr>Reliability Engineering and System Safety</vt:lpwstr>
  </property>
  <property fmtid="{D5CDD505-2E9C-101B-9397-08002B2CF9AE}" pid="20" name="Mendeley Recent Style Id 9_1">
    <vt:lpwstr>http://www.zotero.org/styles/soil</vt:lpwstr>
  </property>
  <property fmtid="{D5CDD505-2E9C-101B-9397-08002B2CF9AE}" pid="21" name="Mendeley Recent Style Name 9_1">
    <vt:lpwstr>SOIL</vt:lpwstr>
  </property>
  <property fmtid="{D5CDD505-2E9C-101B-9397-08002B2CF9AE}" pid="22" name="Mendeley Document_1">
    <vt:lpwstr>True</vt:lpwstr>
  </property>
  <property fmtid="{D5CDD505-2E9C-101B-9397-08002B2CF9AE}" pid="23" name="Mendeley Unique User Id_1">
    <vt:lpwstr>3b8b0df3-454c-3644-b238-b6792f41734f</vt:lpwstr>
  </property>
  <property fmtid="{D5CDD505-2E9C-101B-9397-08002B2CF9AE}" pid="24" name="Mendeley Citation Style_1">
    <vt:lpwstr>http://www.zotero.org/styles/fuel</vt:lpwstr>
  </property>
</Properties>
</file>