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生态保护动态速览2026-05-15"/>
    <w:p>
      <w:pPr>
        <w:pStyle w:val="Heading1"/>
      </w:pPr>
      <w:r>
        <w:t xml:space="preserve">生态保护动态速览（2026-05-15）</w:t>
      </w:r>
    </w:p>
    <w:p>
      <w:pPr>
        <w:pStyle w:val="BlockText"/>
      </w:pPr>
      <w:r>
        <w:t xml:space="preserve">采集时间：2026-05-15 12:00（GMT+8）。范围：国内以部委级官方网站为主；国际以 UNEP/FAO/IPBES/UN Decade 等官方来源为主；论文按近 1–2 周内新发表、生态保护/修复相关性和期刊优先级筛选。每条均附原文链接，DOI 统一为完整</w:t>
      </w:r>
      <w:r>
        <w:t xml:space="preserve"> </w:t>
      </w:r>
      <w:r>
        <w:rPr>
          <w:rStyle w:val="VerbatimChar"/>
        </w:rPr>
        <w:t xml:space="preserve">https://doi.org/...</w:t>
      </w:r>
      <w:r>
        <w:t xml:space="preserve"> </w:t>
      </w:r>
      <w:r>
        <w:t xml:space="preserve">格式。</w:t>
      </w:r>
    </w:p>
    <w:bookmarkStart w:id="30" w:name="一国内动态部委级官方来源"/>
    <w:p>
      <w:pPr>
        <w:pStyle w:val="Heading2"/>
      </w:pPr>
      <w:r>
        <w:t xml:space="preserve">一、国内动态（部委级官方来源）</w:t>
      </w:r>
    </w:p>
    <w:bookmarkStart w:id="21" w:name="生态环境部一周要闻中央生态环保督察美丽中国建设考核科技金融等工作同步推进"/>
    <w:p>
      <w:pPr>
        <w:pStyle w:val="Heading3"/>
      </w:pPr>
      <w:r>
        <w:t xml:space="preserve">1. 生态环境部一周要闻：中央生态环保督察、美丽中国建设考核、科技金融等工作同步推进</w:t>
      </w:r>
    </w:p>
    <w:p>
      <w:pPr>
        <w:numPr>
          <w:ilvl w:val="0"/>
          <w:numId w:val="1001"/>
        </w:numPr>
        <w:pStyle w:val="Compact"/>
      </w:pPr>
      <w:r>
        <w:rPr>
          <w:bCs/>
          <w:b/>
        </w:rPr>
        <w:t xml:space="preserve">时间/来源：</w:t>
      </w:r>
      <w:r>
        <w:t xml:space="preserve">2026-05-10，生态环境部。</w:t>
      </w:r>
    </w:p>
    <w:p>
      <w:pPr>
        <w:numPr>
          <w:ilvl w:val="0"/>
          <w:numId w:val="1001"/>
        </w:numPr>
        <w:pStyle w:val="Compact"/>
      </w:pPr>
      <w:r>
        <w:rPr>
          <w:bCs/>
          <w:b/>
        </w:rPr>
        <w:t xml:space="preserve">核心内容：</w:t>
      </w:r>
      <w:r>
        <w:t xml:space="preserve">生态环境部发布 5 月 3—9 日一周要闻，覆盖部党组会议、国家保护臭氧层领导小组会议、生态环境执法工作会议、第三轮第六批中央生态环境保护督察全面启动、生态环境领域科技创新多元化投入机制座谈会，以及《美丽中国建设成效考核办法》解读等。</w:t>
      </w:r>
    </w:p>
    <w:p>
      <w:pPr>
        <w:numPr>
          <w:ilvl w:val="0"/>
          <w:numId w:val="1001"/>
        </w:numPr>
        <w:pStyle w:val="Compact"/>
      </w:pPr>
      <w:r>
        <w:rPr>
          <w:bCs/>
          <w:b/>
        </w:rPr>
        <w:t xml:space="preserve">生态保护关注点：</w:t>
      </w:r>
      <w:r>
        <w:t xml:space="preserve">第三轮第六批中央生态环境保护督察组建 7 个督察组，分别对辽宁、吉林、黑龙江、广东、广西、西藏、新疆 7 省（区）和新疆生产建设兵团开展督察，进驻时间 1 个月；同时强调精准、科学、依法推进边督边改，避免“一刀切”。这对压实地方生态保护责任、治理突出生态环境问题、衔接美丽中国建设成效考核具有直接意义。</w:t>
      </w:r>
    </w:p>
    <w:p>
      <w:pPr>
        <w:numPr>
          <w:ilvl w:val="0"/>
          <w:numId w:val="1001"/>
        </w:numPr>
        <w:pStyle w:val="Compact"/>
      </w:pPr>
      <w:r>
        <w:rPr>
          <w:bCs/>
          <w:b/>
        </w:rPr>
        <w:t xml:space="preserve">原文链接：</w:t>
      </w:r>
      <w:hyperlink r:id="rId20">
        <w:r>
          <w:rPr>
            <w:rStyle w:val="Hyperlink"/>
          </w:rPr>
          <w:t xml:space="preserve">生态环境部一周要闻（5.3—5.9）</w:t>
        </w:r>
      </w:hyperlink>
    </w:p>
    <w:bookmarkEnd w:id="21"/>
    <w:bookmarkStart w:id="23" w:name="生态环境部2026-年国家保护臭氧层领导小组会议在京召开"/>
    <w:p>
      <w:pPr>
        <w:pStyle w:val="Heading3"/>
      </w:pPr>
      <w:r>
        <w:t xml:space="preserve">2. 生态环境部：2026 年国家保护臭氧层领导小组会议在京召开</w:t>
      </w:r>
    </w:p>
    <w:p>
      <w:pPr>
        <w:numPr>
          <w:ilvl w:val="0"/>
          <w:numId w:val="1002"/>
        </w:numPr>
        <w:pStyle w:val="Compact"/>
      </w:pPr>
      <w:r>
        <w:rPr>
          <w:bCs/>
          <w:b/>
        </w:rPr>
        <w:t xml:space="preserve">时间/来源：</w:t>
      </w:r>
      <w:r>
        <w:t xml:space="preserve">2026-05-08，生态环境部。</w:t>
      </w:r>
    </w:p>
    <w:p>
      <w:pPr>
        <w:numPr>
          <w:ilvl w:val="0"/>
          <w:numId w:val="1002"/>
        </w:numPr>
        <w:pStyle w:val="Compact"/>
      </w:pPr>
      <w:r>
        <w:rPr>
          <w:bCs/>
          <w:b/>
        </w:rPr>
        <w:t xml:space="preserve">核心内容：</w:t>
      </w:r>
      <w:r>
        <w:t xml:space="preserve">会议总结 2025 年《中国履行〈关于消耗臭氧层物质的蒙特利尔议定书〉国家方案（2025—2030年）》履约工作进展，部署 2026 年重点任务。过去一年，各成员单位在管控物质管理、标准制修订、进出口监管、金融政策、农药/消防/医药行业替代、技术创新和平台建设等方面取得进展。</w:t>
      </w:r>
    </w:p>
    <w:p>
      <w:pPr>
        <w:numPr>
          <w:ilvl w:val="0"/>
          <w:numId w:val="1002"/>
        </w:numPr>
        <w:pStyle w:val="Compact"/>
      </w:pPr>
      <w:r>
        <w:rPr>
          <w:bCs/>
          <w:b/>
        </w:rPr>
        <w:t xml:space="preserve">生态保护关注点：</w:t>
      </w:r>
      <w:r>
        <w:t xml:space="preserve">臭氧层保护与气候治理、绿色低碳替代和产业绿色转型高度相关。会议要求推动绿色低碳替代、强化重点地区/领域/物质监督执法、深化国际合作，对长期生态环境安全和履约能力建设具有支撑作用。</w:t>
      </w:r>
    </w:p>
    <w:p>
      <w:pPr>
        <w:numPr>
          <w:ilvl w:val="0"/>
          <w:numId w:val="1002"/>
        </w:numPr>
        <w:pStyle w:val="Compact"/>
      </w:pPr>
      <w:r>
        <w:rPr>
          <w:bCs/>
          <w:b/>
        </w:rPr>
        <w:t xml:space="preserve">原文链接：</w:t>
      </w:r>
      <w:hyperlink r:id="rId22">
        <w:r>
          <w:rPr>
            <w:rStyle w:val="Hyperlink"/>
          </w:rPr>
          <w:t xml:space="preserve">2026年国家保护臭氧层领导小组会议在京召开</w:t>
        </w:r>
      </w:hyperlink>
    </w:p>
    <w:bookmarkEnd w:id="23"/>
    <w:bookmarkStart w:id="25" w:name="国家林草局长江生态修复案例草海水下森林复苏江豚湾稳定种群形成"/>
    <w:p>
      <w:pPr>
        <w:pStyle w:val="Heading3"/>
      </w:pPr>
      <w:r>
        <w:t xml:space="preserve">3. 国家林草局：长江生态修复案例——草海“水下森林”复苏、江豚湾稳定种群形成</w:t>
      </w:r>
    </w:p>
    <w:p>
      <w:pPr>
        <w:numPr>
          <w:ilvl w:val="0"/>
          <w:numId w:val="1003"/>
        </w:numPr>
        <w:pStyle w:val="Compact"/>
      </w:pPr>
      <w:r>
        <w:rPr>
          <w:bCs/>
          <w:b/>
        </w:rPr>
        <w:t xml:space="preserve">时间/来源：</w:t>
      </w:r>
      <w:r>
        <w:t xml:space="preserve">2026-05-12，国家林业和草原局政府网（转自央视新闻客户端）。</w:t>
      </w:r>
    </w:p>
    <w:p>
      <w:pPr>
        <w:numPr>
          <w:ilvl w:val="0"/>
          <w:numId w:val="1003"/>
        </w:numPr>
        <w:pStyle w:val="Compact"/>
      </w:pPr>
      <w:r>
        <w:rPr>
          <w:bCs/>
          <w:b/>
        </w:rPr>
        <w:t xml:space="preserve">核心内容：</w:t>
      </w:r>
      <w:r>
        <w:t xml:space="preserve">报道聚焦长江流域生态修复两类典型现场：一是贵州威宁草海，围绕“退、补、治、护”治理农业面源污染、生活污水直排和石漠化等问题；二是江西南昌赣江扬子洲“江豚湾”，通过增殖放流、禁捕退捕和水下监测等手段改善江豚栖息与饵料条件。</w:t>
      </w:r>
    </w:p>
    <w:p>
      <w:pPr>
        <w:numPr>
          <w:ilvl w:val="0"/>
          <w:numId w:val="1003"/>
        </w:numPr>
        <w:pStyle w:val="Compact"/>
      </w:pPr>
      <w:r>
        <w:rPr>
          <w:bCs/>
          <w:b/>
        </w:rPr>
        <w:t xml:space="preserve">关键数据：</w:t>
      </w:r>
      <w:r>
        <w:t xml:space="preserve">草海保护区约 120 平方公里，建成日处理 1 万吨污水处理厂、20 座分散式污水处理站和 276 公里环湖管网；草海北坡 4000 多亩生态缓冲带森林覆盖率由 10% 提升至 70%；沉水植物种植 5000 余亩，去年沉水植物覆盖率达 72%，越冬和停歇鸟类十余万只。江豚湾自 2024 年以来投放 6 批次、共 1000 多万尾饵料鱼，目前约有 15 头江豚安家并形成稳定种群。</w:t>
      </w:r>
    </w:p>
    <w:p>
      <w:pPr>
        <w:numPr>
          <w:ilvl w:val="0"/>
          <w:numId w:val="1003"/>
        </w:numPr>
        <w:pStyle w:val="Compact"/>
      </w:pPr>
      <w:r>
        <w:rPr>
          <w:bCs/>
          <w:b/>
        </w:rPr>
        <w:t xml:space="preserve">生态保护关注点：</w:t>
      </w:r>
      <w:r>
        <w:t xml:space="preserve">该案例体现流域统筹、湿地修复、水生植被恢复、旗舰物种保护和禁渔政策协同的综合治理路径，可作为长江大保护和湿地/水生态修复的案例参考。</w:t>
      </w:r>
    </w:p>
    <w:p>
      <w:pPr>
        <w:numPr>
          <w:ilvl w:val="0"/>
          <w:numId w:val="1003"/>
        </w:numPr>
        <w:pStyle w:val="Compact"/>
      </w:pPr>
      <w:r>
        <w:rPr>
          <w:bCs/>
          <w:b/>
        </w:rPr>
        <w:t xml:space="preserve">原文链接：</w:t>
      </w:r>
      <w:hyperlink r:id="rId24">
        <w:r>
          <w:rPr>
            <w:rStyle w:val="Hyperlink"/>
          </w:rPr>
          <w:t xml:space="preserve">草长鸟翩飞 水清江豚跃 探寻长江生态修复的答案</w:t>
        </w:r>
      </w:hyperlink>
    </w:p>
    <w:bookmarkEnd w:id="25"/>
    <w:bookmarkStart w:id="27" w:name="国家林草局京津冀协同会诊联防联治林草有害生物"/>
    <w:p>
      <w:pPr>
        <w:pStyle w:val="Heading3"/>
      </w:pPr>
      <w:r>
        <w:t xml:space="preserve">4. 国家林草局：京津冀协同“会诊”联防联治林草有害生物</w:t>
      </w:r>
    </w:p>
    <w:p>
      <w:pPr>
        <w:numPr>
          <w:ilvl w:val="0"/>
          <w:numId w:val="1004"/>
        </w:numPr>
        <w:pStyle w:val="Compact"/>
      </w:pPr>
      <w:r>
        <w:rPr>
          <w:bCs/>
          <w:b/>
        </w:rPr>
        <w:t xml:space="preserve">时间/来源：</w:t>
      </w:r>
      <w:r>
        <w:t xml:space="preserve">2026-05-13，国家林业和草原局政府网（中国绿色时报）。</w:t>
      </w:r>
    </w:p>
    <w:p>
      <w:pPr>
        <w:numPr>
          <w:ilvl w:val="0"/>
          <w:numId w:val="1004"/>
        </w:numPr>
        <w:pStyle w:val="Compact"/>
      </w:pPr>
      <w:r>
        <w:rPr>
          <w:bCs/>
          <w:b/>
        </w:rPr>
        <w:t xml:space="preserve">核心内容：</w:t>
      </w:r>
      <w:r>
        <w:t xml:space="preserve">2026 年度京津冀林草有害生物联防联治轮值交接暨工作部署会在天津召开。会议提出区域生态“一盘棋”，完善监测预报信息共享、检疫执法合作、应急处置协同机制。</w:t>
      </w:r>
    </w:p>
    <w:p>
      <w:pPr>
        <w:numPr>
          <w:ilvl w:val="0"/>
          <w:numId w:val="1004"/>
        </w:numPr>
        <w:pStyle w:val="Compact"/>
      </w:pPr>
      <w:r>
        <w:rPr>
          <w:bCs/>
          <w:b/>
        </w:rPr>
        <w:t xml:space="preserve">生态保护关注点：</w:t>
      </w:r>
      <w:r>
        <w:t xml:space="preserve">针对松材线虫病、美国白蛾等重大危险性有害生物，会议强调全域监测、精准除治、检疫封锁、科技支撑和物资保障，推动防控由分散处置转向系统治理、精准防控；对维护华北地区森林健康、生态安全屏障和跨区域风险治理有现实意义。</w:t>
      </w:r>
    </w:p>
    <w:p>
      <w:pPr>
        <w:numPr>
          <w:ilvl w:val="0"/>
          <w:numId w:val="1004"/>
        </w:numPr>
        <w:pStyle w:val="Compact"/>
      </w:pPr>
      <w:r>
        <w:rPr>
          <w:bCs/>
          <w:b/>
        </w:rPr>
        <w:t xml:space="preserve">原文链接：</w:t>
      </w:r>
      <w:hyperlink r:id="rId26">
        <w:r>
          <w:rPr>
            <w:rStyle w:val="Hyperlink"/>
          </w:rPr>
          <w:t xml:space="preserve">京津冀协同“会诊”联防联治林草有害生物</w:t>
        </w:r>
      </w:hyperlink>
    </w:p>
    <w:bookmarkEnd w:id="27"/>
    <w:bookmarkStart w:id="29" w:name="自然资源部将组织开展-2026-年世界海洋日暨全国海洋宣传日主题宣传活动"/>
    <w:p>
      <w:pPr>
        <w:pStyle w:val="Heading3"/>
      </w:pPr>
      <w:r>
        <w:t xml:space="preserve">5. 自然资源部：将组织开展 2026 年世界海洋日暨全国海洋宣传日主题宣传活动</w:t>
      </w:r>
    </w:p>
    <w:p>
      <w:pPr>
        <w:numPr>
          <w:ilvl w:val="0"/>
          <w:numId w:val="1005"/>
        </w:numPr>
        <w:pStyle w:val="Compact"/>
      </w:pPr>
      <w:r>
        <w:rPr>
          <w:bCs/>
          <w:b/>
        </w:rPr>
        <w:t xml:space="preserve">时间/来源：</w:t>
      </w:r>
      <w:r>
        <w:t xml:space="preserve">2026-05-11，自然资源部。</w:t>
      </w:r>
    </w:p>
    <w:p>
      <w:pPr>
        <w:numPr>
          <w:ilvl w:val="0"/>
          <w:numId w:val="1005"/>
        </w:numPr>
        <w:pStyle w:val="Compact"/>
      </w:pPr>
      <w:r>
        <w:rPr>
          <w:bCs/>
          <w:b/>
        </w:rPr>
        <w:t xml:space="preserve">核心内容：</w:t>
      </w:r>
      <w:r>
        <w:t xml:space="preserve">自然资源部办公厅印发通知，明确 2026 年世界海洋日暨全国海洋宣传日主题为“守护蔚蓝 向海图强”。活动将围绕宣传片、海报、创意短视频、特别直播、净滩活动、海洋主题展、《BBNJ协定》履约宣传、海洋新兴产业支持政策宣传等开展。</w:t>
      </w:r>
    </w:p>
    <w:p>
      <w:pPr>
        <w:numPr>
          <w:ilvl w:val="0"/>
          <w:numId w:val="1005"/>
        </w:numPr>
        <w:pStyle w:val="Compact"/>
      </w:pPr>
      <w:r>
        <w:rPr>
          <w:bCs/>
          <w:b/>
        </w:rPr>
        <w:t xml:space="preserve">生态保护关注点：</w:t>
      </w:r>
      <w:r>
        <w:t xml:space="preserve">该活动将海洋开发利用保护、公众科普、志愿服务和海洋生物多样性协定履约宣传结合，有助于提升公众对海洋生态保护、海岸带治理和公海生物多样性治理的参与度。</w:t>
      </w:r>
    </w:p>
    <w:p>
      <w:pPr>
        <w:numPr>
          <w:ilvl w:val="0"/>
          <w:numId w:val="1005"/>
        </w:numPr>
        <w:pStyle w:val="Compact"/>
      </w:pPr>
      <w:r>
        <w:rPr>
          <w:bCs/>
          <w:b/>
        </w:rPr>
        <w:t xml:space="preserve">原文链接：</w:t>
      </w:r>
      <w:hyperlink r:id="rId28">
        <w:r>
          <w:rPr>
            <w:rStyle w:val="Hyperlink"/>
          </w:rPr>
          <w:t xml:space="preserve">自然资源部将组织开展世界海洋日暨全国海洋宣传日主题宣传活动</w:t>
        </w:r>
      </w:hyperlink>
    </w:p>
    <w:bookmarkEnd w:id="29"/>
    <w:bookmarkEnd w:id="30"/>
    <w:bookmarkStart w:id="41" w:name="二国际动态unepfaoser等"/>
    <w:p>
      <w:pPr>
        <w:pStyle w:val="Heading2"/>
      </w:pPr>
      <w:r>
        <w:t xml:space="preserve">二、国际动态（UNEP/FAO/SER等）</w:t>
      </w:r>
    </w:p>
    <w:bookmarkStart w:id="32" w:name="Xa3115fb642bc3b9b25f3fc3a7bb10d8e6ba5dd8"/>
    <w:p>
      <w:pPr>
        <w:pStyle w:val="Heading3"/>
      </w:pPr>
      <w:r>
        <w:t xml:space="preserve">1. UNEP：State of Finance for Nature 2026 资源页面上线，继续聚焦自然融资与生态修复资金缺口</w:t>
      </w:r>
    </w:p>
    <w:p>
      <w:pPr>
        <w:numPr>
          <w:ilvl w:val="0"/>
          <w:numId w:val="1006"/>
        </w:numPr>
        <w:pStyle w:val="Compact"/>
      </w:pPr>
      <w:r>
        <w:rPr>
          <w:bCs/>
          <w:b/>
        </w:rPr>
        <w:t xml:space="preserve">时间/来源：</w:t>
      </w:r>
      <w:r>
        <w:t xml:space="preserve">UNEP 资源页面，2026。</w:t>
      </w:r>
    </w:p>
    <w:p>
      <w:pPr>
        <w:numPr>
          <w:ilvl w:val="0"/>
          <w:numId w:val="1006"/>
        </w:numPr>
        <w:pStyle w:val="Compact"/>
      </w:pPr>
      <w:r>
        <w:rPr>
          <w:bCs/>
          <w:b/>
        </w:rPr>
        <w:t xml:space="preserve">核心内容：</w:t>
      </w:r>
      <w:r>
        <w:t xml:space="preserve">UNEP</w:t>
      </w:r>
      <w:r>
        <w:t xml:space="preserve"> </w:t>
      </w:r>
      <w:r>
        <w:t xml:space="preserve">“</w:t>
      </w:r>
      <w:r>
        <w:t xml:space="preserve">State of Finance for Nature</w:t>
      </w:r>
      <w:r>
        <w:t xml:space="preserve">”</w:t>
      </w:r>
      <w:r>
        <w:t xml:space="preserve"> </w:t>
      </w:r>
      <w:r>
        <w:t xml:space="preserve">系列持续跟踪自然类解决方案（Nature-based Solutions, NbS）和生态系统修复相关资金流，关注公共/私人资金投入、资金缺口及其与气候、生物多样性、土地退化治理目标之间的关系。</w:t>
      </w:r>
    </w:p>
    <w:p>
      <w:pPr>
        <w:numPr>
          <w:ilvl w:val="0"/>
          <w:numId w:val="1006"/>
        </w:numPr>
        <w:pStyle w:val="Compact"/>
      </w:pPr>
      <w:r>
        <w:rPr>
          <w:bCs/>
          <w:b/>
        </w:rPr>
        <w:t xml:space="preserve">生态保护关注点：</w:t>
      </w:r>
      <w:r>
        <w:t xml:space="preserve">对国内生态保护项目而言，该系列可用于把生态修复、自然资本、NbS、气候适应和绿色金融统筹起来，尤其适合参考其融资口径、资金缺口叙事和政策工具分类。</w:t>
      </w:r>
    </w:p>
    <w:p>
      <w:pPr>
        <w:numPr>
          <w:ilvl w:val="0"/>
          <w:numId w:val="1006"/>
        </w:numPr>
        <w:pStyle w:val="Compact"/>
      </w:pPr>
      <w:r>
        <w:rPr>
          <w:bCs/>
          <w:b/>
        </w:rPr>
        <w:t xml:space="preserve">原文链接：</w:t>
      </w:r>
      <w:hyperlink r:id="rId31">
        <w:r>
          <w:rPr>
            <w:rStyle w:val="Hyperlink"/>
          </w:rPr>
          <w:t xml:space="preserve">State of Finance for Nature 2026</w:t>
        </w:r>
      </w:hyperlink>
    </w:p>
    <w:bookmarkEnd w:id="32"/>
    <w:bookmarkStart w:id="34" w:name="X29d9a9b2a199cc18d7cf53bbd1c52ede517087c"/>
    <w:p>
      <w:pPr>
        <w:pStyle w:val="Heading3"/>
      </w:pPr>
      <w:r>
        <w:t xml:space="preserve">2. FAO/CBD：各国第七次国家报告显示 GBF Target 2 生态修复数据正在成形，但数据细化仍不足</w:t>
      </w:r>
    </w:p>
    <w:p>
      <w:pPr>
        <w:numPr>
          <w:ilvl w:val="0"/>
          <w:numId w:val="1007"/>
        </w:numPr>
        <w:pStyle w:val="Compact"/>
      </w:pPr>
      <w:r>
        <w:rPr>
          <w:bCs/>
          <w:b/>
        </w:rPr>
        <w:t xml:space="preserve">时间/来源：</w:t>
      </w:r>
      <w:r>
        <w:t xml:space="preserve">2026-03-06，FAO Ecosystem Restoration Monitoring。</w:t>
      </w:r>
    </w:p>
    <w:p>
      <w:pPr>
        <w:numPr>
          <w:ilvl w:val="0"/>
          <w:numId w:val="1007"/>
        </w:numPr>
        <w:pStyle w:val="Compact"/>
      </w:pPr>
      <w:r>
        <w:rPr>
          <w:bCs/>
          <w:b/>
        </w:rPr>
        <w:t xml:space="preserve">核心内容：</w:t>
      </w:r>
      <w:r>
        <w:t xml:space="preserve">截至 3 月 6 日，112 个缔约方提交第七次国家报告，196 个缔约方中已有 160 个提交国家目标。FAO 对报告早期分析显示，52 个国家（约 46%）纳入了昆明—蒙特利尔全球生物多样性框架（KM-GBF）Target 2 头条指标数据，但其中 30 个国家未提供国家层面的细分信息；11 个按生态系统类型细分，10 个按修复活动细分，另有 5 个细分层级不清。</w:t>
      </w:r>
    </w:p>
    <w:p>
      <w:pPr>
        <w:numPr>
          <w:ilvl w:val="0"/>
          <w:numId w:val="1007"/>
        </w:numPr>
        <w:pStyle w:val="Compact"/>
      </w:pPr>
      <w:r>
        <w:rPr>
          <w:bCs/>
          <w:b/>
        </w:rPr>
        <w:t xml:space="preserve">生态保护关注点：</w:t>
      </w:r>
      <w:r>
        <w:t xml:space="preserve">Target 2 要求到 2030 年至少 30% 退化生态系统处于有效修复之下。FAO 与 CBD 正通过区域研讨、技术网络研讨会、Target 2 Road Map、FERM 平台、API 数据上传、CBD 在线报告工具衔接等方式支持各国提升监测与报告能力。对中国相关工作而言，生态系统类型、修复活动、空间数据和成效指标的可比性会成为后续国际履约与评估重点。</w:t>
      </w:r>
    </w:p>
    <w:p>
      <w:pPr>
        <w:numPr>
          <w:ilvl w:val="0"/>
          <w:numId w:val="1007"/>
        </w:numPr>
        <w:pStyle w:val="Compact"/>
      </w:pPr>
      <w:r>
        <w:rPr>
          <w:bCs/>
          <w:b/>
        </w:rPr>
        <w:t xml:space="preserve">原文链接：</w:t>
      </w:r>
      <w:hyperlink r:id="rId33">
        <w:r>
          <w:rPr>
            <w:rStyle w:val="Hyperlink"/>
          </w:rPr>
          <w:t xml:space="preserve">As countries report on biodiversity, restoration data is starting to take shape – but more needs to be done</w:t>
        </w:r>
      </w:hyperlink>
    </w:p>
    <w:bookmarkEnd w:id="34"/>
    <w:bookmarkStart w:id="36" w:name="Xddc443d3a4408f6d0a0d6e747b862bc7a8719c7"/>
    <w:p>
      <w:pPr>
        <w:pStyle w:val="Heading3"/>
      </w:pPr>
      <w:r>
        <w:t xml:space="preserve">3. FAO/UN Decade：第 14 次生态系统修复监测任务组会议强化全球修复监测协作</w:t>
      </w:r>
    </w:p>
    <w:p>
      <w:pPr>
        <w:numPr>
          <w:ilvl w:val="0"/>
          <w:numId w:val="1008"/>
        </w:numPr>
        <w:pStyle w:val="Compact"/>
      </w:pPr>
      <w:r>
        <w:rPr>
          <w:bCs/>
          <w:b/>
        </w:rPr>
        <w:t xml:space="preserve">时间/来源：</w:t>
      </w:r>
      <w:r>
        <w:t xml:space="preserve">2026-03-13，FAO Halting Deforestation / UN Decade on Ecosystem Restoration Task Force on Monitoring。</w:t>
      </w:r>
    </w:p>
    <w:p>
      <w:pPr>
        <w:numPr>
          <w:ilvl w:val="0"/>
          <w:numId w:val="1008"/>
        </w:numPr>
        <w:pStyle w:val="Compact"/>
      </w:pPr>
      <w:r>
        <w:rPr>
          <w:bCs/>
          <w:b/>
        </w:rPr>
        <w:t xml:space="preserve">核心内容：</w:t>
      </w:r>
      <w:r>
        <w:t xml:space="preserve">第 14 次联合国生态系统修复十年监测任务组会议于 2026 年 3 月 9 日线上召开，84 名来自国际组织、科研机构、NGO 和区域中心的专家与实践者参会。任务组自 2021 年成立以来，已发展为覆盖 100 多个组织、600 多名专家的全球协作网络。</w:t>
      </w:r>
    </w:p>
    <w:p>
      <w:pPr>
        <w:numPr>
          <w:ilvl w:val="0"/>
          <w:numId w:val="1008"/>
        </w:numPr>
        <w:pStyle w:val="Compact"/>
      </w:pPr>
      <w:r>
        <w:rPr>
          <w:bCs/>
          <w:b/>
        </w:rPr>
        <w:t xml:space="preserve">关键进展：</w:t>
      </w:r>
      <w:r>
        <w:t xml:space="preserve">截至 3 月 9 日，123 个国家提交相关报告，约 45% 报告了修复情况；55 个国家报告了修复面积，但只有约 20% 提供生态系统层级细分。FERM 平台新增更强搜索、Ramsar 湿地信息服务等外部数据集整合、地理空间功能和 API，以便国家数据库自动对接并提交 CBD 在线报告工具。</w:t>
      </w:r>
    </w:p>
    <w:p>
      <w:pPr>
        <w:numPr>
          <w:ilvl w:val="0"/>
          <w:numId w:val="1008"/>
        </w:numPr>
        <w:pStyle w:val="Compact"/>
      </w:pPr>
      <w:r>
        <w:rPr>
          <w:bCs/>
          <w:b/>
        </w:rPr>
        <w:t xml:space="preserve">生态保护关注点：</w:t>
      </w:r>
      <w:r>
        <w:t xml:space="preserve">全球修复监测正在从“面积统计”转向“生态系统类型、功能、连通性和社会—生态结果”的综合评估。国内修复项目如要对接国际框架，应尽早统一空间边界、退化基线、修复活动分类、生态成效指标和数据验证流程。</w:t>
      </w:r>
    </w:p>
    <w:p>
      <w:pPr>
        <w:numPr>
          <w:ilvl w:val="0"/>
          <w:numId w:val="1008"/>
        </w:numPr>
        <w:pStyle w:val="Compact"/>
      </w:pPr>
      <w:r>
        <w:rPr>
          <w:bCs/>
          <w:b/>
        </w:rPr>
        <w:t xml:space="preserve">原文链接：</w:t>
      </w:r>
      <w:hyperlink r:id="rId35">
        <w:r>
          <w:rPr>
            <w:rStyle w:val="Hyperlink"/>
          </w:rPr>
          <w:t xml:space="preserve">Global collaboration strengthens ecosystem restoration monitoring</w:t>
        </w:r>
      </w:hyperlink>
    </w:p>
    <w:bookmarkEnd w:id="36"/>
    <w:bookmarkStart w:id="38" w:name="ipbes空间规划与生态连通性评估第二次全球评估将开放外部审稿"/>
    <w:p>
      <w:pPr>
        <w:pStyle w:val="Heading3"/>
      </w:pPr>
      <w:r>
        <w:t xml:space="preserve">4. IPBES：空间规划与生态连通性评估、第二次全球评估将开放外部审稿</w:t>
      </w:r>
    </w:p>
    <w:p>
      <w:pPr>
        <w:numPr>
          <w:ilvl w:val="0"/>
          <w:numId w:val="1009"/>
        </w:numPr>
        <w:pStyle w:val="Compact"/>
      </w:pPr>
      <w:r>
        <w:rPr>
          <w:bCs/>
          <w:b/>
        </w:rPr>
        <w:t xml:space="preserve">时间/来源：</w:t>
      </w:r>
      <w:r>
        <w:t xml:space="preserve">2026-03-23—2026-08-08 通知期，IPBES。</w:t>
      </w:r>
    </w:p>
    <w:p>
      <w:pPr>
        <w:numPr>
          <w:ilvl w:val="0"/>
          <w:numId w:val="1009"/>
        </w:numPr>
        <w:pStyle w:val="Compact"/>
      </w:pPr>
      <w:r>
        <w:rPr>
          <w:bCs/>
          <w:b/>
        </w:rPr>
        <w:t xml:space="preserve">核心内容：</w:t>
      </w:r>
      <w:r>
        <w:t xml:space="preserve">IPBES 通知称，综合生物多样性空间规划与生态连通性方法学评估的章节草案和决策者摘要外部审稿将于 2026 年 6 月 1 日至 7 月 26 日开放；第二次全球生物多样性与生态系统服务评估的章节草案第一次外部审稿将于 6 月 15 日至 8 月 8 日开放，并配套线上对话工作坊。</w:t>
      </w:r>
    </w:p>
    <w:p>
      <w:pPr>
        <w:numPr>
          <w:ilvl w:val="0"/>
          <w:numId w:val="1009"/>
        </w:numPr>
        <w:pStyle w:val="Compact"/>
      </w:pPr>
      <w:r>
        <w:rPr>
          <w:bCs/>
          <w:b/>
        </w:rPr>
        <w:t xml:space="preserve">生态保护关注点：</w:t>
      </w:r>
      <w:r>
        <w:t xml:space="preserve">空间规划、生态连通性和全球评估将直接影响未来自然保护地网络、生态廊道、国土空间用途管制、生物多样性主流化和政策评估工具。建议关注并参与审稿，特别是生态保护红线、生态连通性、迁徙通道和多目标空间优化等议题。</w:t>
      </w:r>
    </w:p>
    <w:p>
      <w:pPr>
        <w:numPr>
          <w:ilvl w:val="0"/>
          <w:numId w:val="1009"/>
        </w:numPr>
        <w:pStyle w:val="Compact"/>
      </w:pPr>
      <w:r>
        <w:rPr>
          <w:bCs/>
          <w:b/>
        </w:rPr>
        <w:t xml:space="preserve">原文链接：</w:t>
      </w:r>
      <w:hyperlink r:id="rId37">
        <w:r>
          <w:rPr>
            <w:rStyle w:val="Hyperlink"/>
          </w:rPr>
          <w:t xml:space="preserve">Save the dates: External reviews of the spatial planning and ecological connectivity assessment and the second global assessment</w:t>
        </w:r>
      </w:hyperlink>
    </w:p>
    <w:bookmarkEnd w:id="38"/>
    <w:bookmarkStart w:id="40" w:name="ipbes商业与生物多样性评估发布强调企业既依赖自然也影响自然"/>
    <w:p>
      <w:pPr>
        <w:pStyle w:val="Heading3"/>
      </w:pPr>
      <w:r>
        <w:t xml:space="preserve">5. IPBES：商业与生物多样性评估发布，强调企业既依赖自然也影响自然</w:t>
      </w:r>
    </w:p>
    <w:p>
      <w:pPr>
        <w:numPr>
          <w:ilvl w:val="0"/>
          <w:numId w:val="1010"/>
        </w:numPr>
        <w:pStyle w:val="Compact"/>
      </w:pPr>
      <w:r>
        <w:rPr>
          <w:bCs/>
          <w:b/>
        </w:rPr>
        <w:t xml:space="preserve">时间/来源：</w:t>
      </w:r>
      <w:r>
        <w:t xml:space="preserve">2026-02-09，IPBES。</w:t>
      </w:r>
    </w:p>
    <w:p>
      <w:pPr>
        <w:numPr>
          <w:ilvl w:val="0"/>
          <w:numId w:val="1010"/>
        </w:numPr>
        <w:pStyle w:val="Compact"/>
      </w:pPr>
      <w:r>
        <w:rPr>
          <w:bCs/>
          <w:b/>
        </w:rPr>
        <w:t xml:space="preserve">核心内容：</w:t>
      </w:r>
      <w:r>
        <w:t xml:space="preserve">IPBES 第 12 次全会批准《商业与生物多样性评估》。媒体发布指出，所有企业都依赖生物多样性并对其产生影响；全球经济增长长期以生物多样性损失为代价，这已对经济、金融稳定和人类福祉构成系统性风险。报告为企业、政府、金融主体和社会组织提出方法与 100 多项行动建议，用以衡量并应对商业活动对生物多样性的影响与依赖。</w:t>
      </w:r>
    </w:p>
    <w:p>
      <w:pPr>
        <w:numPr>
          <w:ilvl w:val="0"/>
          <w:numId w:val="1010"/>
        </w:numPr>
        <w:pStyle w:val="Compact"/>
      </w:pPr>
      <w:r>
        <w:rPr>
          <w:bCs/>
          <w:b/>
        </w:rPr>
        <w:t xml:space="preserve">生态保护关注点：</w:t>
      </w:r>
      <w:r>
        <w:t xml:space="preserve">该评估将推动企业自然相关信息披露、供应链生物多样性风险管理、自然资本核算和生态修复投资。对于国内自然资源资产、生态产品价值实现和 ESG/绿色金融政策设计，具有较强参考价值。</w:t>
      </w:r>
    </w:p>
    <w:p>
      <w:pPr>
        <w:numPr>
          <w:ilvl w:val="0"/>
          <w:numId w:val="1010"/>
        </w:numPr>
        <w:pStyle w:val="Compact"/>
      </w:pPr>
      <w:r>
        <w:rPr>
          <w:bCs/>
          <w:b/>
        </w:rPr>
        <w:t xml:space="preserve">原文链接：</w:t>
      </w:r>
      <w:hyperlink r:id="rId39">
        <w:r>
          <w:rPr>
            <w:rStyle w:val="Hyperlink"/>
          </w:rPr>
          <w:t xml:space="preserve">Media Release: IPBES Business and Biodiversity Assessment</w:t>
        </w:r>
      </w:hyperlink>
    </w:p>
    <w:bookmarkEnd w:id="40"/>
    <w:bookmarkEnd w:id="41"/>
    <w:bookmarkStart w:id="66" w:name="三近期新发表论文12周内"/>
    <w:p>
      <w:pPr>
        <w:pStyle w:val="Heading2"/>
      </w:pPr>
      <w:r>
        <w:t xml:space="preserve">三、近期新发表论文（1–2周内）</w:t>
      </w:r>
    </w:p>
    <w:bookmarkStart w:id="43" w:name="Xaebb080d99eae7a74bda35d0b8684b8b5aae370"/>
    <w:p>
      <w:pPr>
        <w:pStyle w:val="Heading3"/>
      </w:pPr>
      <w:r>
        <w:t xml:space="preserve">1. Evolving nature-based solutions for urban resilience</w:t>
      </w:r>
    </w:p>
    <w:p>
      <w:pPr>
        <w:numPr>
          <w:ilvl w:val="0"/>
          <w:numId w:val="1011"/>
        </w:numPr>
        <w:pStyle w:val="Compact"/>
      </w:pPr>
      <w:r>
        <w:rPr>
          <w:bCs/>
          <w:b/>
        </w:rPr>
        <w:t xml:space="preserve">作者/期刊/日期：</w:t>
      </w:r>
      <w:r>
        <w:t xml:space="preserve">Marina Alberti; Nancy B. Grimm; Eric P. Palkovacs; Mark C. Urban 等，</w:t>
      </w:r>
      <w:r>
        <w:rPr>
          <w:iCs/>
          <w:i/>
        </w:rPr>
        <w:t xml:space="preserve">Science</w:t>
      </w:r>
      <w:r>
        <w:t xml:space="preserve">，2026-05-14。</w:t>
      </w:r>
    </w:p>
    <w:p>
      <w:pPr>
        <w:numPr>
          <w:ilvl w:val="0"/>
          <w:numId w:val="1011"/>
        </w:numPr>
        <w:pStyle w:val="Compact"/>
      </w:pPr>
      <w:r>
        <w:rPr>
          <w:bCs/>
          <w:b/>
        </w:rPr>
        <w:t xml:space="preserve">DOI：</w:t>
      </w:r>
      <w:hyperlink r:id="rId42">
        <w:r>
          <w:rPr>
            <w:rStyle w:val="Hyperlink"/>
          </w:rPr>
          <w:t xml:space="preserve">https://doi.org/10.1126/science.aea9563</w:t>
        </w:r>
      </w:hyperlink>
    </w:p>
    <w:p>
      <w:pPr>
        <w:numPr>
          <w:ilvl w:val="0"/>
          <w:numId w:val="1011"/>
        </w:numPr>
        <w:pStyle w:val="Compact"/>
      </w:pPr>
      <w:r>
        <w:rPr>
          <w:bCs/>
          <w:b/>
        </w:rPr>
        <w:t xml:space="preserve">要点：</w:t>
      </w:r>
      <w:r>
        <w:t xml:space="preserve">文章指出，城市自然基解决方案（NbS）常忽视维持其功能的种群和群落会随城市污染、极端气候、栖息地破碎化等压力快速进化。作者提出将进化过程纳入 NbS 设计，以维持适应潜力、功能稳定性和长期绩效。对城市湿地、绿地、海绵城市、生物滞留设施和生态基础设施长期运维有直接启发。</w:t>
      </w:r>
    </w:p>
    <w:p>
      <w:pPr>
        <w:numPr>
          <w:ilvl w:val="0"/>
          <w:numId w:val="1011"/>
        </w:numPr>
        <w:pStyle w:val="Compact"/>
      </w:pPr>
      <w:r>
        <w:rPr>
          <w:bCs/>
          <w:b/>
        </w:rPr>
        <w:t xml:space="preserve">原文链接：</w:t>
      </w:r>
      <w:hyperlink r:id="rId42">
        <w:r>
          <w:rPr>
            <w:rStyle w:val="Hyperlink"/>
          </w:rPr>
          <w:t xml:space="preserve">https://doi.org/10.1126/science.aea9563</w:t>
        </w:r>
      </w:hyperlink>
    </w:p>
    <w:bookmarkEnd w:id="43"/>
    <w:bookmarkStart w:id="45" w:name="X1cf51d2367aba416a1cda10a5a78c7ca090fed5"/>
    <w:p>
      <w:pPr>
        <w:pStyle w:val="Heading3"/>
      </w:pPr>
      <w:r>
        <w:t xml:space="preserve">2. High risk of extinction across the flowering plant tree of life</w:t>
      </w:r>
    </w:p>
    <w:p>
      <w:pPr>
        <w:numPr>
          <w:ilvl w:val="0"/>
          <w:numId w:val="1012"/>
        </w:numPr>
        <w:pStyle w:val="Compact"/>
      </w:pPr>
      <w:r>
        <w:rPr>
          <w:bCs/>
          <w:b/>
        </w:rPr>
        <w:t xml:space="preserve">作者/期刊/日期：</w:t>
      </w:r>
      <w:r>
        <w:t xml:space="preserve">Félix Forest; Ruth Brown; Sven Buerki; Jonathan F. Colville 等，</w:t>
      </w:r>
      <w:r>
        <w:rPr>
          <w:iCs/>
          <w:i/>
        </w:rPr>
        <w:t xml:space="preserve">Science</w:t>
      </w:r>
      <w:r>
        <w:t xml:space="preserve">，2026-05-07。</w:t>
      </w:r>
    </w:p>
    <w:p>
      <w:pPr>
        <w:numPr>
          <w:ilvl w:val="0"/>
          <w:numId w:val="1012"/>
        </w:numPr>
        <w:pStyle w:val="Compact"/>
      </w:pPr>
      <w:r>
        <w:rPr>
          <w:bCs/>
          <w:b/>
        </w:rPr>
        <w:t xml:space="preserve">DOI：</w:t>
      </w:r>
      <w:hyperlink r:id="rId44">
        <w:r>
          <w:rPr>
            <w:rStyle w:val="Hyperlink"/>
          </w:rPr>
          <w:t xml:space="preserve">https://doi.org/10.1126/science.adz0773</w:t>
        </w:r>
      </w:hyperlink>
    </w:p>
    <w:p>
      <w:pPr>
        <w:numPr>
          <w:ilvl w:val="0"/>
          <w:numId w:val="1012"/>
        </w:numPr>
        <w:pStyle w:val="Compact"/>
      </w:pPr>
      <w:r>
        <w:rPr>
          <w:bCs/>
          <w:b/>
        </w:rPr>
        <w:t xml:space="preserve">要点：</w:t>
      </w:r>
      <w:r>
        <w:t xml:space="preserve">研究构建开花植物生命之树并评估全部被子植物灭绝风险，估计 21.2% 的被子植物进化历史处于灭绝风险之中，识别 9945 个对受威胁进化历史贡献不成比例的优先物种。该研究可为植物保护、保护优先级排序和资源配置提供系统发育维度的证据。</w:t>
      </w:r>
    </w:p>
    <w:p>
      <w:pPr>
        <w:numPr>
          <w:ilvl w:val="0"/>
          <w:numId w:val="1012"/>
        </w:numPr>
        <w:pStyle w:val="Compact"/>
      </w:pPr>
      <w:r>
        <w:rPr>
          <w:bCs/>
          <w:b/>
        </w:rPr>
        <w:t xml:space="preserve">原文链接：</w:t>
      </w:r>
      <w:hyperlink r:id="rId44">
        <w:r>
          <w:rPr>
            <w:rStyle w:val="Hyperlink"/>
          </w:rPr>
          <w:t xml:space="preserve">https://doi.org/10.1126/science.adz0773</w:t>
        </w:r>
      </w:hyperlink>
    </w:p>
    <w:bookmarkEnd w:id="45"/>
    <w:bookmarkStart w:id="47" w:name="X71a9062ca75bbf6c1b5d683c9fd4969ce166c5b"/>
    <w:p>
      <w:pPr>
        <w:pStyle w:val="Heading3"/>
      </w:pPr>
      <w:r>
        <w:t xml:space="preserve">3. Climate-induced range shifts support local plant diversity but don’t reduce extinction risk</w:t>
      </w:r>
    </w:p>
    <w:p>
      <w:pPr>
        <w:numPr>
          <w:ilvl w:val="0"/>
          <w:numId w:val="1013"/>
        </w:numPr>
        <w:pStyle w:val="Compact"/>
      </w:pPr>
      <w:r>
        <w:rPr>
          <w:bCs/>
          <w:b/>
        </w:rPr>
        <w:t xml:space="preserve">作者/期刊/日期：</w:t>
      </w:r>
      <w:r>
        <w:t xml:space="preserve">Junna Wang; Brunno F. Oliveira; Frances C. Moore; Daniel J. Kozar 等，</w:t>
      </w:r>
      <w:r>
        <w:rPr>
          <w:iCs/>
          <w:i/>
        </w:rPr>
        <w:t xml:space="preserve">Science</w:t>
      </w:r>
      <w:r>
        <w:t xml:space="preserve">，2026-05-07。</w:t>
      </w:r>
    </w:p>
    <w:p>
      <w:pPr>
        <w:numPr>
          <w:ilvl w:val="0"/>
          <w:numId w:val="1013"/>
        </w:numPr>
        <w:pStyle w:val="Compact"/>
      </w:pPr>
      <w:r>
        <w:rPr>
          <w:bCs/>
          <w:b/>
        </w:rPr>
        <w:t xml:space="preserve">DOI：</w:t>
      </w:r>
      <w:hyperlink r:id="rId46">
        <w:r>
          <w:rPr>
            <w:rStyle w:val="Hyperlink"/>
          </w:rPr>
          <w:t xml:space="preserve">https://doi.org/10.1126/science.aea1676</w:t>
        </w:r>
      </w:hyperlink>
    </w:p>
    <w:p>
      <w:pPr>
        <w:numPr>
          <w:ilvl w:val="0"/>
          <w:numId w:val="1013"/>
        </w:numPr>
        <w:pStyle w:val="Compact"/>
      </w:pPr>
      <w:r>
        <w:rPr>
          <w:bCs/>
          <w:b/>
        </w:rPr>
        <w:t xml:space="preserve">要点：</w:t>
      </w:r>
      <w:r>
        <w:t xml:space="preserve">基于全球植物分布移动数据库和大规模植物发生记录，研究物种特异性迁移速度与未来适生地可达性。结果提示，气候驱动的分布变化可能在局地维持或提高植物多样性，但并不足以显著降低全球灭绝风险。保护策略需同时关注气候廊道、迁移障碍、迁地保护和受限扩散物种。</w:t>
      </w:r>
    </w:p>
    <w:p>
      <w:pPr>
        <w:numPr>
          <w:ilvl w:val="0"/>
          <w:numId w:val="1013"/>
        </w:numPr>
        <w:pStyle w:val="Compact"/>
      </w:pPr>
      <w:r>
        <w:rPr>
          <w:bCs/>
          <w:b/>
        </w:rPr>
        <w:t xml:space="preserve">原文链接：</w:t>
      </w:r>
      <w:hyperlink r:id="rId46">
        <w:r>
          <w:rPr>
            <w:rStyle w:val="Hyperlink"/>
          </w:rPr>
          <w:t xml:space="preserve">https://doi.org/10.1126/science.aea1676</w:t>
        </w:r>
      </w:hyperlink>
    </w:p>
    <w:bookmarkEnd w:id="47"/>
    <w:bookmarkStart w:id="49" w:name="Xa93da86b0a793f73f4439272cd516cb9c643139"/>
    <w:p>
      <w:pPr>
        <w:pStyle w:val="Heading3"/>
      </w:pPr>
      <w:r>
        <w:t xml:space="preserve">4. Trade-offs between nature and people in Ethiopia’s protected areas demonstrate challenges in translating global conservation targets into national realities</w:t>
      </w:r>
    </w:p>
    <w:p>
      <w:pPr>
        <w:numPr>
          <w:ilvl w:val="0"/>
          <w:numId w:val="1014"/>
        </w:numPr>
        <w:pStyle w:val="Compact"/>
      </w:pPr>
      <w:r>
        <w:rPr>
          <w:bCs/>
          <w:b/>
        </w:rPr>
        <w:t xml:space="preserve">作者/期刊/日期：</w:t>
      </w:r>
      <w:r>
        <w:t xml:space="preserve">Sophie Jago; Gebremeskel Gizaw; Bezawit Genanaw; Joe Langley 等，</w:t>
      </w:r>
      <w:r>
        <w:rPr>
          <w:iCs/>
          <w:i/>
        </w:rPr>
        <w:t xml:space="preserve">Nature Ecology &amp; Evolution</w:t>
      </w:r>
      <w:r>
        <w:t xml:space="preserve">，2026-05-12。</w:t>
      </w:r>
    </w:p>
    <w:p>
      <w:pPr>
        <w:numPr>
          <w:ilvl w:val="0"/>
          <w:numId w:val="1014"/>
        </w:numPr>
        <w:pStyle w:val="Compact"/>
      </w:pPr>
      <w:r>
        <w:rPr>
          <w:bCs/>
          <w:b/>
        </w:rPr>
        <w:t xml:space="preserve">DOI：</w:t>
      </w:r>
      <w:hyperlink r:id="rId48">
        <w:r>
          <w:rPr>
            <w:rStyle w:val="Hyperlink"/>
          </w:rPr>
          <w:t xml:space="preserve">https://doi.org/10.1038/s41559-026-03047-9</w:t>
        </w:r>
      </w:hyperlink>
    </w:p>
    <w:p>
      <w:pPr>
        <w:numPr>
          <w:ilvl w:val="0"/>
          <w:numId w:val="1014"/>
        </w:numPr>
        <w:pStyle w:val="Compact"/>
      </w:pPr>
      <w:r>
        <w:rPr>
          <w:bCs/>
          <w:b/>
        </w:rPr>
        <w:t xml:space="preserve">要点：</w:t>
      </w:r>
      <w:r>
        <w:t xml:space="preserve">以埃塞俄比亚为案例评估 30×30 等全球目标在国家尺度落地的生态代表性、机会成本和民生权衡。研究指出，为满足 Target 3，保护地网络需大幅扩展，且扩展往往涉及机会成本较高地区；现有保护地对森林损失和农业扩张有抑制作用，但也带来社会经济权衡。对中国自然保护地整合优化和生态保护补偿设计有参考价值。</w:t>
      </w:r>
    </w:p>
    <w:p>
      <w:pPr>
        <w:numPr>
          <w:ilvl w:val="0"/>
          <w:numId w:val="1014"/>
        </w:numPr>
        <w:pStyle w:val="Compact"/>
      </w:pPr>
      <w:r>
        <w:rPr>
          <w:bCs/>
          <w:b/>
        </w:rPr>
        <w:t xml:space="preserve">原文链接：</w:t>
      </w:r>
      <w:hyperlink r:id="rId48">
        <w:r>
          <w:rPr>
            <w:rStyle w:val="Hyperlink"/>
          </w:rPr>
          <w:t xml:space="preserve">https://doi.org/10.1038/s41559-026-03047-9</w:t>
        </w:r>
      </w:hyperlink>
    </w:p>
    <w:bookmarkEnd w:id="49"/>
    <w:bookmarkStart w:id="51" w:name="X68044a412a3c9b0adecdd7db98276c078956ef1"/>
    <w:p>
      <w:pPr>
        <w:pStyle w:val="Heading3"/>
      </w:pPr>
      <w:r>
        <w:t xml:space="preserve">5. Growing nickel supply from the tropics threatens priority conservation areas</w:t>
      </w:r>
    </w:p>
    <w:p>
      <w:pPr>
        <w:numPr>
          <w:ilvl w:val="0"/>
          <w:numId w:val="1015"/>
        </w:numPr>
        <w:pStyle w:val="Compact"/>
      </w:pPr>
      <w:r>
        <w:rPr>
          <w:bCs/>
          <w:b/>
        </w:rPr>
        <w:t xml:space="preserve">作者/期刊/日期：</w:t>
      </w:r>
      <w:r>
        <w:t xml:space="preserve">Jayden Hyman; Laura J. Sonter; Eve McDonald-Madden; James E. M. Watson 等，</w:t>
      </w:r>
      <w:r>
        <w:rPr>
          <w:iCs/>
          <w:i/>
        </w:rPr>
        <w:t xml:space="preserve">Nature Ecology &amp; Evolution</w:t>
      </w:r>
      <w:r>
        <w:t xml:space="preserve">，2026-05-06。</w:t>
      </w:r>
    </w:p>
    <w:p>
      <w:pPr>
        <w:numPr>
          <w:ilvl w:val="0"/>
          <w:numId w:val="1015"/>
        </w:numPr>
        <w:pStyle w:val="Compact"/>
      </w:pPr>
      <w:r>
        <w:rPr>
          <w:bCs/>
          <w:b/>
        </w:rPr>
        <w:t xml:space="preserve">DOI：</w:t>
      </w:r>
      <w:hyperlink r:id="rId50">
        <w:r>
          <w:rPr>
            <w:rStyle w:val="Hyperlink"/>
          </w:rPr>
          <w:t xml:space="preserve">https://doi.org/10.1038/s41559-026-03068-4</w:t>
        </w:r>
      </w:hyperlink>
    </w:p>
    <w:p>
      <w:pPr>
        <w:numPr>
          <w:ilvl w:val="0"/>
          <w:numId w:val="1015"/>
        </w:numPr>
        <w:pStyle w:val="Compact"/>
      </w:pPr>
      <w:r>
        <w:rPr>
          <w:bCs/>
          <w:b/>
        </w:rPr>
        <w:t xml:space="preserve">要点：</w:t>
      </w:r>
      <w:r>
        <w:t xml:space="preserve">研究以矿山为单元模拟 2025—2050 年镍供应情景，指出低碳技术驱动的镍需求将推动热带生物多样性热点地区采矿扩张。镍红土矿在模型供应中占 78%—83%，约一半开采镍威胁全球陆地生物多样性与碳储存优先区前 10%，53%—60% 未来供应来自沿海矿山并威胁海洋生物多样性优先区。提示能源转型需纳入生态空间约束和供应链生物多样性风险。</w:t>
      </w:r>
    </w:p>
    <w:p>
      <w:pPr>
        <w:numPr>
          <w:ilvl w:val="0"/>
          <w:numId w:val="1015"/>
        </w:numPr>
        <w:pStyle w:val="Compact"/>
      </w:pPr>
      <w:r>
        <w:rPr>
          <w:bCs/>
          <w:b/>
        </w:rPr>
        <w:t xml:space="preserve">原文链接：</w:t>
      </w:r>
      <w:hyperlink r:id="rId50">
        <w:r>
          <w:rPr>
            <w:rStyle w:val="Hyperlink"/>
          </w:rPr>
          <w:t xml:space="preserve">https://doi.org/10.1038/s41559-026-03068-4</w:t>
        </w:r>
      </w:hyperlink>
    </w:p>
    <w:bookmarkEnd w:id="51"/>
    <w:bookmarkStart w:id="53" w:name="X86e50559e65b40170f67b05f422b516d83572a0"/>
    <w:p>
      <w:pPr>
        <w:pStyle w:val="Heading3"/>
      </w:pPr>
      <w:r>
        <w:t xml:space="preserve">6. Increasing atmospheric dryness and storms accelerates biomass turnover in Amazonian forests</w:t>
      </w:r>
    </w:p>
    <w:p>
      <w:pPr>
        <w:numPr>
          <w:ilvl w:val="0"/>
          <w:numId w:val="1016"/>
        </w:numPr>
        <w:pStyle w:val="Compact"/>
      </w:pPr>
      <w:r>
        <w:rPr>
          <w:bCs/>
          <w:b/>
        </w:rPr>
        <w:t xml:space="preserve">作者/期刊/日期：</w:t>
      </w:r>
      <w:r>
        <w:t xml:space="preserve">Donghai Wu; Yongshi Zhou; Yanlei Feng; Evan M. Gora 等，</w:t>
      </w:r>
      <w:r>
        <w:rPr>
          <w:iCs/>
          <w:i/>
        </w:rPr>
        <w:t xml:space="preserve">Nature Climate Change</w:t>
      </w:r>
      <w:r>
        <w:t xml:space="preserve">，2026-05-13。</w:t>
      </w:r>
    </w:p>
    <w:p>
      <w:pPr>
        <w:numPr>
          <w:ilvl w:val="0"/>
          <w:numId w:val="1016"/>
        </w:numPr>
        <w:pStyle w:val="Compact"/>
      </w:pPr>
      <w:r>
        <w:rPr>
          <w:bCs/>
          <w:b/>
        </w:rPr>
        <w:t xml:space="preserve">DOI：</w:t>
      </w:r>
      <w:hyperlink r:id="rId52">
        <w:r>
          <w:rPr>
            <w:rStyle w:val="Hyperlink"/>
          </w:rPr>
          <w:t xml:space="preserve">https://doi.org/10.1038/s41558-026-02639-4</w:t>
        </w:r>
      </w:hyperlink>
    </w:p>
    <w:p>
      <w:pPr>
        <w:numPr>
          <w:ilvl w:val="0"/>
          <w:numId w:val="1016"/>
        </w:numPr>
        <w:pStyle w:val="Compact"/>
      </w:pPr>
      <w:r>
        <w:rPr>
          <w:bCs/>
          <w:b/>
        </w:rPr>
        <w:t xml:space="preserve">要点：</w:t>
      </w:r>
      <w:r>
        <w:t xml:space="preserve">论文关注大气干燥度和风暴扰动对亚马逊森林生物量周转的影响。题名所示结果表明，干旱化与风暴扰动叠加会加速森林生物量周转，意味着热带森林碳汇稳定性、森林恢复力和长期碳核算面临更高不确定性。对森林保护、碳汇项目和自然气候解决方案风险评估具有启发。</w:t>
      </w:r>
    </w:p>
    <w:p>
      <w:pPr>
        <w:numPr>
          <w:ilvl w:val="0"/>
          <w:numId w:val="1016"/>
        </w:numPr>
        <w:pStyle w:val="Compact"/>
      </w:pPr>
      <w:r>
        <w:rPr>
          <w:bCs/>
          <w:b/>
        </w:rPr>
        <w:t xml:space="preserve">原文链接：</w:t>
      </w:r>
      <w:hyperlink r:id="rId52">
        <w:r>
          <w:rPr>
            <w:rStyle w:val="Hyperlink"/>
          </w:rPr>
          <w:t xml:space="preserve">https://doi.org/10.1038/s41558-026-02639-4</w:t>
        </w:r>
      </w:hyperlink>
    </w:p>
    <w:bookmarkEnd w:id="53"/>
    <w:bookmarkStart w:id="55" w:name="X31720c17df9637dd1981af4a468fd6d4c76d91e"/>
    <w:p>
      <w:pPr>
        <w:pStyle w:val="Heading3"/>
      </w:pPr>
      <w:r>
        <w:t xml:space="preserve">7. Effects of restoration practices on biodiversity in temperate and boreal forests</w:t>
      </w:r>
    </w:p>
    <w:p>
      <w:pPr>
        <w:numPr>
          <w:ilvl w:val="0"/>
          <w:numId w:val="1017"/>
        </w:numPr>
        <w:pStyle w:val="Compact"/>
      </w:pPr>
      <w:r>
        <w:rPr>
          <w:bCs/>
          <w:b/>
        </w:rPr>
        <w:t xml:space="preserve">作者/期刊/日期：</w:t>
      </w:r>
      <w:r>
        <w:t xml:space="preserve">Malin Tälle; Thomas Ranius; Julia Koricheva，</w:t>
      </w:r>
      <w:r>
        <w:rPr>
          <w:iCs/>
          <w:i/>
        </w:rPr>
        <w:t xml:space="preserve">Conservation Biology</w:t>
      </w:r>
      <w:r>
        <w:t xml:space="preserve">，2026-05-14。</w:t>
      </w:r>
    </w:p>
    <w:p>
      <w:pPr>
        <w:numPr>
          <w:ilvl w:val="0"/>
          <w:numId w:val="1017"/>
        </w:numPr>
        <w:pStyle w:val="Compact"/>
      </w:pPr>
      <w:r>
        <w:rPr>
          <w:bCs/>
          <w:b/>
        </w:rPr>
        <w:t xml:space="preserve">DOI：</w:t>
      </w:r>
      <w:hyperlink r:id="rId54">
        <w:r>
          <w:rPr>
            <w:rStyle w:val="Hyperlink"/>
          </w:rPr>
          <w:t xml:space="preserve">https://doi.org/10.1111/cobi.70322</w:t>
        </w:r>
      </w:hyperlink>
    </w:p>
    <w:p>
      <w:pPr>
        <w:numPr>
          <w:ilvl w:val="0"/>
          <w:numId w:val="1017"/>
        </w:numPr>
        <w:pStyle w:val="Compact"/>
      </w:pPr>
      <w:r>
        <w:rPr>
          <w:bCs/>
          <w:b/>
        </w:rPr>
        <w:t xml:space="preserve">要点：</w:t>
      </w:r>
      <w:r>
        <w:t xml:space="preserve">系统综述和荟萃分析 93 项研究，评估部分采伐、间伐、林下清理、计划火烧、添加枯死木及组合措施对温带和北方森林生物多样性的影响。总体上，修复措施提高森林物种丰富度和丰度，植物和飞行无脊椎动物响应最稳定；但不同类群和措施差异明显，部分措施对鸟类、苔藓等可能产生负面效应。提示森林修复需分目标类群设计、监测并避免“一种措施通用”。</w:t>
      </w:r>
    </w:p>
    <w:p>
      <w:pPr>
        <w:numPr>
          <w:ilvl w:val="0"/>
          <w:numId w:val="1017"/>
        </w:numPr>
        <w:pStyle w:val="Compact"/>
      </w:pPr>
      <w:r>
        <w:rPr>
          <w:bCs/>
          <w:b/>
        </w:rPr>
        <w:t xml:space="preserve">原文链接：</w:t>
      </w:r>
      <w:hyperlink r:id="rId54">
        <w:r>
          <w:rPr>
            <w:rStyle w:val="Hyperlink"/>
          </w:rPr>
          <w:t xml:space="preserve">https://doi.org/10.1111/cobi.70322</w:t>
        </w:r>
      </w:hyperlink>
    </w:p>
    <w:bookmarkEnd w:id="55"/>
    <w:bookmarkStart w:id="57" w:name="X7058092180b432b886cd4f872c80a5420910b19"/>
    <w:p>
      <w:pPr>
        <w:pStyle w:val="Heading3"/>
      </w:pPr>
      <w:r>
        <w:t xml:space="preserve">8. Multitrophic responses to tidal marsh restoration: early effects of channel configuration on water quality, aquatic food web structure, and fish communities</w:t>
      </w:r>
    </w:p>
    <w:p>
      <w:pPr>
        <w:numPr>
          <w:ilvl w:val="0"/>
          <w:numId w:val="1018"/>
        </w:numPr>
        <w:pStyle w:val="Compact"/>
      </w:pPr>
      <w:r>
        <w:rPr>
          <w:bCs/>
          <w:b/>
        </w:rPr>
        <w:t xml:space="preserve">作者/期刊/日期：</w:t>
      </w:r>
      <w:r>
        <w:t xml:space="preserve">Joseph E. Merz; Cheryl Dean; Bobbie Flores; Katie Karpenko 等，</w:t>
      </w:r>
      <w:r>
        <w:rPr>
          <w:iCs/>
          <w:i/>
        </w:rPr>
        <w:t xml:space="preserve">Restoration Ecology</w:t>
      </w:r>
      <w:r>
        <w:t xml:space="preserve">，2026-05-13。</w:t>
      </w:r>
    </w:p>
    <w:p>
      <w:pPr>
        <w:numPr>
          <w:ilvl w:val="0"/>
          <w:numId w:val="1018"/>
        </w:numPr>
        <w:pStyle w:val="Compact"/>
      </w:pPr>
      <w:r>
        <w:rPr>
          <w:bCs/>
          <w:b/>
        </w:rPr>
        <w:t xml:space="preserve">DOI：</w:t>
      </w:r>
      <w:hyperlink r:id="rId56">
        <w:r>
          <w:rPr>
            <w:rStyle w:val="Hyperlink"/>
          </w:rPr>
          <w:t xml:space="preserve">https://doi.org/10.1111/rec.70422</w:t>
        </w:r>
      </w:hyperlink>
    </w:p>
    <w:p>
      <w:pPr>
        <w:numPr>
          <w:ilvl w:val="0"/>
          <w:numId w:val="1018"/>
        </w:numPr>
        <w:pStyle w:val="Compact"/>
      </w:pPr>
      <w:r>
        <w:rPr>
          <w:bCs/>
          <w:b/>
        </w:rPr>
        <w:t xml:space="preserve">要点：</w:t>
      </w:r>
      <w:r>
        <w:t xml:space="preserve">以旧金山河口 Dutch Slough 潮汐湿地修复为“活实验室”，采用 BA:RI 框架评估潮沟长度、复杂度和连通性对水质、水生食物网和鱼类群落早期恢复的影响。研究结合水质传感器、浮游动物和鱼类影像、鱼类 eDNA 等多源监测。对滨海/河口湿地修复设计、潮沟连通性和适应性管理具有方法借鉴意义。</w:t>
      </w:r>
    </w:p>
    <w:p>
      <w:pPr>
        <w:numPr>
          <w:ilvl w:val="0"/>
          <w:numId w:val="1018"/>
        </w:numPr>
        <w:pStyle w:val="Compact"/>
      </w:pPr>
      <w:r>
        <w:rPr>
          <w:bCs/>
          <w:b/>
        </w:rPr>
        <w:t xml:space="preserve">原文链接：</w:t>
      </w:r>
      <w:hyperlink r:id="rId56">
        <w:r>
          <w:rPr>
            <w:rStyle w:val="Hyperlink"/>
          </w:rPr>
          <w:t xml:space="preserve">https://doi.org/10.1111/rec.70422</w:t>
        </w:r>
      </w:hyperlink>
    </w:p>
    <w:bookmarkEnd w:id="57"/>
    <w:bookmarkStart w:id="59" w:name="Xdebbcbfcb240c7e902bc44c42ce3dffefbe76ec"/>
    <w:p>
      <w:pPr>
        <w:pStyle w:val="Heading3"/>
      </w:pPr>
      <w:r>
        <w:t xml:space="preserve">9. Turning the tide on invasives: A global meta-analysis of native revegetation strategies for effective restoration</w:t>
      </w:r>
    </w:p>
    <w:p>
      <w:pPr>
        <w:numPr>
          <w:ilvl w:val="0"/>
          <w:numId w:val="1019"/>
        </w:numPr>
        <w:pStyle w:val="Compact"/>
      </w:pPr>
      <w:r>
        <w:rPr>
          <w:bCs/>
          <w:b/>
        </w:rPr>
        <w:t xml:space="preserve">作者/期刊/日期：</w:t>
      </w:r>
      <w:r>
        <w:t xml:space="preserve">Rameez Ahmad; Showkeen A. Lone; Shyam S. Phartyal; Ninad A. Mungi 等，</w:t>
      </w:r>
      <w:r>
        <w:rPr>
          <w:iCs/>
          <w:i/>
        </w:rPr>
        <w:t xml:space="preserve">Journal of Applied Ecology</w:t>
      </w:r>
      <w:r>
        <w:t xml:space="preserve">，2026-05-12。</w:t>
      </w:r>
    </w:p>
    <w:p>
      <w:pPr>
        <w:numPr>
          <w:ilvl w:val="0"/>
          <w:numId w:val="1019"/>
        </w:numPr>
        <w:pStyle w:val="Compact"/>
      </w:pPr>
      <w:r>
        <w:rPr>
          <w:bCs/>
          <w:b/>
        </w:rPr>
        <w:t xml:space="preserve">DOI：</w:t>
      </w:r>
      <w:hyperlink r:id="rId58">
        <w:r>
          <w:rPr>
            <w:rStyle w:val="Hyperlink"/>
          </w:rPr>
          <w:t xml:space="preserve">https://doi.org/10.1111/1365-2664.70396</w:t>
        </w:r>
      </w:hyperlink>
    </w:p>
    <w:p>
      <w:pPr>
        <w:numPr>
          <w:ilvl w:val="0"/>
          <w:numId w:val="1019"/>
        </w:numPr>
        <w:pStyle w:val="Compact"/>
      </w:pPr>
      <w:r>
        <w:rPr>
          <w:bCs/>
          <w:b/>
        </w:rPr>
        <w:t xml:space="preserve">要点：</w:t>
      </w:r>
      <w:r>
        <w:t xml:space="preserve">全球荟萃分析 50 项原始研究、266 个效应量，评估清除入侵植物后主动本土植物重建的恢复效果。结果显示，与仅清除入侵植物相比，补植本土植物可使本土植物群落相关多样性指标提高约 45%，并使非本土植物群落降低 28%。研究支持“清除+本土重建”的综合修复策略，而非仅依赖清除。</w:t>
      </w:r>
    </w:p>
    <w:p>
      <w:pPr>
        <w:numPr>
          <w:ilvl w:val="0"/>
          <w:numId w:val="1019"/>
        </w:numPr>
        <w:pStyle w:val="Compact"/>
      </w:pPr>
      <w:r>
        <w:rPr>
          <w:bCs/>
          <w:b/>
        </w:rPr>
        <w:t xml:space="preserve">原文链接：</w:t>
      </w:r>
      <w:hyperlink r:id="rId58">
        <w:r>
          <w:rPr>
            <w:rStyle w:val="Hyperlink"/>
          </w:rPr>
          <w:t xml:space="preserve">https://doi.org/10.1111/1365-2664.70396</w:t>
        </w:r>
      </w:hyperlink>
    </w:p>
    <w:bookmarkEnd w:id="59"/>
    <w:bookmarkStart w:id="61" w:name="X905acebdd14cc95f550f8fda4b45b5b8b25f731"/>
    <w:p>
      <w:pPr>
        <w:pStyle w:val="Heading3"/>
      </w:pPr>
      <w:r>
        <w:t xml:space="preserve">10. Human Pressures Drive Compositional Homogenization and Functional Shifts in Southeast Asian Mammal Communities</w:t>
      </w:r>
    </w:p>
    <w:p>
      <w:pPr>
        <w:numPr>
          <w:ilvl w:val="0"/>
          <w:numId w:val="1020"/>
        </w:numPr>
        <w:pStyle w:val="Compact"/>
      </w:pPr>
      <w:r>
        <w:rPr>
          <w:bCs/>
          <w:b/>
        </w:rPr>
        <w:t xml:space="preserve">作者/期刊/日期：</w:t>
      </w:r>
      <w:r>
        <w:t xml:space="preserve">Yang Liu; Kenneth Otieno Onditi; Wenqiang Hu; Xuelong Jiang 等，</w:t>
      </w:r>
      <w:r>
        <w:rPr>
          <w:iCs/>
          <w:i/>
        </w:rPr>
        <w:t xml:space="preserve">Global Change Biology</w:t>
      </w:r>
      <w:r>
        <w:t xml:space="preserve">，2026-05-14。</w:t>
      </w:r>
    </w:p>
    <w:p>
      <w:pPr>
        <w:numPr>
          <w:ilvl w:val="0"/>
          <w:numId w:val="1020"/>
        </w:numPr>
        <w:pStyle w:val="Compact"/>
      </w:pPr>
      <w:r>
        <w:rPr>
          <w:bCs/>
          <w:b/>
        </w:rPr>
        <w:t xml:space="preserve">DOI：</w:t>
      </w:r>
      <w:hyperlink r:id="rId60">
        <w:r>
          <w:rPr>
            <w:rStyle w:val="Hyperlink"/>
          </w:rPr>
          <w:t xml:space="preserve">https://doi.org/10.1111/gcb.70916</w:t>
        </w:r>
      </w:hyperlink>
    </w:p>
    <w:p>
      <w:pPr>
        <w:numPr>
          <w:ilvl w:val="0"/>
          <w:numId w:val="1020"/>
        </w:numPr>
        <w:pStyle w:val="Compact"/>
      </w:pPr>
      <w:r>
        <w:rPr>
          <w:bCs/>
          <w:b/>
        </w:rPr>
        <w:t xml:space="preserve">要点：</w:t>
      </w:r>
      <w:r>
        <w:t xml:space="preserve">研究整合东南亚跨热带与温带森林 4508 个相机陷阱点位数据，联合评估人类压力对哺乳动物群落组成同质化和功能性状的影响。结果显示，人类活动广泛改变群落组装，热带/亚热带湿润阔叶林群落更脆弱。对亚洲森林生物多样性监测、道路/狩猎/土地利用压力管控和功能多样性保护有参考意义。</w:t>
      </w:r>
    </w:p>
    <w:p>
      <w:pPr>
        <w:numPr>
          <w:ilvl w:val="0"/>
          <w:numId w:val="1020"/>
        </w:numPr>
        <w:pStyle w:val="Compact"/>
      </w:pPr>
      <w:r>
        <w:rPr>
          <w:bCs/>
          <w:b/>
        </w:rPr>
        <w:t xml:space="preserve">原文链接：</w:t>
      </w:r>
      <w:hyperlink r:id="rId60">
        <w:r>
          <w:rPr>
            <w:rStyle w:val="Hyperlink"/>
          </w:rPr>
          <w:t xml:space="preserve">https://doi.org/10.1111/gcb.70916</w:t>
        </w:r>
      </w:hyperlink>
    </w:p>
    <w:bookmarkEnd w:id="61"/>
    <w:bookmarkStart w:id="63" w:name="Xeb13a7c06939b8916956d7444ea1733d6f4d43a"/>
    <w:p>
      <w:pPr>
        <w:pStyle w:val="Heading3"/>
      </w:pPr>
      <w:r>
        <w:t xml:space="preserve">11. Niche Differentiation of Native Species Promotes Biotic Resistance to Invasion in Freshwater Fishes Worldwide</w:t>
      </w:r>
    </w:p>
    <w:p>
      <w:pPr>
        <w:numPr>
          <w:ilvl w:val="0"/>
          <w:numId w:val="1021"/>
        </w:numPr>
        <w:pStyle w:val="Compact"/>
      </w:pPr>
      <w:r>
        <w:rPr>
          <w:bCs/>
          <w:b/>
        </w:rPr>
        <w:t xml:space="preserve">作者/期刊/日期：</w:t>
      </w:r>
      <w:r>
        <w:t xml:space="preserve">Chengzong Tian; Bo Yang; Jorge García-Girón; Zhongyang Li 等，</w:t>
      </w:r>
      <w:r>
        <w:rPr>
          <w:iCs/>
          <w:i/>
        </w:rPr>
        <w:t xml:space="preserve">Global Change Biology</w:t>
      </w:r>
      <w:r>
        <w:t xml:space="preserve">，2026-05-14。</w:t>
      </w:r>
    </w:p>
    <w:p>
      <w:pPr>
        <w:numPr>
          <w:ilvl w:val="0"/>
          <w:numId w:val="1021"/>
        </w:numPr>
        <w:pStyle w:val="Compact"/>
      </w:pPr>
      <w:r>
        <w:rPr>
          <w:bCs/>
          <w:b/>
        </w:rPr>
        <w:t xml:space="preserve">DOI：</w:t>
      </w:r>
      <w:hyperlink r:id="rId62">
        <w:r>
          <w:rPr>
            <w:rStyle w:val="Hyperlink"/>
          </w:rPr>
          <w:t xml:space="preserve">https://doi.org/10.1111/gcb.70905</w:t>
        </w:r>
      </w:hyperlink>
    </w:p>
    <w:p>
      <w:pPr>
        <w:numPr>
          <w:ilvl w:val="0"/>
          <w:numId w:val="1021"/>
        </w:numPr>
        <w:pStyle w:val="Compact"/>
      </w:pPr>
      <w:r>
        <w:rPr>
          <w:bCs/>
          <w:b/>
        </w:rPr>
        <w:t xml:space="preserve">要点：</w:t>
      </w:r>
      <w:r>
        <w:t xml:space="preserve">基于全球 2622 个河流流域的鱼类和环境数据，研究本土鱼类生态位分化、系统发育/功能多样性、物种丰富度与非本土鱼类入侵之间的关系。结果表明，本土鱼类占据更宽、更异质的生态位空间时，非本土鱼类丰富度和出现概率显著下降；生态位分化是生物抵抗的重要决定因素。对淡水生态修复、鱼类群落重建和外来鱼类防控有实用价值。</w:t>
      </w:r>
    </w:p>
    <w:p>
      <w:pPr>
        <w:numPr>
          <w:ilvl w:val="0"/>
          <w:numId w:val="1021"/>
        </w:numPr>
        <w:pStyle w:val="Compact"/>
      </w:pPr>
      <w:r>
        <w:rPr>
          <w:bCs/>
          <w:b/>
        </w:rPr>
        <w:t xml:space="preserve">原文链接：</w:t>
      </w:r>
      <w:hyperlink r:id="rId62">
        <w:r>
          <w:rPr>
            <w:rStyle w:val="Hyperlink"/>
          </w:rPr>
          <w:t xml:space="preserve">https://doi.org/10.1111/gcb.70905</w:t>
        </w:r>
      </w:hyperlink>
    </w:p>
    <w:bookmarkEnd w:id="63"/>
    <w:bookmarkStart w:id="65" w:name="X913bbef049e9171a7766787abd9a810c9e089be"/>
    <w:p>
      <w:pPr>
        <w:pStyle w:val="Heading3"/>
      </w:pPr>
      <w:r>
        <w:t xml:space="preserve">12. Wetland restoration for waterbird conservation: A framework and its application at Chongming Dongtan in China</w:t>
      </w:r>
    </w:p>
    <w:p>
      <w:pPr>
        <w:numPr>
          <w:ilvl w:val="0"/>
          <w:numId w:val="1022"/>
        </w:numPr>
        <w:pStyle w:val="Compact"/>
      </w:pPr>
      <w:r>
        <w:rPr>
          <w:bCs/>
          <w:b/>
        </w:rPr>
        <w:t xml:space="preserve">作者/期刊/日期：</w:t>
      </w:r>
      <w:r>
        <w:t xml:space="preserve">Ningning Liu; Yanlin Cui; Sen Yang; Yihao Fang 等，</w:t>
      </w:r>
      <w:r>
        <w:rPr>
          <w:iCs/>
          <w:i/>
        </w:rPr>
        <w:t xml:space="preserve">Biological Conservation</w:t>
      </w:r>
      <w:r>
        <w:t xml:space="preserve">，2026-05。</w:t>
      </w:r>
    </w:p>
    <w:p>
      <w:pPr>
        <w:numPr>
          <w:ilvl w:val="0"/>
          <w:numId w:val="1022"/>
        </w:numPr>
        <w:pStyle w:val="Compact"/>
      </w:pPr>
      <w:r>
        <w:rPr>
          <w:bCs/>
          <w:b/>
        </w:rPr>
        <w:t xml:space="preserve">DOI：</w:t>
      </w:r>
      <w:hyperlink r:id="rId64">
        <w:r>
          <w:rPr>
            <w:rStyle w:val="Hyperlink"/>
          </w:rPr>
          <w:t xml:space="preserve">https://doi.org/10.1016/j.biocon.2026.111799</w:t>
        </w:r>
      </w:hyperlink>
    </w:p>
    <w:p>
      <w:pPr>
        <w:numPr>
          <w:ilvl w:val="0"/>
          <w:numId w:val="1022"/>
        </w:numPr>
        <w:pStyle w:val="Compact"/>
      </w:pPr>
      <w:r>
        <w:rPr>
          <w:bCs/>
          <w:b/>
        </w:rPr>
        <w:t xml:space="preserve">要点：</w:t>
      </w:r>
      <w:r>
        <w:t xml:space="preserve">论文提出面向水鸟保护的湿地修复框架，并应用于中国崇明东滩案例。该主题与迁飞水鸟栖息地、滨海湿地修复、互花米草治理、栖息地质量评估和保护成效监测高度相关，适合作为中国湿地修复项目设计与评估的近期参考。</w:t>
      </w:r>
    </w:p>
    <w:p>
      <w:pPr>
        <w:numPr>
          <w:ilvl w:val="0"/>
          <w:numId w:val="1022"/>
        </w:numPr>
        <w:pStyle w:val="Compact"/>
      </w:pPr>
      <w:r>
        <w:rPr>
          <w:bCs/>
          <w:b/>
        </w:rPr>
        <w:t xml:space="preserve">原文链接：</w:t>
      </w:r>
      <w:hyperlink r:id="rId64">
        <w:r>
          <w:rPr>
            <w:rStyle w:val="Hyperlink"/>
          </w:rPr>
          <w:t xml:space="preserve">https://doi.org/10.1016/j.biocon.2026.111799</w:t>
        </w:r>
      </w:hyperlink>
    </w:p>
    <w:bookmarkEnd w:id="65"/>
    <w:bookmarkEnd w:id="66"/>
    <w:bookmarkStart w:id="83" w:name="四经典高被引论文非近期发表供专业参考"/>
    <w:p>
      <w:pPr>
        <w:pStyle w:val="Heading2"/>
      </w:pPr>
      <w:r>
        <w:t xml:space="preserve">四、经典高被引论文（非近期发表，供专业参考）</w:t>
      </w:r>
    </w:p>
    <w:bookmarkStart w:id="68" w:name="X36ee04657c30ec0a2fbf190f430705e1b0506f7"/>
    <w:p>
      <w:pPr>
        <w:pStyle w:val="Heading3"/>
      </w:pPr>
      <w:r>
        <w:t xml:space="preserve">1. Biodiversity loss and its impact on humanity</w:t>
      </w:r>
    </w:p>
    <w:p>
      <w:pPr>
        <w:numPr>
          <w:ilvl w:val="0"/>
          <w:numId w:val="1023"/>
        </w:numPr>
        <w:pStyle w:val="Compact"/>
      </w:pPr>
      <w:r>
        <w:rPr>
          <w:bCs/>
          <w:b/>
        </w:rPr>
        <w:t xml:space="preserve">作者/期刊/年份：</w:t>
      </w:r>
      <w:r>
        <w:t xml:space="preserve">Bradley J. Cardinale 等，</w:t>
      </w:r>
      <w:r>
        <w:rPr>
          <w:iCs/>
          <w:i/>
        </w:rPr>
        <w:t xml:space="preserve">Nature</w:t>
      </w:r>
      <w:r>
        <w:t xml:space="preserve">，2012。</w:t>
      </w:r>
    </w:p>
    <w:p>
      <w:pPr>
        <w:numPr>
          <w:ilvl w:val="0"/>
          <w:numId w:val="1023"/>
        </w:numPr>
        <w:pStyle w:val="Compact"/>
      </w:pPr>
      <w:r>
        <w:rPr>
          <w:bCs/>
          <w:b/>
        </w:rPr>
        <w:t xml:space="preserve">DOI：</w:t>
      </w:r>
      <w:hyperlink r:id="rId67">
        <w:r>
          <w:rPr>
            <w:rStyle w:val="Hyperlink"/>
          </w:rPr>
          <w:t xml:space="preserve">https://doi.org/10.1038/nature11148</w:t>
        </w:r>
      </w:hyperlink>
    </w:p>
    <w:p>
      <w:pPr>
        <w:numPr>
          <w:ilvl w:val="0"/>
          <w:numId w:val="1023"/>
        </w:numPr>
        <w:pStyle w:val="Compact"/>
      </w:pPr>
      <w:r>
        <w:rPr>
          <w:bCs/>
          <w:b/>
        </w:rPr>
        <w:t xml:space="preserve">参考价值：</w:t>
      </w:r>
      <w:r>
        <w:t xml:space="preserve">综合阐明生物多样性丧失如何影响生态系统功能和人类福祉，是连接生物多样性、生态系统服务和政策沟通的基础性综述。</w:t>
      </w:r>
    </w:p>
    <w:p>
      <w:pPr>
        <w:numPr>
          <w:ilvl w:val="0"/>
          <w:numId w:val="1023"/>
        </w:numPr>
        <w:pStyle w:val="Compact"/>
      </w:pPr>
      <w:r>
        <w:rPr>
          <w:bCs/>
          <w:b/>
        </w:rPr>
        <w:t xml:space="preserve">原文链接：</w:t>
      </w:r>
      <w:hyperlink r:id="rId67">
        <w:r>
          <w:rPr>
            <w:rStyle w:val="Hyperlink"/>
          </w:rPr>
          <w:t xml:space="preserve">https://doi.org/10.1038/nature11148</w:t>
        </w:r>
      </w:hyperlink>
    </w:p>
    <w:bookmarkEnd w:id="68"/>
    <w:bookmarkStart w:id="70" w:name="Xdbcc277e501d842513a1b187c643cf14b3e4f4a"/>
    <w:p>
      <w:pPr>
        <w:pStyle w:val="Heading3"/>
      </w:pPr>
      <w:r>
        <w:t xml:space="preserve">2. Enhancement of biodiversity and ecosystem services by ecological restoration: a meta-analysis</w:t>
      </w:r>
    </w:p>
    <w:p>
      <w:pPr>
        <w:numPr>
          <w:ilvl w:val="0"/>
          <w:numId w:val="1024"/>
        </w:numPr>
        <w:pStyle w:val="Compact"/>
      </w:pPr>
      <w:r>
        <w:rPr>
          <w:bCs/>
          <w:b/>
        </w:rPr>
        <w:t xml:space="preserve">作者/期刊/年份：</w:t>
      </w:r>
      <w:r>
        <w:t xml:space="preserve">José M. Rey Benayas; Adrian C. Newton; Anita Diaz; James M. Bullock，</w:t>
      </w:r>
      <w:r>
        <w:rPr>
          <w:iCs/>
          <w:i/>
        </w:rPr>
        <w:t xml:space="preserve">Science</w:t>
      </w:r>
      <w:r>
        <w:t xml:space="preserve">，2009。</w:t>
      </w:r>
    </w:p>
    <w:p>
      <w:pPr>
        <w:numPr>
          <w:ilvl w:val="0"/>
          <w:numId w:val="1024"/>
        </w:numPr>
        <w:pStyle w:val="Compact"/>
      </w:pPr>
      <w:r>
        <w:rPr>
          <w:bCs/>
          <w:b/>
        </w:rPr>
        <w:t xml:space="preserve">DOI：</w:t>
      </w:r>
      <w:hyperlink r:id="rId69">
        <w:r>
          <w:rPr>
            <w:rStyle w:val="Hyperlink"/>
          </w:rPr>
          <w:t xml:space="preserve">https://doi.org/10.1126/science.1172460</w:t>
        </w:r>
      </w:hyperlink>
    </w:p>
    <w:p>
      <w:pPr>
        <w:numPr>
          <w:ilvl w:val="0"/>
          <w:numId w:val="1024"/>
        </w:numPr>
        <w:pStyle w:val="Compact"/>
      </w:pPr>
      <w:r>
        <w:rPr>
          <w:bCs/>
          <w:b/>
        </w:rPr>
        <w:t xml:space="preserve">参考价值：</w:t>
      </w:r>
      <w:r>
        <w:t xml:space="preserve">经典生态修复荟萃分析，量化生态修复对生物多样性和生态系统服务的提升，是“修复是否有效、提升多少、与退化/参考生态系统差距多大”等问题的常用引用来源。</w:t>
      </w:r>
    </w:p>
    <w:p>
      <w:pPr>
        <w:numPr>
          <w:ilvl w:val="0"/>
          <w:numId w:val="1024"/>
        </w:numPr>
        <w:pStyle w:val="Compact"/>
      </w:pPr>
      <w:r>
        <w:rPr>
          <w:bCs/>
          <w:b/>
        </w:rPr>
        <w:t xml:space="preserve">原文链接：</w:t>
      </w:r>
      <w:hyperlink r:id="rId69">
        <w:r>
          <w:rPr>
            <w:rStyle w:val="Hyperlink"/>
          </w:rPr>
          <w:t xml:space="preserve">https://doi.org/10.1126/science.1172460</w:t>
        </w:r>
      </w:hyperlink>
    </w:p>
    <w:bookmarkEnd w:id="70"/>
    <w:bookmarkStart w:id="72" w:name="X541d11a006923964a31f9a9de6b1b73ac5355ba"/>
    <w:p>
      <w:pPr>
        <w:pStyle w:val="Heading3"/>
      </w:pPr>
      <w:r>
        <w:t xml:space="preserve">3. Biodiversity loss threatens human well-being</w:t>
      </w:r>
    </w:p>
    <w:p>
      <w:pPr>
        <w:numPr>
          <w:ilvl w:val="0"/>
          <w:numId w:val="1025"/>
        </w:numPr>
        <w:pStyle w:val="Compact"/>
      </w:pPr>
      <w:r>
        <w:rPr>
          <w:bCs/>
          <w:b/>
        </w:rPr>
        <w:t xml:space="preserve">作者/期刊/年份：</w:t>
      </w:r>
      <w:r>
        <w:t xml:space="preserve">Sandra Díaz; Joseph Fargione; F. Stuart Chapin III; David Tilman，</w:t>
      </w:r>
      <w:r>
        <w:rPr>
          <w:iCs/>
          <w:i/>
        </w:rPr>
        <w:t xml:space="preserve">PLoS Biology</w:t>
      </w:r>
      <w:r>
        <w:t xml:space="preserve">，2006。</w:t>
      </w:r>
    </w:p>
    <w:p>
      <w:pPr>
        <w:numPr>
          <w:ilvl w:val="0"/>
          <w:numId w:val="1025"/>
        </w:numPr>
        <w:pStyle w:val="Compact"/>
      </w:pPr>
      <w:r>
        <w:rPr>
          <w:bCs/>
          <w:b/>
        </w:rPr>
        <w:t xml:space="preserve">DOI：</w:t>
      </w:r>
      <w:hyperlink r:id="rId71">
        <w:r>
          <w:rPr>
            <w:rStyle w:val="Hyperlink"/>
          </w:rPr>
          <w:t xml:space="preserve">https://doi.org/10.1371/journal.pbio.0040277</w:t>
        </w:r>
      </w:hyperlink>
    </w:p>
    <w:p>
      <w:pPr>
        <w:numPr>
          <w:ilvl w:val="0"/>
          <w:numId w:val="1025"/>
        </w:numPr>
        <w:pStyle w:val="Compact"/>
      </w:pPr>
      <w:r>
        <w:rPr>
          <w:bCs/>
          <w:b/>
        </w:rPr>
        <w:t xml:space="preserve">参考价值：</w:t>
      </w:r>
      <w:r>
        <w:t xml:space="preserve">早期系统论述生物多样性丧失对生态系统服务和人类福祉的威胁，适合作为生态保护必要性、风险沟通和政策论证的经典文献。</w:t>
      </w:r>
    </w:p>
    <w:p>
      <w:pPr>
        <w:numPr>
          <w:ilvl w:val="0"/>
          <w:numId w:val="1025"/>
        </w:numPr>
        <w:pStyle w:val="Compact"/>
      </w:pPr>
      <w:r>
        <w:rPr>
          <w:bCs/>
          <w:b/>
        </w:rPr>
        <w:t xml:space="preserve">原文链接：</w:t>
      </w:r>
      <w:hyperlink r:id="rId71">
        <w:r>
          <w:rPr>
            <w:rStyle w:val="Hyperlink"/>
          </w:rPr>
          <w:t xml:space="preserve">https://doi.org/10.1371/journal.pbio.0040277</w:t>
        </w:r>
      </w:hyperlink>
    </w:p>
    <w:bookmarkEnd w:id="72"/>
    <w:bookmarkStart w:id="74" w:name="X6be468589e8800b611e70712359662ed8a873cf"/>
    <w:p>
      <w:pPr>
        <w:pStyle w:val="Heading3"/>
      </w:pPr>
      <w:r>
        <w:t xml:space="preserve">4. Resilience and Stability of Ecological Systems</w:t>
      </w:r>
    </w:p>
    <w:p>
      <w:pPr>
        <w:numPr>
          <w:ilvl w:val="0"/>
          <w:numId w:val="1026"/>
        </w:numPr>
        <w:pStyle w:val="Compact"/>
      </w:pPr>
      <w:r>
        <w:rPr>
          <w:bCs/>
          <w:b/>
        </w:rPr>
        <w:t xml:space="preserve">作者/期刊/年份：</w:t>
      </w:r>
      <w:r>
        <w:t xml:space="preserve">C. S. Holling，</w:t>
      </w:r>
      <w:r>
        <w:rPr>
          <w:iCs/>
          <w:i/>
        </w:rPr>
        <w:t xml:space="preserve">Annual Review of Ecology and Systematics</w:t>
      </w:r>
      <w:r>
        <w:t xml:space="preserve">，1973。</w:t>
      </w:r>
    </w:p>
    <w:p>
      <w:pPr>
        <w:numPr>
          <w:ilvl w:val="0"/>
          <w:numId w:val="1026"/>
        </w:numPr>
        <w:pStyle w:val="Compact"/>
      </w:pPr>
      <w:r>
        <w:rPr>
          <w:bCs/>
          <w:b/>
        </w:rPr>
        <w:t xml:space="preserve">DOI：</w:t>
      </w:r>
      <w:hyperlink r:id="rId73">
        <w:r>
          <w:rPr>
            <w:rStyle w:val="Hyperlink"/>
          </w:rPr>
          <w:t xml:space="preserve">https://doi.org/10.1146/annurev.es.04.110173.000245</w:t>
        </w:r>
      </w:hyperlink>
    </w:p>
    <w:p>
      <w:pPr>
        <w:numPr>
          <w:ilvl w:val="0"/>
          <w:numId w:val="1026"/>
        </w:numPr>
        <w:pStyle w:val="Compact"/>
      </w:pPr>
      <w:r>
        <w:rPr>
          <w:bCs/>
          <w:b/>
        </w:rPr>
        <w:t xml:space="preserve">参考价值：</w:t>
      </w:r>
      <w:r>
        <w:t xml:space="preserve">生态系统韧性理论的奠基文献，区分稳定性与韧性，对保护地管理、生态修复目标设定、扰动管理和适应性治理具有持续影响。</w:t>
      </w:r>
    </w:p>
    <w:p>
      <w:pPr>
        <w:numPr>
          <w:ilvl w:val="0"/>
          <w:numId w:val="1026"/>
        </w:numPr>
        <w:pStyle w:val="Compact"/>
      </w:pPr>
      <w:r>
        <w:rPr>
          <w:bCs/>
          <w:b/>
        </w:rPr>
        <w:t xml:space="preserve">原文链接：</w:t>
      </w:r>
      <w:hyperlink r:id="rId73">
        <w:r>
          <w:rPr>
            <w:rStyle w:val="Hyperlink"/>
          </w:rPr>
          <w:t xml:space="preserve">https://doi.org/10.1146/annurev.es.04.110173.000245</w:t>
        </w:r>
      </w:hyperlink>
    </w:p>
    <w:bookmarkEnd w:id="74"/>
    <w:bookmarkStart w:id="76" w:name="Xc9e192b71df8652e2339a60dc16a84498be90c7"/>
    <w:p>
      <w:pPr>
        <w:pStyle w:val="Heading3"/>
      </w:pPr>
      <w:r>
        <w:t xml:space="preserve">5. Toward an Era of Restoration in Ecology: Successes, Failures, and Opportunities Ahead</w:t>
      </w:r>
    </w:p>
    <w:p>
      <w:pPr>
        <w:numPr>
          <w:ilvl w:val="0"/>
          <w:numId w:val="1027"/>
        </w:numPr>
        <w:pStyle w:val="Compact"/>
      </w:pPr>
      <w:r>
        <w:rPr>
          <w:bCs/>
          <w:b/>
        </w:rPr>
        <w:t xml:space="preserve">作者/期刊/年份：</w:t>
      </w:r>
      <w:r>
        <w:t xml:space="preserve">Katharine N. Suding，</w:t>
      </w:r>
      <w:r>
        <w:rPr>
          <w:iCs/>
          <w:i/>
        </w:rPr>
        <w:t xml:space="preserve">Annual Review of Ecology, Evolution, and Systematics</w:t>
      </w:r>
      <w:r>
        <w:t xml:space="preserve">，2011。</w:t>
      </w:r>
    </w:p>
    <w:p>
      <w:pPr>
        <w:numPr>
          <w:ilvl w:val="0"/>
          <w:numId w:val="1027"/>
        </w:numPr>
        <w:pStyle w:val="Compact"/>
      </w:pPr>
      <w:r>
        <w:rPr>
          <w:bCs/>
          <w:b/>
        </w:rPr>
        <w:t xml:space="preserve">DOI：</w:t>
      </w:r>
      <w:hyperlink r:id="rId75">
        <w:r>
          <w:rPr>
            <w:rStyle w:val="Hyperlink"/>
          </w:rPr>
          <w:t xml:space="preserve">https://doi.org/10.1146/annurev-ecolsys-102710-145115</w:t>
        </w:r>
      </w:hyperlink>
    </w:p>
    <w:p>
      <w:pPr>
        <w:numPr>
          <w:ilvl w:val="0"/>
          <w:numId w:val="1027"/>
        </w:numPr>
        <w:pStyle w:val="Compact"/>
      </w:pPr>
      <w:r>
        <w:rPr>
          <w:bCs/>
          <w:b/>
        </w:rPr>
        <w:t xml:space="preserve">参考价值：</w:t>
      </w:r>
      <w:r>
        <w:t xml:space="preserve">总结生态修复的成功、失败和未来机会，强调阈值、反馈、历史遗留效应和长期监测，是修复生态学理论与实践衔接的重要综述。</w:t>
      </w:r>
    </w:p>
    <w:p>
      <w:pPr>
        <w:numPr>
          <w:ilvl w:val="0"/>
          <w:numId w:val="1027"/>
        </w:numPr>
        <w:pStyle w:val="Compact"/>
      </w:pPr>
      <w:r>
        <w:rPr>
          <w:bCs/>
          <w:b/>
        </w:rPr>
        <w:t xml:space="preserve">原文链接：</w:t>
      </w:r>
      <w:hyperlink r:id="rId75">
        <w:r>
          <w:rPr>
            <w:rStyle w:val="Hyperlink"/>
          </w:rPr>
          <w:t xml:space="preserve">https://doi.org/10.1146/annurev-ecolsys-102710-145115</w:t>
        </w:r>
      </w:hyperlink>
    </w:p>
    <w:bookmarkEnd w:id="76"/>
    <w:bookmarkStart w:id="78" w:name="X69894dc1c25d6494f374c9319ca2c7a01963eff"/>
    <w:p>
      <w:pPr>
        <w:pStyle w:val="Heading3"/>
      </w:pPr>
      <w:r>
        <w:t xml:space="preserve">6. Beyond Deforestation: Restoring Forests and Ecosystem Services on Degraded Lands</w:t>
      </w:r>
    </w:p>
    <w:p>
      <w:pPr>
        <w:numPr>
          <w:ilvl w:val="0"/>
          <w:numId w:val="1028"/>
        </w:numPr>
        <w:pStyle w:val="Compact"/>
      </w:pPr>
      <w:r>
        <w:rPr>
          <w:bCs/>
          <w:b/>
        </w:rPr>
        <w:t xml:space="preserve">作者/期刊/年份：</w:t>
      </w:r>
      <w:r>
        <w:t xml:space="preserve">Robin L. Chazdon，</w:t>
      </w:r>
      <w:r>
        <w:rPr>
          <w:iCs/>
          <w:i/>
        </w:rPr>
        <w:t xml:space="preserve">Science</w:t>
      </w:r>
      <w:r>
        <w:t xml:space="preserve">，2008。</w:t>
      </w:r>
    </w:p>
    <w:p>
      <w:pPr>
        <w:numPr>
          <w:ilvl w:val="0"/>
          <w:numId w:val="1028"/>
        </w:numPr>
        <w:pStyle w:val="Compact"/>
      </w:pPr>
      <w:r>
        <w:rPr>
          <w:bCs/>
          <w:b/>
        </w:rPr>
        <w:t xml:space="preserve">DOI：</w:t>
      </w:r>
      <w:hyperlink r:id="rId77">
        <w:r>
          <w:rPr>
            <w:rStyle w:val="Hyperlink"/>
          </w:rPr>
          <w:t xml:space="preserve">https://doi.org/10.1126/science.1155365</w:t>
        </w:r>
      </w:hyperlink>
    </w:p>
    <w:p>
      <w:pPr>
        <w:numPr>
          <w:ilvl w:val="0"/>
          <w:numId w:val="1028"/>
        </w:numPr>
        <w:pStyle w:val="Compact"/>
      </w:pPr>
      <w:r>
        <w:rPr>
          <w:bCs/>
          <w:b/>
        </w:rPr>
        <w:t xml:space="preserve">参考价值：</w:t>
      </w:r>
      <w:r>
        <w:t xml:space="preserve">从“止损式保护”扩展到退化地森林恢复与生态系统服务恢复，适合作为森林景观恢复、天然更新和多功能恢复目标讨论的经典入口。</w:t>
      </w:r>
    </w:p>
    <w:p>
      <w:pPr>
        <w:numPr>
          <w:ilvl w:val="0"/>
          <w:numId w:val="1028"/>
        </w:numPr>
        <w:pStyle w:val="Compact"/>
      </w:pPr>
      <w:r>
        <w:rPr>
          <w:bCs/>
          <w:b/>
        </w:rPr>
        <w:t xml:space="preserve">原文链接：</w:t>
      </w:r>
      <w:hyperlink r:id="rId77">
        <w:r>
          <w:rPr>
            <w:rStyle w:val="Hyperlink"/>
          </w:rPr>
          <w:t xml:space="preserve">https://doi.org/10.1126/science.1155365</w:t>
        </w:r>
      </w:hyperlink>
    </w:p>
    <w:bookmarkEnd w:id="78"/>
    <w:bookmarkStart w:id="80" w:name="X3351d7b91c2ba943e9d02d350693d19fec5bef8"/>
    <w:p>
      <w:pPr>
        <w:pStyle w:val="Heading3"/>
      </w:pPr>
      <w:r>
        <w:t xml:space="preserve">7. Biodiversity and ecosystem services: a multilayered relationship</w:t>
      </w:r>
    </w:p>
    <w:p>
      <w:pPr>
        <w:numPr>
          <w:ilvl w:val="0"/>
          <w:numId w:val="1029"/>
        </w:numPr>
        <w:pStyle w:val="Compact"/>
      </w:pPr>
      <w:r>
        <w:rPr>
          <w:bCs/>
          <w:b/>
        </w:rPr>
        <w:t xml:space="preserve">作者/期刊/年份：</w:t>
      </w:r>
      <w:r>
        <w:t xml:space="preserve">Georgina M. Mace; Ken Norris; Alastair H. Fitter，</w:t>
      </w:r>
      <w:r>
        <w:rPr>
          <w:iCs/>
          <w:i/>
        </w:rPr>
        <w:t xml:space="preserve">Trends in Ecology &amp; Evolution</w:t>
      </w:r>
      <w:r>
        <w:t xml:space="preserve">，2012。</w:t>
      </w:r>
    </w:p>
    <w:p>
      <w:pPr>
        <w:numPr>
          <w:ilvl w:val="0"/>
          <w:numId w:val="1029"/>
        </w:numPr>
        <w:pStyle w:val="Compact"/>
      </w:pPr>
      <w:r>
        <w:rPr>
          <w:bCs/>
          <w:b/>
        </w:rPr>
        <w:t xml:space="preserve">DOI：</w:t>
      </w:r>
      <w:hyperlink r:id="rId79">
        <w:r>
          <w:rPr>
            <w:rStyle w:val="Hyperlink"/>
          </w:rPr>
          <w:t xml:space="preserve">https://doi.org/10.1016/j.tree.2011.08.006</w:t>
        </w:r>
      </w:hyperlink>
    </w:p>
    <w:p>
      <w:pPr>
        <w:numPr>
          <w:ilvl w:val="0"/>
          <w:numId w:val="1029"/>
        </w:numPr>
        <w:pStyle w:val="Compact"/>
      </w:pPr>
      <w:r>
        <w:rPr>
          <w:bCs/>
          <w:b/>
        </w:rPr>
        <w:t xml:space="preserve">参考价值：</w:t>
      </w:r>
      <w:r>
        <w:t xml:space="preserve">提出生物多样性与生态系统服务之间多层次关系，帮助避免把生物多样性简单等同于服务供给，适合用于生态产品价值、生物多样性主流化和评估框架设计。</w:t>
      </w:r>
    </w:p>
    <w:p>
      <w:pPr>
        <w:numPr>
          <w:ilvl w:val="0"/>
          <w:numId w:val="1029"/>
        </w:numPr>
        <w:pStyle w:val="Compact"/>
      </w:pPr>
      <w:r>
        <w:rPr>
          <w:bCs/>
          <w:b/>
        </w:rPr>
        <w:t xml:space="preserve">原文链接：</w:t>
      </w:r>
      <w:hyperlink r:id="rId79">
        <w:r>
          <w:rPr>
            <w:rStyle w:val="Hyperlink"/>
          </w:rPr>
          <w:t xml:space="preserve">https://doi.org/10.1016/j.tree.2011.08.006</w:t>
        </w:r>
      </w:hyperlink>
    </w:p>
    <w:bookmarkEnd w:id="80"/>
    <w:bookmarkStart w:id="82" w:name="Xfce446657577daf83068aa184a466f6a3ac83f8"/>
    <w:p>
      <w:pPr>
        <w:pStyle w:val="Heading3"/>
      </w:pPr>
      <w:r>
        <w:t xml:space="preserve">8. The performance and potential of protected areas</w:t>
      </w:r>
    </w:p>
    <w:p>
      <w:pPr>
        <w:numPr>
          <w:ilvl w:val="0"/>
          <w:numId w:val="1030"/>
        </w:numPr>
        <w:pStyle w:val="Compact"/>
      </w:pPr>
      <w:r>
        <w:rPr>
          <w:bCs/>
          <w:b/>
        </w:rPr>
        <w:t xml:space="preserve">作者/期刊/年份：</w:t>
      </w:r>
      <w:r>
        <w:t xml:space="preserve">James E. M. Watson; Nigel Dudley; Daniel B. Segan; Marc Hockings，</w:t>
      </w:r>
      <w:r>
        <w:rPr>
          <w:iCs/>
          <w:i/>
        </w:rPr>
        <w:t xml:space="preserve">Nature</w:t>
      </w:r>
      <w:r>
        <w:t xml:space="preserve">，2014。</w:t>
      </w:r>
    </w:p>
    <w:p>
      <w:pPr>
        <w:numPr>
          <w:ilvl w:val="0"/>
          <w:numId w:val="1030"/>
        </w:numPr>
        <w:pStyle w:val="Compact"/>
      </w:pPr>
      <w:r>
        <w:rPr>
          <w:bCs/>
          <w:b/>
        </w:rPr>
        <w:t xml:space="preserve">DOI：</w:t>
      </w:r>
      <w:hyperlink r:id="rId81">
        <w:r>
          <w:rPr>
            <w:rStyle w:val="Hyperlink"/>
          </w:rPr>
          <w:t xml:space="preserve">https://doi.org/10.1038/nature13947</w:t>
        </w:r>
      </w:hyperlink>
    </w:p>
    <w:p>
      <w:pPr>
        <w:numPr>
          <w:ilvl w:val="0"/>
          <w:numId w:val="1030"/>
        </w:numPr>
        <w:pStyle w:val="Compact"/>
      </w:pPr>
      <w:r>
        <w:rPr>
          <w:bCs/>
          <w:b/>
        </w:rPr>
        <w:t xml:space="preserve">参考价值：</w:t>
      </w:r>
      <w:r>
        <w:t xml:space="preserve">系统讨论保护地的成效、潜力和管理质量问题，是保护地体系建设、有效管理评估和 30×30 目标讨论中的重要基础文献。</w:t>
      </w:r>
    </w:p>
    <w:p>
      <w:pPr>
        <w:numPr>
          <w:ilvl w:val="0"/>
          <w:numId w:val="1030"/>
        </w:numPr>
        <w:pStyle w:val="Compact"/>
      </w:pPr>
      <w:r>
        <w:rPr>
          <w:bCs/>
          <w:b/>
        </w:rPr>
        <w:t xml:space="preserve">原文链接：</w:t>
      </w:r>
      <w:hyperlink r:id="rId81">
        <w:r>
          <w:rPr>
            <w:rStyle w:val="Hyperlink"/>
          </w:rPr>
          <w:t xml:space="preserve">https://doi.org/10.1038/nature13947</w:t>
        </w:r>
      </w:hyperlink>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16/j.biocon.2026.111799" TargetMode="External" /><Relationship Type="http://schemas.openxmlformats.org/officeDocument/2006/relationships/hyperlink" Id="rId79" Target="https://doi.org/10.1016/j.tree.2011.08.006" TargetMode="External" /><Relationship Type="http://schemas.openxmlformats.org/officeDocument/2006/relationships/hyperlink" Id="rId67" Target="https://doi.org/10.1038/nature11148" TargetMode="External" /><Relationship Type="http://schemas.openxmlformats.org/officeDocument/2006/relationships/hyperlink" Id="rId81" Target="https://doi.org/10.1038/nature13947" TargetMode="External" /><Relationship Type="http://schemas.openxmlformats.org/officeDocument/2006/relationships/hyperlink" Id="rId52" Target="https://doi.org/10.1038/s41558-026-02639-4" TargetMode="External" /><Relationship Type="http://schemas.openxmlformats.org/officeDocument/2006/relationships/hyperlink" Id="rId48" Target="https://doi.org/10.1038/s41559-026-03047-9" TargetMode="External" /><Relationship Type="http://schemas.openxmlformats.org/officeDocument/2006/relationships/hyperlink" Id="rId50" Target="https://doi.org/10.1038/s41559-026-03068-4" TargetMode="External" /><Relationship Type="http://schemas.openxmlformats.org/officeDocument/2006/relationships/hyperlink" Id="rId58" Target="https://doi.org/10.1111/1365-2664.70396" TargetMode="External" /><Relationship Type="http://schemas.openxmlformats.org/officeDocument/2006/relationships/hyperlink" Id="rId54" Target="https://doi.org/10.1111/cobi.70322" TargetMode="External" /><Relationship Type="http://schemas.openxmlformats.org/officeDocument/2006/relationships/hyperlink" Id="rId62" Target="https://doi.org/10.1111/gcb.70905" TargetMode="External" /><Relationship Type="http://schemas.openxmlformats.org/officeDocument/2006/relationships/hyperlink" Id="rId60" Target="https://doi.org/10.1111/gcb.70916" TargetMode="External" /><Relationship Type="http://schemas.openxmlformats.org/officeDocument/2006/relationships/hyperlink" Id="rId56" Target="https://doi.org/10.1111/rec.70422" TargetMode="External" /><Relationship Type="http://schemas.openxmlformats.org/officeDocument/2006/relationships/hyperlink" Id="rId77" Target="https://doi.org/10.1126/science.1155365" TargetMode="External" /><Relationship Type="http://schemas.openxmlformats.org/officeDocument/2006/relationships/hyperlink" Id="rId69" Target="https://doi.org/10.1126/science.1172460" TargetMode="External" /><Relationship Type="http://schemas.openxmlformats.org/officeDocument/2006/relationships/hyperlink" Id="rId44" Target="https://doi.org/10.1126/science.adz0773" TargetMode="External" /><Relationship Type="http://schemas.openxmlformats.org/officeDocument/2006/relationships/hyperlink" Id="rId46" Target="https://doi.org/10.1126/science.aea1676" TargetMode="External" /><Relationship Type="http://schemas.openxmlformats.org/officeDocument/2006/relationships/hyperlink" Id="rId42" Target="https://doi.org/10.1126/science.aea9563" TargetMode="External" /><Relationship Type="http://schemas.openxmlformats.org/officeDocument/2006/relationships/hyperlink" Id="rId75" Target="https://doi.org/10.1146/annurev-ecolsys-102710-145115" TargetMode="External" /><Relationship Type="http://schemas.openxmlformats.org/officeDocument/2006/relationships/hyperlink" Id="rId73" Target="https://doi.org/10.1146/annurev.es.04.110173.000245" TargetMode="External" /><Relationship Type="http://schemas.openxmlformats.org/officeDocument/2006/relationships/hyperlink" Id="rId71" Target="https://doi.org/10.1371/journal.pbio.0040277" TargetMode="External" /><Relationship Type="http://schemas.openxmlformats.org/officeDocument/2006/relationships/hyperlink" Id="rId33" Target="https://www.fao.org/ecosystem-restoration-monitoring/news/news-detail/as-countries-report-on-biodiversity--restoration-data-is-starting-to-take-shape---but-more-needs-to-be-done/en" TargetMode="External" /><Relationship Type="http://schemas.openxmlformats.org/officeDocument/2006/relationships/hyperlink" Id="rId35" Target="https://www.fao.org/haltingdeforestation/news/detail/global-collaboration-strengthens-ecosystem-restoration-monitoring/en" TargetMode="External" /><Relationship Type="http://schemas.openxmlformats.org/officeDocument/2006/relationships/hyperlink" Id="rId26" Target="https://www.forestry.gov.cn/lyj/1/slyhswfz/20260513/670837.html" TargetMode="External" /><Relationship Type="http://schemas.openxmlformats.org/officeDocument/2006/relationships/hyperlink" Id="rId24" Target="https://www.forestry.gov.cn/lyj/1/stgtlh/20260512/670798.html" TargetMode="External" /><Relationship Type="http://schemas.openxmlformats.org/officeDocument/2006/relationships/hyperlink" Id="rId39" Target="https://www.ipbes.net/bba-report/media-release" TargetMode="External" /><Relationship Type="http://schemas.openxmlformats.org/officeDocument/2006/relationships/hyperlink" Id="rId37" Target="https://www.ipbes.net/node/97632" TargetMode="External" /><Relationship Type="http://schemas.openxmlformats.org/officeDocument/2006/relationships/hyperlink" Id="rId22" Target="https://www.mee.gov.cn/ywdt/hjywnews/202605/t20260509_1151387.shtml" TargetMode="External" /><Relationship Type="http://schemas.openxmlformats.org/officeDocument/2006/relationships/hyperlink" Id="rId20" Target="https://www.mee.gov.cn/ywdt/hjywnews/202605/t20260510_1151618.shtml" TargetMode="External" /><Relationship Type="http://schemas.openxmlformats.org/officeDocument/2006/relationships/hyperlink" Id="rId28" Target="https://www.mnr.gov.cn/dt/ywbb/202605/t20260511_2929080.html" TargetMode="External" /><Relationship Type="http://schemas.openxmlformats.org/officeDocument/2006/relationships/hyperlink" Id="rId31" Target="https://www.unep.org/resources/state-finance-nature-2026"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16/j.biocon.2026.111799" TargetMode="External" /><Relationship Type="http://schemas.openxmlformats.org/officeDocument/2006/relationships/hyperlink" Id="rId79" Target="https://doi.org/10.1016/j.tree.2011.08.006" TargetMode="External" /><Relationship Type="http://schemas.openxmlformats.org/officeDocument/2006/relationships/hyperlink" Id="rId67" Target="https://doi.org/10.1038/nature11148" TargetMode="External" /><Relationship Type="http://schemas.openxmlformats.org/officeDocument/2006/relationships/hyperlink" Id="rId81" Target="https://doi.org/10.1038/nature13947" TargetMode="External" /><Relationship Type="http://schemas.openxmlformats.org/officeDocument/2006/relationships/hyperlink" Id="rId52" Target="https://doi.org/10.1038/s41558-026-02639-4" TargetMode="External" /><Relationship Type="http://schemas.openxmlformats.org/officeDocument/2006/relationships/hyperlink" Id="rId48" Target="https://doi.org/10.1038/s41559-026-03047-9" TargetMode="External" /><Relationship Type="http://schemas.openxmlformats.org/officeDocument/2006/relationships/hyperlink" Id="rId50" Target="https://doi.org/10.1038/s41559-026-03068-4" TargetMode="External" /><Relationship Type="http://schemas.openxmlformats.org/officeDocument/2006/relationships/hyperlink" Id="rId58" Target="https://doi.org/10.1111/1365-2664.70396" TargetMode="External" /><Relationship Type="http://schemas.openxmlformats.org/officeDocument/2006/relationships/hyperlink" Id="rId54" Target="https://doi.org/10.1111/cobi.70322" TargetMode="External" /><Relationship Type="http://schemas.openxmlformats.org/officeDocument/2006/relationships/hyperlink" Id="rId62" Target="https://doi.org/10.1111/gcb.70905" TargetMode="External" /><Relationship Type="http://schemas.openxmlformats.org/officeDocument/2006/relationships/hyperlink" Id="rId60" Target="https://doi.org/10.1111/gcb.70916" TargetMode="External" /><Relationship Type="http://schemas.openxmlformats.org/officeDocument/2006/relationships/hyperlink" Id="rId56" Target="https://doi.org/10.1111/rec.70422" TargetMode="External" /><Relationship Type="http://schemas.openxmlformats.org/officeDocument/2006/relationships/hyperlink" Id="rId77" Target="https://doi.org/10.1126/science.1155365" TargetMode="External" /><Relationship Type="http://schemas.openxmlformats.org/officeDocument/2006/relationships/hyperlink" Id="rId69" Target="https://doi.org/10.1126/science.1172460" TargetMode="External" /><Relationship Type="http://schemas.openxmlformats.org/officeDocument/2006/relationships/hyperlink" Id="rId44" Target="https://doi.org/10.1126/science.adz0773" TargetMode="External" /><Relationship Type="http://schemas.openxmlformats.org/officeDocument/2006/relationships/hyperlink" Id="rId46" Target="https://doi.org/10.1126/science.aea1676" TargetMode="External" /><Relationship Type="http://schemas.openxmlformats.org/officeDocument/2006/relationships/hyperlink" Id="rId42" Target="https://doi.org/10.1126/science.aea9563" TargetMode="External" /><Relationship Type="http://schemas.openxmlformats.org/officeDocument/2006/relationships/hyperlink" Id="rId75" Target="https://doi.org/10.1146/annurev-ecolsys-102710-145115" TargetMode="External" /><Relationship Type="http://schemas.openxmlformats.org/officeDocument/2006/relationships/hyperlink" Id="rId73" Target="https://doi.org/10.1146/annurev.es.04.110173.000245" TargetMode="External" /><Relationship Type="http://schemas.openxmlformats.org/officeDocument/2006/relationships/hyperlink" Id="rId71" Target="https://doi.org/10.1371/journal.pbio.0040277" TargetMode="External" /><Relationship Type="http://schemas.openxmlformats.org/officeDocument/2006/relationships/hyperlink" Id="rId33" Target="https://www.fao.org/ecosystem-restoration-monitoring/news/news-detail/as-countries-report-on-biodiversity--restoration-data-is-starting-to-take-shape---but-more-needs-to-be-done/en" TargetMode="External" /><Relationship Type="http://schemas.openxmlformats.org/officeDocument/2006/relationships/hyperlink" Id="rId35" Target="https://www.fao.org/haltingdeforestation/news/detail/global-collaboration-strengthens-ecosystem-restoration-monitoring/en" TargetMode="External" /><Relationship Type="http://schemas.openxmlformats.org/officeDocument/2006/relationships/hyperlink" Id="rId26" Target="https://www.forestry.gov.cn/lyj/1/slyhswfz/20260513/670837.html" TargetMode="External" /><Relationship Type="http://schemas.openxmlformats.org/officeDocument/2006/relationships/hyperlink" Id="rId24" Target="https://www.forestry.gov.cn/lyj/1/stgtlh/20260512/670798.html" TargetMode="External" /><Relationship Type="http://schemas.openxmlformats.org/officeDocument/2006/relationships/hyperlink" Id="rId39" Target="https://www.ipbes.net/bba-report/media-release" TargetMode="External" /><Relationship Type="http://schemas.openxmlformats.org/officeDocument/2006/relationships/hyperlink" Id="rId37" Target="https://www.ipbes.net/node/97632" TargetMode="External" /><Relationship Type="http://schemas.openxmlformats.org/officeDocument/2006/relationships/hyperlink" Id="rId22" Target="https://www.mee.gov.cn/ywdt/hjywnews/202605/t20260509_1151387.shtml" TargetMode="External" /><Relationship Type="http://schemas.openxmlformats.org/officeDocument/2006/relationships/hyperlink" Id="rId20" Target="https://www.mee.gov.cn/ywdt/hjywnews/202605/t20260510_1151618.shtml" TargetMode="External" /><Relationship Type="http://schemas.openxmlformats.org/officeDocument/2006/relationships/hyperlink" Id="rId28" Target="https://www.mnr.gov.cn/dt/ywbb/202605/t20260511_2929080.html" TargetMode="External" /><Relationship Type="http://schemas.openxmlformats.org/officeDocument/2006/relationships/hyperlink" Id="rId31" Target="https://www.unep.org/resources/state-finance-nature-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2026-05-15T04:12:41Z</dcterms:created>
  <dcterms:modified xsi:type="dcterms:W3CDTF">2026-05-15T04:12:41Z</dcterms:modified>
</cp:coreProperties>
</file>

<file path=docProps/custom.xml><?xml version="1.0" encoding="utf-8"?>
<Properties xmlns="http://schemas.openxmlformats.org/officeDocument/2006/custom-properties" xmlns:vt="http://schemas.openxmlformats.org/officeDocument/2006/docPropsVTypes"/>
</file>