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D25A1" w14:textId="77777777" w:rsidR="000915DA" w:rsidRDefault="000915DA" w:rsidP="000915DA">
      <w:r>
        <w:t># Lab 10 - Understanding Cloud Landing Zones</w:t>
      </w:r>
    </w:p>
    <w:p w14:paraId="7B69426A" w14:textId="77777777" w:rsidR="000915DA" w:rsidRDefault="000915DA" w:rsidP="000915DA"/>
    <w:p w14:paraId="1025CDCD" w14:textId="4FDB3E3D" w:rsidR="000915DA" w:rsidRDefault="000915DA" w:rsidP="000915DA">
      <w:pPr>
        <w:rPr>
          <w:rFonts w:hint="eastAsia"/>
        </w:rPr>
      </w:pPr>
      <w:r>
        <w:t xml:space="preserve">## 1. </w:t>
      </w:r>
      <w:r w:rsidRPr="000915DA">
        <w:rPr>
          <w:rFonts w:hint="eastAsia"/>
        </w:rPr>
        <w:t>T</w:t>
      </w:r>
      <w:r w:rsidRPr="000915DA">
        <w:t>he concept of a Cloud Landing Zone</w:t>
      </w:r>
    </w:p>
    <w:p w14:paraId="1554FD87" w14:textId="77777777" w:rsidR="000915DA" w:rsidRDefault="000915DA" w:rsidP="000915DA"/>
    <w:p w14:paraId="788EE587" w14:textId="77777777" w:rsidR="000915DA" w:rsidRDefault="000915DA" w:rsidP="000915DA">
      <w:r>
        <w:t>### Definition and Purpose</w:t>
      </w:r>
    </w:p>
    <w:p w14:paraId="1D0862CF" w14:textId="58114E49" w:rsidR="000915DA" w:rsidRDefault="000915DA" w:rsidP="000915DA">
      <w:r>
        <w:t xml:space="preserve">An **Azure Landing Zone** is </w:t>
      </w:r>
      <w:proofErr w:type="gramStart"/>
      <w:r>
        <w:t xml:space="preserve">a </w:t>
      </w:r>
      <w:r w:rsidR="00970114" w:rsidRPr="00970114">
        <w:t>the</w:t>
      </w:r>
      <w:proofErr w:type="gramEnd"/>
      <w:r w:rsidR="00970114" w:rsidRPr="00970114">
        <w:t xml:space="preserve"> output of a multi-subscription Azure environment that accounts for scale, security governance, networking, and identity. </w:t>
      </w:r>
      <w:r w:rsidR="00970114">
        <w:rPr>
          <w:rFonts w:hint="eastAsia"/>
        </w:rPr>
        <w:t xml:space="preserve"> </w:t>
      </w:r>
      <w:r>
        <w:t xml:space="preserve">It helps </w:t>
      </w:r>
      <w:r w:rsidR="00970114">
        <w:rPr>
          <w:rFonts w:hint="eastAsia"/>
        </w:rPr>
        <w:t>Corp</w:t>
      </w:r>
      <w:r w:rsidR="00970114">
        <w:t>s</w:t>
      </w:r>
      <w:r w:rsidR="00970114">
        <w:rPr>
          <w:rFonts w:hint="eastAsia"/>
        </w:rPr>
        <w:t xml:space="preserve"> </w:t>
      </w:r>
      <w:r w:rsidR="00970114">
        <w:t xml:space="preserve">and Governments </w:t>
      </w:r>
      <w:r>
        <w:t>migrate, modernize, and innovate in the cloud.</w:t>
      </w:r>
    </w:p>
    <w:p w14:paraId="65C34EED" w14:textId="77777777" w:rsidR="000915DA" w:rsidRDefault="000915DA" w:rsidP="000915DA"/>
    <w:p w14:paraId="10B7CEFD" w14:textId="16008DE5" w:rsidR="000915DA" w:rsidRDefault="000915DA" w:rsidP="000915DA">
      <w:r>
        <w:t>A landing zone provides a **pre-</w:t>
      </w:r>
      <w:r w:rsidR="00970114">
        <w:t>provision</w:t>
      </w:r>
      <w:r>
        <w:t>ed** space for workloads</w:t>
      </w:r>
      <w:r w:rsidR="00970114">
        <w:t xml:space="preserve"> </w:t>
      </w:r>
      <w:r w:rsidR="00970114" w:rsidRPr="00970114">
        <w:t>through code</w:t>
      </w:r>
      <w:r w:rsidR="00970114">
        <w:t>.</w:t>
      </w:r>
    </w:p>
    <w:p w14:paraId="768C812B" w14:textId="77777777" w:rsidR="000915DA" w:rsidRDefault="000915DA" w:rsidP="000915DA"/>
    <w:p w14:paraId="074456D8" w14:textId="77777777" w:rsidR="000915DA" w:rsidRDefault="000915DA" w:rsidP="000915DA">
      <w:r>
        <w:t>### Key Characteristics</w:t>
      </w:r>
    </w:p>
    <w:p w14:paraId="63C4587C" w14:textId="20225A68" w:rsidR="000915DA" w:rsidRDefault="000915DA" w:rsidP="000915DA">
      <w:r>
        <w:t xml:space="preserve">- **Scalability**: </w:t>
      </w:r>
      <w:r w:rsidR="00970114" w:rsidRPr="00970114">
        <w:t>All Azure landing zones support cloud adoption at scale by providing repeatable environments, with consistent configuration and controls, regardless of the workloads or Azure resources deployed to each landing zone instance.</w:t>
      </w:r>
    </w:p>
    <w:p w14:paraId="7E8379D7" w14:textId="4DED0BDC" w:rsidR="000915DA" w:rsidRDefault="000915DA" w:rsidP="000915DA">
      <w:r>
        <w:t xml:space="preserve">- **Modularity**: </w:t>
      </w:r>
      <w:r w:rsidR="00970114" w:rsidRPr="00970114">
        <w:t>All Azure landing zones provide an extensible approach to building out your environment, based on a common set of design areas</w:t>
      </w:r>
      <w:r>
        <w:t>.</w:t>
      </w:r>
    </w:p>
    <w:p w14:paraId="591BE544" w14:textId="19ECDE07" w:rsidR="000915DA" w:rsidRDefault="000915DA" w:rsidP="000915DA">
      <w:r>
        <w:t>- **Security &amp; Compliance**: Enforces governance policies and meets regulatory requirements.</w:t>
      </w:r>
    </w:p>
    <w:p w14:paraId="4C5242DC" w14:textId="2F0E639F" w:rsidR="000915DA" w:rsidRDefault="000915DA" w:rsidP="000915DA">
      <w:r>
        <w:t>## 2. Comparing Different Types of Landing Zones</w:t>
      </w:r>
    </w:p>
    <w:p w14:paraId="2E4CDC31" w14:textId="77777777" w:rsidR="000915DA" w:rsidRDefault="000915DA" w:rsidP="000915DA">
      <w:r>
        <w:t>- **Platform Landing Zones**:</w:t>
      </w:r>
    </w:p>
    <w:p w14:paraId="55A81AB7" w14:textId="656C8C68" w:rsidR="000915DA" w:rsidRDefault="000915DA" w:rsidP="000915DA">
      <w:r>
        <w:t xml:space="preserve">  - Provide the **</w:t>
      </w:r>
      <w:r w:rsidR="00970114" w:rsidRPr="00970114">
        <w:rPr>
          <w:rFonts w:eastAsia="Arial" w:hAnsi="Arial" w:cs="Arial"/>
          <w:color w:val="A02B93" w:themeColor="accent5"/>
          <w:kern w:val="24"/>
          <w:position w:val="1"/>
          <w:sz w:val="64"/>
          <w:szCs w:val="64"/>
        </w:rPr>
        <w:t xml:space="preserve"> </w:t>
      </w:r>
      <w:r w:rsidR="00970114" w:rsidRPr="00970114">
        <w:t xml:space="preserve">centralized </w:t>
      </w:r>
      <w:proofErr w:type="gramStart"/>
      <w:r w:rsidR="00970114" w:rsidRPr="00970114">
        <w:t>services</w:t>
      </w:r>
      <w:r w:rsidR="00970114">
        <w:t xml:space="preserve"> </w:t>
      </w:r>
      <w:r w:rsidR="00801CF4">
        <w:t xml:space="preserve"> </w:t>
      </w:r>
      <w:r>
        <w:t>*</w:t>
      </w:r>
      <w:proofErr w:type="gramEnd"/>
      <w:r>
        <w:t>* for networking</w:t>
      </w:r>
      <w:r w:rsidR="00801CF4">
        <w:t>,</w:t>
      </w:r>
      <w:r w:rsidR="00801CF4" w:rsidRPr="00801CF4">
        <w:rPr>
          <w:rFonts w:eastAsia="Arial" w:hAnsi="Arial" w:cs="Arial"/>
          <w:color w:val="A02B93" w:themeColor="accent5"/>
          <w:kern w:val="24"/>
          <w:position w:val="1"/>
          <w:sz w:val="64"/>
          <w:szCs w:val="64"/>
        </w:rPr>
        <w:t xml:space="preserve"> </w:t>
      </w:r>
      <w:r w:rsidR="00801CF4" w:rsidRPr="00801CF4">
        <w:t>identity</w:t>
      </w:r>
    </w:p>
    <w:p w14:paraId="2D15D34C" w14:textId="76DC8FEC" w:rsidR="000915DA" w:rsidRDefault="000915DA" w:rsidP="000915DA">
      <w:r>
        <w:t xml:space="preserve">  - </w:t>
      </w:r>
      <w:r w:rsidR="00801CF4" w:rsidRPr="00801CF4">
        <w:t>Platform landing zones represent key services that often benefit from being consolidated for efficiency and ease of operations</w:t>
      </w:r>
      <w:r>
        <w:t>.</w:t>
      </w:r>
    </w:p>
    <w:p w14:paraId="7729B7E4" w14:textId="69D0FAF6" w:rsidR="000915DA" w:rsidRDefault="00801CF4" w:rsidP="000915DA">
      <w:r>
        <w:t xml:space="preserve">  - </w:t>
      </w:r>
      <w:r>
        <w:t>Example:</w:t>
      </w:r>
      <w:r w:rsidRPr="00801CF4">
        <w:rPr>
          <w:rFonts w:eastAsia="Arial" w:hAnsi="Arial" w:cs="Arial"/>
          <w:color w:val="A02B93" w:themeColor="accent5"/>
          <w:kern w:val="24"/>
          <w:position w:val="1"/>
          <w:sz w:val="64"/>
          <w:szCs w:val="64"/>
        </w:rPr>
        <w:t xml:space="preserve"> </w:t>
      </w:r>
      <w:r w:rsidRPr="00801CF4">
        <w:t>networking, identity, and management services</w:t>
      </w:r>
      <w:r>
        <w:t>.</w:t>
      </w:r>
    </w:p>
    <w:p w14:paraId="1680AE33" w14:textId="77777777" w:rsidR="000915DA" w:rsidRDefault="000915DA" w:rsidP="000915DA">
      <w:r>
        <w:t>- **Application Landing Zones**:</w:t>
      </w:r>
    </w:p>
    <w:p w14:paraId="61A7A47B" w14:textId="43D54135" w:rsidR="000915DA" w:rsidRDefault="000915DA" w:rsidP="000915DA">
      <w:r>
        <w:t xml:space="preserve">  - </w:t>
      </w:r>
      <w:r w:rsidR="00801CF4" w:rsidRPr="00801CF4">
        <w:t>placed in management groups like '</w:t>
      </w:r>
      <w:proofErr w:type="spellStart"/>
      <w:r w:rsidR="00801CF4" w:rsidRPr="00801CF4">
        <w:t>corp</w:t>
      </w:r>
      <w:proofErr w:type="spellEnd"/>
      <w:r w:rsidR="00801CF4" w:rsidRPr="00801CF4">
        <w:t>' or 'online' beneath the 'landing zones' management group</w:t>
      </w:r>
      <w:r>
        <w:t>.</w:t>
      </w:r>
    </w:p>
    <w:p w14:paraId="775DE73C" w14:textId="153543D2" w:rsidR="000915DA" w:rsidRDefault="000915DA" w:rsidP="000915DA">
      <w:r>
        <w:lastRenderedPageBreak/>
        <w:t xml:space="preserve">  - </w:t>
      </w:r>
      <w:r w:rsidR="00801CF4" w:rsidRPr="00801CF4">
        <w:t>One or more subscriptions deployed as an environment for an application or workload.</w:t>
      </w:r>
    </w:p>
    <w:p w14:paraId="19A4C687" w14:textId="77777777" w:rsidR="000915DA" w:rsidRDefault="000915DA" w:rsidP="000915DA"/>
    <w:p w14:paraId="6160E715" w14:textId="77777777" w:rsidR="000915DA" w:rsidRDefault="000915DA" w:rsidP="000915DA">
      <w:r>
        <w:t>## 3. Analyzing Operating Models</w:t>
      </w:r>
    </w:p>
    <w:p w14:paraId="5D8DF9C0" w14:textId="77777777" w:rsidR="000915DA" w:rsidRDefault="000915DA" w:rsidP="000915DA"/>
    <w:p w14:paraId="2AB334E2" w14:textId="77777777" w:rsidR="000915DA" w:rsidRDefault="000915DA" w:rsidP="000915DA">
      <w:r>
        <w:t>### Comparison of Operating Models</w:t>
      </w:r>
    </w:p>
    <w:p w14:paraId="38009ECA" w14:textId="77777777" w:rsidR="000915DA" w:rsidRDefault="000915DA" w:rsidP="000915DA">
      <w:r>
        <w:t xml:space="preserve">| Operating </w:t>
      </w:r>
      <w:proofErr w:type="gramStart"/>
      <w:r>
        <w:t>Model  |</w:t>
      </w:r>
      <w:proofErr w:type="gramEnd"/>
      <w:r>
        <w:t xml:space="preserve"> Description |</w:t>
      </w:r>
    </w:p>
    <w:p w14:paraId="0AD87950" w14:textId="77777777" w:rsidR="000915DA" w:rsidRDefault="000915DA" w:rsidP="000915DA">
      <w:r>
        <w:t>|-----------------|-------------|</w:t>
      </w:r>
    </w:p>
    <w:p w14:paraId="2DB2A1F1" w14:textId="32D61042" w:rsidR="000915DA" w:rsidRDefault="000915DA" w:rsidP="000915DA">
      <w:r>
        <w:t xml:space="preserve">| **Decentralized** | </w:t>
      </w:r>
      <w:r w:rsidR="00801CF4" w:rsidRPr="00801CF4">
        <w:t xml:space="preserve">The least complex operating </w:t>
      </w:r>
      <w:proofErr w:type="gramStart"/>
      <w:r w:rsidR="00801CF4" w:rsidRPr="00801CF4">
        <w:t xml:space="preserve">model </w:t>
      </w:r>
      <w:r w:rsidR="00801CF4">
        <w:t>,</w:t>
      </w:r>
      <w:proofErr w:type="gramEnd"/>
      <w:r w:rsidR="00801CF4" w:rsidRPr="00801CF4">
        <w:rPr>
          <w:rFonts w:hAnsi="Arial"/>
          <w:color w:val="A02B93" w:themeColor="accent5"/>
          <w:kern w:val="24"/>
          <w:position w:val="1"/>
          <w:sz w:val="64"/>
          <w:szCs w:val="64"/>
        </w:rPr>
        <w:t xml:space="preserve"> </w:t>
      </w:r>
      <w:r w:rsidR="00801CF4" w:rsidRPr="00801CF4">
        <w:t>highly focused on independent workloads with minimal dependency on centralized operations</w:t>
      </w:r>
      <w:r w:rsidR="00801CF4" w:rsidRPr="00801CF4">
        <w:t xml:space="preserve"> </w:t>
      </w:r>
      <w:r>
        <w:t>|</w:t>
      </w:r>
    </w:p>
    <w:p w14:paraId="38FB7703" w14:textId="70FC92BA" w:rsidR="000915DA" w:rsidRDefault="000915DA" w:rsidP="000915DA">
      <w:r>
        <w:t xml:space="preserve">| **Centralized** | </w:t>
      </w:r>
      <w:r w:rsidR="00801CF4" w:rsidRPr="00801CF4">
        <w:t xml:space="preserve">the most common operations </w:t>
      </w:r>
      <w:proofErr w:type="gramStart"/>
      <w:r w:rsidR="00801CF4" w:rsidRPr="00801CF4">
        <w:t>mode</w:t>
      </w:r>
      <w:r w:rsidR="00801CF4" w:rsidRPr="00801CF4">
        <w:t xml:space="preserve"> </w:t>
      </w:r>
      <w:r w:rsidR="00801CF4">
        <w:t>.</w:t>
      </w:r>
      <w:r>
        <w:t>A</w:t>
      </w:r>
      <w:proofErr w:type="gramEnd"/>
      <w:r>
        <w:t xml:space="preserve"> single team controls all cloud governance and operations. |</w:t>
      </w:r>
    </w:p>
    <w:p w14:paraId="22118D7A" w14:textId="3EFF0F81" w:rsidR="000915DA" w:rsidRDefault="000915DA" w:rsidP="000915DA">
      <w:r>
        <w:t xml:space="preserve">| **Enterprise** | </w:t>
      </w:r>
      <w:r w:rsidR="00AD6754">
        <w:t xml:space="preserve">Function for </w:t>
      </w:r>
      <w:r w:rsidR="00AD6754" w:rsidRPr="00AD6754">
        <w:t xml:space="preserve">migrating entire datacenters or large portfolios to the </w:t>
      </w:r>
      <w:proofErr w:type="gramStart"/>
      <w:r w:rsidR="00AD6754" w:rsidRPr="00AD6754">
        <w:t>cloud</w:t>
      </w:r>
      <w:r w:rsidR="00AD6754" w:rsidRPr="00AD6754">
        <w:t xml:space="preserve"> </w:t>
      </w:r>
      <w:r>
        <w:t>.</w:t>
      </w:r>
      <w:proofErr w:type="gramEnd"/>
      <w:r>
        <w:t xml:space="preserve"> |</w:t>
      </w:r>
    </w:p>
    <w:p w14:paraId="166D3D91" w14:textId="50B200C5" w:rsidR="000915DA" w:rsidRDefault="000915DA" w:rsidP="000915DA">
      <w:r>
        <w:t xml:space="preserve">| **Distributed** | </w:t>
      </w:r>
      <w:r w:rsidR="00AD6754" w:rsidRPr="00AD6754">
        <w:t xml:space="preserve">is the most complex form of </w:t>
      </w:r>
      <w:proofErr w:type="gramStart"/>
      <w:r w:rsidR="00AD6754" w:rsidRPr="00AD6754">
        <w:t>operations</w:t>
      </w:r>
      <w:r w:rsidR="00AD6754" w:rsidRPr="00AD6754">
        <w:t xml:space="preserve"> </w:t>
      </w:r>
      <w:r w:rsidR="00AD6754">
        <w:t>,</w:t>
      </w:r>
      <w:proofErr w:type="gramEnd"/>
      <w:r w:rsidR="00AD6754" w:rsidRPr="00AD6754">
        <w:rPr>
          <w:rFonts w:hAnsi="Arial"/>
          <w:color w:val="A02B93" w:themeColor="accent5"/>
          <w:kern w:val="24"/>
          <w:position w:val="1"/>
          <w:sz w:val="54"/>
          <w:szCs w:val="54"/>
        </w:rPr>
        <w:t xml:space="preserve"> </w:t>
      </w:r>
      <w:r w:rsidR="00AD6754" w:rsidRPr="00AD6754">
        <w:t>is the most complex form of operations</w:t>
      </w:r>
      <w:r>
        <w:t>. |</w:t>
      </w:r>
    </w:p>
    <w:p w14:paraId="77DF98A6" w14:textId="77777777" w:rsidR="000915DA" w:rsidRDefault="000915DA" w:rsidP="000915DA"/>
    <w:p w14:paraId="57F00241" w14:textId="77777777" w:rsidR="000915DA" w:rsidRDefault="000915DA" w:rsidP="000915DA">
      <w:r>
        <w:t>### Best Model for Data Center Migration</w:t>
      </w:r>
    </w:p>
    <w:p w14:paraId="2D934B4F" w14:textId="77777777" w:rsidR="000915DA" w:rsidRDefault="000915DA" w:rsidP="000915DA">
      <w:r>
        <w:t>For migrating an entire **data center**, the **Enterprise Model** is the best option because:</w:t>
      </w:r>
    </w:p>
    <w:p w14:paraId="445A7E25" w14:textId="34098E71" w:rsidR="000915DA" w:rsidRDefault="00AD6754" w:rsidP="000915DA">
      <w:r>
        <w:t>The E</w:t>
      </w:r>
      <w:r w:rsidRPr="00AD6754">
        <w:t>nterprise operations focus on a larger number of landing zones with foundational utilities centralized into a platform foundation.</w:t>
      </w:r>
    </w:p>
    <w:p w14:paraId="2602AFE9" w14:textId="0386D0CD" w:rsidR="000915DA" w:rsidRDefault="000915DA" w:rsidP="000915DA">
      <w:r>
        <w:t xml:space="preserve">## 4. </w:t>
      </w:r>
      <w:r w:rsidRPr="000915DA">
        <w:t>Landing Zone Deployment Strategies</w:t>
      </w:r>
    </w:p>
    <w:p w14:paraId="75A4FF3F" w14:textId="77777777" w:rsidR="00AD6754" w:rsidRDefault="00AD6754" w:rsidP="00AD6754">
      <w:r>
        <w:t>- **Azure Landing Zone Accelerator**:</w:t>
      </w:r>
    </w:p>
    <w:p w14:paraId="55E11CC8" w14:textId="77777777" w:rsidR="00AD6754" w:rsidRDefault="00AD6754" w:rsidP="00AD6754">
      <w:r>
        <w:t xml:space="preserve">  - Provides a **ready-to-use** environment following Microsoft's best practices.</w:t>
      </w:r>
    </w:p>
    <w:p w14:paraId="3819F91A" w14:textId="77777777" w:rsidR="00AD6754" w:rsidRDefault="00AD6754" w:rsidP="00AD6754">
      <w:r>
        <w:t xml:space="preserve">  </w:t>
      </w:r>
    </w:p>
    <w:p w14:paraId="5776291E" w14:textId="77777777" w:rsidR="00AD6754" w:rsidRDefault="00AD6754" w:rsidP="00AD6754">
      <w:r>
        <w:t>- **Customization Approach**:</w:t>
      </w:r>
    </w:p>
    <w:p w14:paraId="0D352143" w14:textId="6B145975" w:rsidR="000915DA" w:rsidRDefault="00AD6754" w:rsidP="00AD6754">
      <w:r>
        <w:t xml:space="preserve">  - Allows organizations to **adapt the landing zone** to their unique security and compliance requirements.</w:t>
      </w:r>
    </w:p>
    <w:p w14:paraId="4A49B63F" w14:textId="77777777" w:rsidR="000915DA" w:rsidRDefault="000915DA" w:rsidP="000915DA">
      <w:r>
        <w:t>## 5. Personal Reflection</w:t>
      </w:r>
    </w:p>
    <w:p w14:paraId="08E15D7D" w14:textId="77777777" w:rsidR="000915DA" w:rsidRDefault="000915DA" w:rsidP="000915DA"/>
    <w:p w14:paraId="48CC4CA4" w14:textId="77777777" w:rsidR="000915DA" w:rsidRDefault="000915DA" w:rsidP="000915DA">
      <w:r>
        <w:t>If I were designing a **Landing Zone for a large enterprise**, my key considerations would be:</w:t>
      </w:r>
    </w:p>
    <w:p w14:paraId="60A50D50" w14:textId="7D159ACF" w:rsidR="000915DA" w:rsidRDefault="000915DA" w:rsidP="000915DA">
      <w:r>
        <w:t>- ** Compliance**: Ensuring all **regulatory standards** are met.</w:t>
      </w:r>
    </w:p>
    <w:p w14:paraId="36FC98D2" w14:textId="77777777" w:rsidR="000915DA" w:rsidRDefault="000915DA" w:rsidP="000915DA">
      <w:r>
        <w:t>- **Networking &amp; Identity Management**: Setting up **secure access controls and connectivity**.</w:t>
      </w:r>
    </w:p>
    <w:p w14:paraId="137F7334" w14:textId="5AA8B778" w:rsidR="000915DA" w:rsidRDefault="000915DA" w:rsidP="000915DA">
      <w:r>
        <w:t xml:space="preserve">- </w:t>
      </w:r>
      <w:proofErr w:type="gramStart"/>
      <w:r>
        <w:t>*</w:t>
      </w:r>
      <w:r w:rsidR="00E35264">
        <w:t>.</w:t>
      </w:r>
      <w:r>
        <w:t>Scalability</w:t>
      </w:r>
      <w:proofErr w:type="gramEnd"/>
      <w:r>
        <w:t xml:space="preserve"> &amp; Modularity**: Making sure the environment can **grow and adapt**.</w:t>
      </w:r>
    </w:p>
    <w:p w14:paraId="1B734D3D" w14:textId="77777777" w:rsidR="000915DA" w:rsidRDefault="000915DA" w:rsidP="000915DA">
      <w:r>
        <w:t>- **Automation &amp; Governance**: Using **Infrastructure as Code (</w:t>
      </w:r>
      <w:proofErr w:type="spellStart"/>
      <w:r>
        <w:t>IaC</w:t>
      </w:r>
      <w:proofErr w:type="spellEnd"/>
      <w:r>
        <w:t>)** to improve efficiency.</w:t>
      </w:r>
    </w:p>
    <w:p w14:paraId="411D9A02" w14:textId="093A00E8" w:rsidR="000915DA" w:rsidRDefault="00AD6754" w:rsidP="000915DA">
      <w:r w:rsidRPr="00AD6754">
        <w:t>I would build a **secure, scalable, and well-governed** cloud environment for</w:t>
      </w:r>
      <w:r w:rsidR="00E35264">
        <w:rPr>
          <w:rFonts w:hint="eastAsia"/>
        </w:rPr>
        <w:t xml:space="preserve"> the large enterprise Case</w:t>
      </w:r>
      <w:r w:rsidR="00E35264">
        <w:t>.</w:t>
      </w:r>
    </w:p>
    <w:sectPr w:rsidR="000915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6B6B64"/>
    <w:multiLevelType w:val="hybridMultilevel"/>
    <w:tmpl w:val="32E2576A"/>
    <w:lvl w:ilvl="0" w:tplc="F7A074FE">
      <w:start w:val="1"/>
      <w:numFmt w:val="bullet"/>
      <w:lvlText w:val="•"/>
      <w:lvlJc w:val="left"/>
      <w:pPr>
        <w:tabs>
          <w:tab w:val="num" w:pos="720"/>
        </w:tabs>
        <w:ind w:left="720" w:hanging="360"/>
      </w:pPr>
      <w:rPr>
        <w:rFonts w:ascii="Arial" w:hAnsi="Arial" w:hint="default"/>
      </w:rPr>
    </w:lvl>
    <w:lvl w:ilvl="1" w:tplc="C08EC1DE" w:tentative="1">
      <w:start w:val="1"/>
      <w:numFmt w:val="bullet"/>
      <w:lvlText w:val="•"/>
      <w:lvlJc w:val="left"/>
      <w:pPr>
        <w:tabs>
          <w:tab w:val="num" w:pos="1440"/>
        </w:tabs>
        <w:ind w:left="1440" w:hanging="360"/>
      </w:pPr>
      <w:rPr>
        <w:rFonts w:ascii="Arial" w:hAnsi="Arial" w:hint="default"/>
      </w:rPr>
    </w:lvl>
    <w:lvl w:ilvl="2" w:tplc="DF7AE20A" w:tentative="1">
      <w:start w:val="1"/>
      <w:numFmt w:val="bullet"/>
      <w:lvlText w:val="•"/>
      <w:lvlJc w:val="left"/>
      <w:pPr>
        <w:tabs>
          <w:tab w:val="num" w:pos="2160"/>
        </w:tabs>
        <w:ind w:left="2160" w:hanging="360"/>
      </w:pPr>
      <w:rPr>
        <w:rFonts w:ascii="Arial" w:hAnsi="Arial" w:hint="default"/>
      </w:rPr>
    </w:lvl>
    <w:lvl w:ilvl="3" w:tplc="48AA0874" w:tentative="1">
      <w:start w:val="1"/>
      <w:numFmt w:val="bullet"/>
      <w:lvlText w:val="•"/>
      <w:lvlJc w:val="left"/>
      <w:pPr>
        <w:tabs>
          <w:tab w:val="num" w:pos="2880"/>
        </w:tabs>
        <w:ind w:left="2880" w:hanging="360"/>
      </w:pPr>
      <w:rPr>
        <w:rFonts w:ascii="Arial" w:hAnsi="Arial" w:hint="default"/>
      </w:rPr>
    </w:lvl>
    <w:lvl w:ilvl="4" w:tplc="87069BD6" w:tentative="1">
      <w:start w:val="1"/>
      <w:numFmt w:val="bullet"/>
      <w:lvlText w:val="•"/>
      <w:lvlJc w:val="left"/>
      <w:pPr>
        <w:tabs>
          <w:tab w:val="num" w:pos="3600"/>
        </w:tabs>
        <w:ind w:left="3600" w:hanging="360"/>
      </w:pPr>
      <w:rPr>
        <w:rFonts w:ascii="Arial" w:hAnsi="Arial" w:hint="default"/>
      </w:rPr>
    </w:lvl>
    <w:lvl w:ilvl="5" w:tplc="F30A8F9E" w:tentative="1">
      <w:start w:val="1"/>
      <w:numFmt w:val="bullet"/>
      <w:lvlText w:val="•"/>
      <w:lvlJc w:val="left"/>
      <w:pPr>
        <w:tabs>
          <w:tab w:val="num" w:pos="4320"/>
        </w:tabs>
        <w:ind w:left="4320" w:hanging="360"/>
      </w:pPr>
      <w:rPr>
        <w:rFonts w:ascii="Arial" w:hAnsi="Arial" w:hint="default"/>
      </w:rPr>
    </w:lvl>
    <w:lvl w:ilvl="6" w:tplc="205E26D2" w:tentative="1">
      <w:start w:val="1"/>
      <w:numFmt w:val="bullet"/>
      <w:lvlText w:val="•"/>
      <w:lvlJc w:val="left"/>
      <w:pPr>
        <w:tabs>
          <w:tab w:val="num" w:pos="5040"/>
        </w:tabs>
        <w:ind w:left="5040" w:hanging="360"/>
      </w:pPr>
      <w:rPr>
        <w:rFonts w:ascii="Arial" w:hAnsi="Arial" w:hint="default"/>
      </w:rPr>
    </w:lvl>
    <w:lvl w:ilvl="7" w:tplc="B6A8C56C" w:tentative="1">
      <w:start w:val="1"/>
      <w:numFmt w:val="bullet"/>
      <w:lvlText w:val="•"/>
      <w:lvlJc w:val="left"/>
      <w:pPr>
        <w:tabs>
          <w:tab w:val="num" w:pos="5760"/>
        </w:tabs>
        <w:ind w:left="5760" w:hanging="360"/>
      </w:pPr>
      <w:rPr>
        <w:rFonts w:ascii="Arial" w:hAnsi="Arial" w:hint="default"/>
      </w:rPr>
    </w:lvl>
    <w:lvl w:ilvl="8" w:tplc="4AFE6E0E" w:tentative="1">
      <w:start w:val="1"/>
      <w:numFmt w:val="bullet"/>
      <w:lvlText w:val="•"/>
      <w:lvlJc w:val="left"/>
      <w:pPr>
        <w:tabs>
          <w:tab w:val="num" w:pos="6480"/>
        </w:tabs>
        <w:ind w:left="6480" w:hanging="360"/>
      </w:pPr>
      <w:rPr>
        <w:rFonts w:ascii="Arial" w:hAnsi="Arial" w:hint="default"/>
      </w:rPr>
    </w:lvl>
  </w:abstractNum>
  <w:num w:numId="1" w16cid:durableId="14878169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5DA"/>
    <w:rsid w:val="000915DA"/>
    <w:rsid w:val="00801CF4"/>
    <w:rsid w:val="00970114"/>
    <w:rsid w:val="00AD6754"/>
    <w:rsid w:val="00E35264"/>
    <w:rsid w:val="00EB44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FBDC9C9"/>
  <w15:chartTrackingRefBased/>
  <w15:docId w15:val="{0B565B91-1398-C94F-AC0C-3DFEC9CC5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15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15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15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15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15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15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15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15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15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15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15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15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15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15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15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15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15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15DA"/>
    <w:rPr>
      <w:rFonts w:eastAsiaTheme="majorEastAsia" w:cstheme="majorBidi"/>
      <w:color w:val="272727" w:themeColor="text1" w:themeTint="D8"/>
    </w:rPr>
  </w:style>
  <w:style w:type="paragraph" w:styleId="Title">
    <w:name w:val="Title"/>
    <w:basedOn w:val="Normal"/>
    <w:next w:val="Normal"/>
    <w:link w:val="TitleChar"/>
    <w:uiPriority w:val="10"/>
    <w:qFormat/>
    <w:rsid w:val="000915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15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15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15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15DA"/>
    <w:pPr>
      <w:spacing w:before="160"/>
      <w:jc w:val="center"/>
    </w:pPr>
    <w:rPr>
      <w:i/>
      <w:iCs/>
      <w:color w:val="404040" w:themeColor="text1" w:themeTint="BF"/>
    </w:rPr>
  </w:style>
  <w:style w:type="character" w:customStyle="1" w:styleId="QuoteChar">
    <w:name w:val="Quote Char"/>
    <w:basedOn w:val="DefaultParagraphFont"/>
    <w:link w:val="Quote"/>
    <w:uiPriority w:val="29"/>
    <w:rsid w:val="000915DA"/>
    <w:rPr>
      <w:i/>
      <w:iCs/>
      <w:color w:val="404040" w:themeColor="text1" w:themeTint="BF"/>
    </w:rPr>
  </w:style>
  <w:style w:type="paragraph" w:styleId="ListParagraph">
    <w:name w:val="List Paragraph"/>
    <w:basedOn w:val="Normal"/>
    <w:uiPriority w:val="34"/>
    <w:qFormat/>
    <w:rsid w:val="000915DA"/>
    <w:pPr>
      <w:ind w:left="720"/>
      <w:contextualSpacing/>
    </w:pPr>
  </w:style>
  <w:style w:type="character" w:styleId="IntenseEmphasis">
    <w:name w:val="Intense Emphasis"/>
    <w:basedOn w:val="DefaultParagraphFont"/>
    <w:uiPriority w:val="21"/>
    <w:qFormat/>
    <w:rsid w:val="000915DA"/>
    <w:rPr>
      <w:i/>
      <w:iCs/>
      <w:color w:val="0F4761" w:themeColor="accent1" w:themeShade="BF"/>
    </w:rPr>
  </w:style>
  <w:style w:type="paragraph" w:styleId="IntenseQuote">
    <w:name w:val="Intense Quote"/>
    <w:basedOn w:val="Normal"/>
    <w:next w:val="Normal"/>
    <w:link w:val="IntenseQuoteChar"/>
    <w:uiPriority w:val="30"/>
    <w:qFormat/>
    <w:rsid w:val="000915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15DA"/>
    <w:rPr>
      <w:i/>
      <w:iCs/>
      <w:color w:val="0F4761" w:themeColor="accent1" w:themeShade="BF"/>
    </w:rPr>
  </w:style>
  <w:style w:type="character" w:styleId="IntenseReference">
    <w:name w:val="Intense Reference"/>
    <w:basedOn w:val="DefaultParagraphFont"/>
    <w:uiPriority w:val="32"/>
    <w:qFormat/>
    <w:rsid w:val="000915DA"/>
    <w:rPr>
      <w:b/>
      <w:bCs/>
      <w:smallCaps/>
      <w:color w:val="0F4761" w:themeColor="accent1" w:themeShade="BF"/>
      <w:spacing w:val="5"/>
    </w:rPr>
  </w:style>
  <w:style w:type="character" w:styleId="Strong">
    <w:name w:val="Strong"/>
    <w:basedOn w:val="DefaultParagraphFont"/>
    <w:uiPriority w:val="22"/>
    <w:qFormat/>
    <w:rsid w:val="000915D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8502078">
      <w:bodyDiv w:val="1"/>
      <w:marLeft w:val="0"/>
      <w:marRight w:val="0"/>
      <w:marTop w:val="0"/>
      <w:marBottom w:val="0"/>
      <w:divBdr>
        <w:top w:val="none" w:sz="0" w:space="0" w:color="auto"/>
        <w:left w:val="none" w:sz="0" w:space="0" w:color="auto"/>
        <w:bottom w:val="none" w:sz="0" w:space="0" w:color="auto"/>
        <w:right w:val="none" w:sz="0" w:space="0" w:color="auto"/>
      </w:divBdr>
      <w:divsChild>
        <w:div w:id="329911539">
          <w:marLeft w:val="446"/>
          <w:marRight w:val="0"/>
          <w:marTop w:val="32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3</Pages>
  <Words>485</Words>
  <Characters>2765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Shaoxian Duan</dc:creator>
  <cp:keywords/>
  <dc:description/>
  <cp:lastModifiedBy>Shaoxian Duan</cp:lastModifiedBy>
  <cp:revision>2</cp:revision>
  <dcterms:created xsi:type="dcterms:W3CDTF">2025-03-17T23:33:00Z</dcterms:created>
  <dcterms:modified xsi:type="dcterms:W3CDTF">2025-03-18T00:13:00Z</dcterms:modified>
</cp:coreProperties>
</file>