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t xml:space="preserve">Student Name</w:t>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t xml:space="preserve">: shaoxian duan</w:t>
      </w:r>
      <w:r>
        <w:rPr>
          <w:rFonts w:ascii="Times New Roman" w:hAnsi="Times New Roman" w:eastAsia="Times New Roman" w:cs="Times New Roman"/>
          <w:b/>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t xml:space="preserve">Student number: 041123100</w:t>
      </w:r>
      <w:r>
        <w:rPr>
          <w:rFonts w:ascii="Times New Roman" w:hAnsi="Times New Roman" w:eastAsia="Times New Roman" w:cs="Times New Roman"/>
          <w:b/>
          <w:color w:val="000000"/>
          <w:sz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szCs w:val="36"/>
          <w:highlight w:val="none"/>
        </w:rPr>
        <w:t xml:space="preserve">Lab4</w:t>
      </w:r>
      <w:r>
        <w:rPr>
          <w:rFonts w:ascii="Times New Roman" w:hAnsi="Times New Roman" w:eastAsia="Times New Roman" w:cs="Times New Roman"/>
          <w:b/>
          <w:color w:val="000000"/>
          <w:sz w:val="36"/>
          <w:szCs w:val="36"/>
          <w:highlight w:val="none"/>
        </w:rPr>
      </w:r>
    </w:p>
    <w:p>
      <w:pPr>
        <w:pBdr>
          <w:top w:val="none" w:color="000000" w:sz="4" w:space="0"/>
          <w:left w:val="none" w:color="000000" w:sz="4" w:space="0"/>
          <w:bottom w:val="none" w:color="000000" w:sz="4" w:space="0"/>
          <w:right w:val="none" w:color="000000" w:sz="4" w:space="0"/>
        </w:pBdr>
        <w:spacing/>
        <w:ind w:right="0" w:firstLine="0" w:left="0"/>
        <w:jc w:val="center"/>
        <w:rPr>
          <w:sz w:val="36"/>
          <w:szCs w:val="36"/>
          <w:highlight w:val="none"/>
        </w:rPr>
      </w:pPr>
      <w:r>
        <w:rPr>
          <w:rFonts w:ascii="Times New Roman" w:hAnsi="Times New Roman" w:eastAsia="Times New Roman" w:cs="Times New Roman"/>
          <w:b/>
          <w:color w:val="000000"/>
          <w:sz w:val="36"/>
          <w:szCs w:val="36"/>
        </w:rPr>
        <w:t xml:space="preserve">Multi-Region Deployment with Load Balancing on Azure</w:t>
      </w:r>
      <w:r>
        <w:rPr>
          <w:sz w:val="36"/>
          <w:szCs w:val="36"/>
        </w:rPr>
      </w:r>
    </w:p>
    <w:p>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36"/>
          <w:szCs w:val="36"/>
          <w:highlight w:val="none"/>
        </w:rPr>
      </w:pPr>
      <w:r>
        <w:rPr>
          <w:sz w:val="36"/>
          <w:szCs w:val="36"/>
          <w:highlight w:val="none"/>
        </w:rPr>
      </w:r>
      <w:r>
        <w:rPr>
          <w:sz w:val="36"/>
          <w:szCs w:val="36"/>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Solution Diagram</w:t>
      </w: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mc:AlternateContent>
          <mc:Choice Requires="wpg">
            <w:drawing>
              <wp:inline xmlns:wp="http://schemas.openxmlformats.org/drawingml/2006/wordprocessingDrawing" distT="0" distB="0" distL="0" distR="0">
                <wp:extent cx="5943600" cy="381397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7709" name=""/>
                        <pic:cNvPicPr>
                          <a:picLocks noChangeAspect="1"/>
                        </pic:cNvPicPr>
                        <pic:nvPr/>
                      </pic:nvPicPr>
                      <pic:blipFill>
                        <a:blip r:embed="rId9"/>
                        <a:stretch/>
                      </pic:blipFill>
                      <pic:spPr bwMode="auto">
                        <a:xfrm>
                          <a:off x="0" y="0"/>
                          <a:ext cx="5943599" cy="38139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00.3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color w:val="000000"/>
          <w:sz w:val="36"/>
          <w:highlight w:val="none"/>
        </w:rPr>
      </w:r>
    </w:p>
    <w:p>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2. Target Architecture Description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architecture ensures high availability and minimal downtime by leveraging a </w:t>
      </w:r>
      <w:r>
        <w:rPr>
          <w:rFonts w:ascii="Times New Roman" w:hAnsi="Times New Roman" w:eastAsia="Times New Roman" w:cs="Times New Roman"/>
          <w:b/>
          <w:color w:val="000000"/>
          <w:sz w:val="24"/>
        </w:rPr>
        <w:t xml:space="preserve">multi-region deployment</w:t>
      </w:r>
      <w:r>
        <w:rPr>
          <w:rFonts w:ascii="Times New Roman" w:hAnsi="Times New Roman" w:eastAsia="Times New Roman" w:cs="Times New Roman"/>
          <w:color w:val="000000"/>
          <w:sz w:val="24"/>
        </w:rPr>
        <w:t xml:space="preserve"> strategy with </w:t>
      </w:r>
      <w:r>
        <w:rPr>
          <w:rFonts w:ascii="Times New Roman" w:hAnsi="Times New Roman" w:eastAsia="Times New Roman" w:cs="Times New Roman"/>
          <w:b/>
          <w:color w:val="000000"/>
          <w:sz w:val="24"/>
        </w:rPr>
        <w:t xml:space="preserve">automatic failover</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Azure Load Balancer</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Front End: WebServerVM</w:t>
      </w:r>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Hosted in multiple Azure regions using </w:t>
      </w:r>
      <w:r>
        <w:rPr>
          <w:rFonts w:ascii="Times New Roman" w:hAnsi="Times New Roman" w:eastAsia="Times New Roman" w:cs="Times New Roman"/>
          <w:b/>
          <w:color w:val="000000"/>
          <w:sz w:val="24"/>
        </w:rPr>
        <w:t xml:space="preserve">Azure Virtual Machines</w:t>
      </w:r>
      <w:r>
        <w:rPr>
          <w:rFonts w:ascii="Times New Roman" w:hAnsi="Times New Roman" w:eastAsia="Times New Roman" w:cs="Times New Roman"/>
          <w:color w:val="000000"/>
          <w:sz w:val="24"/>
        </w:rPr>
        <w:t xml:space="preserve">.</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Load-balanced across regions using an </w:t>
      </w:r>
      <w:r>
        <w:rPr>
          <w:rFonts w:ascii="Times New Roman" w:hAnsi="Times New Roman" w:eastAsia="Times New Roman" w:cs="Times New Roman"/>
          <w:b/>
          <w:color w:val="000000"/>
          <w:sz w:val="24"/>
        </w:rPr>
        <w:t xml:space="preserve">Azure Traffic Manager</w:t>
      </w:r>
      <w:r>
        <w:rPr>
          <w:rFonts w:ascii="Times New Roman" w:hAnsi="Times New Roman" w:eastAsia="Times New Roman" w:cs="Times New Roman"/>
          <w:color w:val="000000"/>
          <w:sz w:val="24"/>
        </w:rPr>
        <w:t xml:space="preserve">.</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one region fails, traffic is redirected to another active region.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Back End: Azure SQLVM:</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replicated across regions using </w:t>
      </w:r>
      <w:r>
        <w:rPr>
          <w:rFonts w:ascii="Times New Roman" w:hAnsi="Times New Roman" w:eastAsia="Times New Roman" w:cs="Times New Roman"/>
          <w:b/>
          <w:color w:val="000000"/>
          <w:sz w:val="24"/>
        </w:rPr>
        <w:t xml:space="preserve">Azure SQL Database with Geo-Replication</w:t>
      </w:r>
      <w:r>
        <w:rPr>
          <w:rFonts w:ascii="Times New Roman" w:hAnsi="Times New Roman" w:eastAsia="Times New Roman" w:cs="Times New Roman"/>
          <w:color w:val="000000"/>
          <w:sz w:val="24"/>
        </w:rPr>
        <w:t xml:space="preserve">(configration when we creating it </w:t>
      </w:r>
      <w:r>
        <w:t xml:space="preserve">)</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Primary Azure SQLServer VM</w:t>
      </w:r>
      <w:r>
        <w:rPr>
          <w:rFonts w:ascii="Times New Roman" w:hAnsi="Times New Roman" w:eastAsia="Times New Roman" w:cs="Times New Roman"/>
          <w:color w:val="000000"/>
          <w:sz w:val="24"/>
        </w:rPr>
        <w:t xml:space="preserve"> in Region A and </w:t>
      </w:r>
      <w:r>
        <w:rPr>
          <w:rFonts w:ascii="Times New Roman" w:hAnsi="Times New Roman" w:eastAsia="Times New Roman" w:cs="Times New Roman"/>
          <w:b/>
          <w:color w:val="000000"/>
          <w:sz w:val="24"/>
        </w:rPr>
        <w:t xml:space="preserve">Secondary </w:t>
      </w:r>
      <w:r>
        <w:rPr>
          <w:rFonts w:ascii="Times New Roman" w:hAnsi="Times New Roman" w:eastAsia="Times New Roman" w:cs="Times New Roman"/>
          <w:b/>
          <w:color w:val="000000"/>
          <w:sz w:val="24"/>
        </w:rPr>
        <w:t xml:space="preserve">Azure SQLServer VM</w:t>
      </w:r>
      <w: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 in Region B.</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Automated failover</w:t>
      </w:r>
      <w:r>
        <w:rPr>
          <w:rFonts w:ascii="Times New Roman" w:hAnsi="Times New Roman" w:eastAsia="Times New Roman" w:cs="Times New Roman"/>
          <w:color w:val="000000"/>
          <w:sz w:val="24"/>
        </w:rPr>
        <w:t xml:space="preserve"> use </w:t>
      </w:r>
      <w:r>
        <w:rPr>
          <w:rFonts w:ascii="Times New Roman" w:hAnsi="Times New Roman" w:eastAsia="Times New Roman" w:cs="Times New Roman"/>
          <w:b/>
          <w:color w:val="000000"/>
          <w:sz w:val="24"/>
        </w:rPr>
        <w:t xml:space="preserve">Azure SQL Failover Group</w:t>
      </w:r>
      <w:r>
        <w:rPr>
          <w:rFonts w:ascii="Times New Roman" w:hAnsi="Times New Roman" w:eastAsia="Times New Roman" w:cs="Times New Roman"/>
          <w:color w:val="000000"/>
          <w:sz w:val="24"/>
        </w:rPr>
        <w:t xml:space="preserve">，</w:t>
      </w:r>
      <w:r>
        <w:t xml:space="preserve">Primary in Region A p</w:t>
      </w:r>
      <w:r>
        <w:t xml:space="preserve">romotes Secondary in Region B if failure occurs</w:t>
      </w:r>
      <w:r>
        <w:t xml:space="preserve">。</w:t>
      </w:r>
      <w:r/>
    </w:p>
    <w:p>
      <w:pPr>
        <w:pStyle w:val="664"/>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Synchronization use </w:t>
      </w:r>
      <w:r>
        <w:rPr>
          <w:rFonts w:ascii="Times New Roman" w:hAnsi="Times New Roman" w:eastAsia="Times New Roman" w:cs="Times New Roman"/>
          <w:b/>
          <w:color w:val="000000"/>
          <w:sz w:val="24"/>
        </w:rPr>
        <w:t xml:space="preserve">Geo-Replication</w:t>
      </w:r>
      <w:r>
        <w:rPr>
          <w:rFonts w:ascii="Times New Roman" w:hAnsi="Times New Roman" w:eastAsia="Times New Roman" w:cs="Times New Roman"/>
          <w:color w:val="000000"/>
          <w:sz w:val="24"/>
        </w:rPr>
        <w:t xml:space="preserve"> when we creating it to minimize performance impact.</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Azure Traffic Manager</w:t>
      </w:r>
      <w:r>
        <w:rPr>
          <w:rFonts w:ascii="Times New Roman" w:hAnsi="Times New Roman" w:eastAsia="Times New Roman" w:cs="Times New Roman"/>
          <w:color w:val="000000"/>
          <w:sz w:val="24"/>
        </w:rPr>
        <w:t xml:space="preserve"> distributes incoming traffic between regional web servers.</w:t>
      </w:r>
      <w:r>
        <w:rPr>
          <w:rFonts w:ascii="Times New Roman" w:hAnsi="Times New Roman" w:eastAsia="Times New Roman" w:cs="Times New Roman"/>
          <w:sz w:val="24"/>
        </w:rPr>
      </w:r>
      <w:r>
        <w:rPr>
          <w:rFonts w:ascii="Times New Roman" w:hAnsi="Times New Roman" w:eastAsia="Times New Roman" w:cs="Times New Roman"/>
          <w:b/>
          <w:color w:val="000000"/>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rPr>
        <w:t xml:space="preserve">Load Balancing:</w:t>
      </w:r>
      <w:r>
        <w:rPr>
          <w:rFonts w:ascii="Times New Roman" w:hAnsi="Times New Roman" w:eastAsia="Times New Roman" w:cs="Times New Roman"/>
          <w:sz w:val="24"/>
        </w:rPr>
        <w:t xml:space="preserve"> after the Azure Traffic Manager , connect to load balancing, to guide the route map the workflow where should go. </w:t>
      </w:r>
      <w:r/>
      <w:r>
        <w:rPr>
          <w:rFonts w:ascii="Times New Roman" w:hAnsi="Times New Roman" w:eastAsia="Times New Roman" w:cs="Times New Roman"/>
          <w:sz w:val="24"/>
          <w:szCs w:val="24"/>
        </w:rPr>
      </w:r>
      <w:r>
        <w:rPr>
          <w:rFonts w:ascii="Times New Roman" w:hAnsi="Times New Roman" w:eastAsia="Times New Roman" w:cs="Times New Roman"/>
          <w:color w:val="000000"/>
          <w:sz w:val="24"/>
        </w:rPr>
        <w:t xml:space="preserve">If a WebServerVM in one region becomes unresponsive, requests are routed to the healthy region.</w:t>
      </w:r>
      <w:r/>
      <w:r>
        <w:rPr>
          <w:rFonts w:ascii="Times New Roman" w:hAnsi="Times New Roman" w:eastAsia="Times New Roman" w:cs="Times New Roman"/>
          <w:sz w:val="24"/>
          <w:szCs w:val="24"/>
        </w:rP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Migration Steps</w:t>
      </w:r>
      <w:r/>
    </w:p>
    <w:p>
      <w:pPr>
        <w:pBdr/>
        <w:spacing/>
        <w:ind/>
        <w:rPr>
          <w:highlight w:val="none"/>
        </w:rPr>
      </w:pPr>
      <w:r/>
      <w:r>
        <w:rPr>
          <w:rFonts w:ascii="Times New Roman" w:hAnsi="Times New Roman" w:eastAsia="Times New Roman" w:cs="Times New Roman"/>
          <w:b/>
          <w:color w:val="000000"/>
          <w:sz w:val="28"/>
        </w:rPr>
        <w:t xml:space="preserve">Step 1: </w:t>
      </w:r>
      <w:r>
        <w:rPr>
          <w:rFonts w:ascii="Times New Roman" w:hAnsi="Times New Roman" w:eastAsia="Times New Roman" w:cs="Times New Roman"/>
          <w:b/>
          <w:color w:val="000000"/>
          <w:sz w:val="28"/>
        </w:rPr>
        <w:t xml:space="preserve">Migration Assessment (pre migration)</w:t>
      </w:r>
      <w:r>
        <w:rPr>
          <w:highlight w:val="none"/>
        </w:rPr>
      </w:r>
      <w:r>
        <w:rPr>
          <w:highlight w:val="none"/>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rPr>
        <w:t xml:space="preserve">Step 2: </w:t>
      </w:r>
      <w:r>
        <w:rPr>
          <w:rFonts w:ascii="Times New Roman" w:hAnsi="Times New Roman" w:eastAsia="Times New Roman" w:cs="Times New Roman"/>
          <w:b/>
          <w:color w:val="000000"/>
          <w:sz w:val="28"/>
        </w:rPr>
        <w:t xml:space="preserve">Replication of Virtual Machines Across Azure Regions</w:t>
      </w:r>
      <w:r/>
      <w:r/>
      <w:r>
        <w:rPr>
          <w:rFonts w:ascii="Times New Roman" w:hAnsi="Times New Roman" w:eastAsia="Times New Roman" w:cs="Times New Roman"/>
          <w:b/>
          <w:bCs/>
          <w:color w:val="000000"/>
          <w:sz w:val="28"/>
          <w:szCs w:val="28"/>
        </w:rP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3: Configuration of Load Balancers</w:t>
      </w:r>
      <w:r/>
    </w:p>
    <w:p>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 4: Implementation of Database Replication and Failover</w:t>
      </w:r>
      <w:r/>
    </w:p>
    <w:p>
      <w:pPr>
        <w:pBdr/>
        <w:spacing/>
        <w:ind/>
        <w:rPr/>
      </w:pPr>
      <w:r/>
      <w:r>
        <w:rPr>
          <w:rFonts w:ascii="Times New Roman" w:hAnsi="Times New Roman" w:eastAsia="Times New Roman" w:cs="Times New Roman"/>
          <w:b/>
          <w:color w:val="000000"/>
          <w:sz w:val="28"/>
        </w:rPr>
        <w:t xml:space="preserve">Step 5: </w:t>
      </w:r>
      <w:r>
        <w:rPr>
          <w:rFonts w:ascii="Times New Roman" w:hAnsi="Times New Roman" w:eastAsia="Times New Roman" w:cs="Times New Roman"/>
          <w:b/>
          <w:color w:val="000000"/>
          <w:sz w:val="28"/>
        </w:rPr>
        <w:t xml:space="preserve">Migration Testing</w:t>
      </w:r>
      <w:r/>
      <w:r/>
    </w:p>
    <w:p>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Conclusion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t xml:space="preserve">This architecture ensures high availability by replicating web and database layers across Azure regions. Azure Traffic Manager handles traffic redirection, and Azure SQL Failover Group reduces downtime. Migration downtime will stay within the 6-hour limit.</w:t>
      </w:r>
      <w:r>
        <w:rPr>
          <w:rFonts w:ascii="Times New Roman" w:hAnsi="Times New Roman" w:eastAsia="Times New Roman" w:cs="Times New Roman"/>
          <w:color w:val="000000"/>
          <w:sz w:val="24"/>
        </w:rP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2025-02-04T01:19:43Z</dcterms:modified>
</cp:coreProperties>
</file>