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英文抗剪疲劳逻辑图——中文演讲稿</w:t>
      </w:r>
    </w:p>
    <w:p>
      <w:r>
        <w:t>对应英文PPT的三页内容。建议讲述时间约8—10分钟，实际时长取决于语速及公式解释程度。文中F代表2019年抗弯疲劳modeling论文，S代表2019年单裂缝抗剪论文，E代表2024年ECC-FRP抗剪论文。</w:t>
      </w:r>
    </w:p>
    <w:p>
      <w:pPr>
        <w:pStyle w:val="Heading1"/>
      </w:pPr>
      <w:r>
        <w:t>第一页：Shear Fatigue Main Loop——抗剪疲劳计算主循环</w:t>
      </w:r>
    </w:p>
    <w:p>
      <w:r>
        <w:t>大家好，下面介绍这套NSM FRP加固梁抗剪疲劳程序的计算路线。</w:t>
      </w:r>
    </w:p>
    <w:p>
      <w:r>
        <w:t>这套模型的核心思路是：在每一个循环阶段，根据当前材料和界面的状态，分别求解峰值荷载与谷值荷载下的抗剪平衡；再根据局部滑移情况更新疲劳历史，进入下一个循环阶段。</w:t>
      </w:r>
    </w:p>
    <w:p>
      <w:r>
        <w:t>首先，输入试件的几何尺寸、材料性能、FRP布置、黏结参数，以及峰值和谷值荷载。</w:t>
      </w:r>
    </w:p>
    <w:p>
      <w:r>
        <w:t>这里需要明确，大写Q表示两个加载点的总荷载。在当前对称四点加载条件下，剪跨内的目标剪力为Q/2。</w:t>
      </w:r>
    </w:p>
    <w:p>
      <w:r>
        <w:t>随后，程序计算裂缝与FRP筋、箍筋的真实交点，确定每根FRP筋在裂缝两侧的锚固长度，并初始化历史变量。历史变量包括节点最大滑移、局部循环数、激活记录和筋的失效标记。此时，整体循环数设为零。</w:t>
      </w:r>
    </w:p>
    <w:p>
      <w:r>
        <w:t>接下来，程序依次求解初始峰值和谷值状态，使混凝土、箍筋和FRP提供的抗剪力之和，等于相应的目标剪力。只有初始峰谷状态都求解成功，程序才进入疲劳循环。</w:t>
      </w:r>
    </w:p>
    <w:p>
      <w:r>
        <w:t>进入循环后，先判断当前循环数是否达到设定上限。如果已经达到上限，程序记录为runout，也就是在规定循环数内尚未达到模型的停止条件，不能直接把它解释成疲劳破坏寿命。</w:t>
      </w:r>
    </w:p>
    <w:p>
      <w:r>
        <w:t>如果还没有达到上限，就根据峰谷滑移判断哪些节点处于疲劳活跃状态。当前判断包含两个条件：第一，节点历史最大滑移超过峰值滑移的75%，或者该节点以前已经激活；第二，本步峰谷滑移差超过设定容差。</w:t>
      </w:r>
    </w:p>
    <w:p>
      <w:r>
        <w:t>这个75%的阈值参考了疲劳论文。历史激活记录和滑移差容差，则属于当前代码的实现规则。</w:t>
      </w:r>
    </w:p>
    <w:p>
      <w:r>
        <w:t>确定活跃节点之后，程序选择一个循环块，记为ΔN。使用循环块可以减少计算量，但不能跨过下一次需要保存结果的循环位置，也不能超过总循环上限。</w:t>
      </w:r>
    </w:p>
    <w:p>
      <w:r>
        <w:t>然后，从已经接受的历史状态出发，建立候选历史。只有活跃节点的局部循环数增加，尚未通过平衡检查的候选状态不会覆盖原来的历史。</w:t>
      </w:r>
    </w:p>
    <w:p>
      <w:r>
        <w:t>根据更新后的局部循环数，程序计算退化后的峰值黏结应力。这个关系对应F论文的式(2)，杆材和条材的退化系数分别为0.1965和0.1985。需要注意，这里退化的是FRP与周围基体之间的峰值黏结应力，并不是FRP本体的抗拉强度。</w:t>
      </w:r>
    </w:p>
    <w:p>
      <w:r>
        <w:t>得到新的黏结参数后，程序重新求解峰值荷载下的平衡。如果峰值求解失败，或者裂缝位移增长过快，而且循环块仍大于一次，程序就把循环块减半，从原来已经接受的历史重新试算。</w:t>
      </w:r>
    </w:p>
    <w:p>
      <w:r>
        <w:t>候选峰值成功后，再继承峰值的最大滑移历史，求解谷值状态。只有候选峰值和谷值都成功，才接受这个循环块，更新整体循环数和历史变量，并保存结果。</w:t>
      </w:r>
    </w:p>
    <w:p>
      <w:r>
        <w:t>随后返回循环判断，重复上述过程。</w:t>
      </w:r>
    </w:p>
    <w:p>
      <w:r>
        <w:t>如果无法继续，程序会记录具体停止原因，例如数值不收敛、用户设定的限制，或者在指定范围和分支内找不到平衡根。这些情况需要分别解释，不能全部称为脱黏破坏。</w:t>
      </w:r>
    </w:p>
    <w:p>
      <w:pPr>
        <w:pStyle w:val="Heading1"/>
        <w:pageBreakBefore/>
      </w:pPr>
      <w:r>
        <w:t>第二页：Shear Equilibrium Solver——抗剪平衡内部求解</w:t>
      </w:r>
    </w:p>
    <w:p>
      <w:r>
        <w:t>第二页展开的是：在一个给定的疲劳历史下，程序怎样求出峰值或谷值的抗剪平衡。</w:t>
      </w:r>
    </w:p>
    <w:p>
      <w:r>
        <w:t>首先，给定目标剪力和已经接受的历史，选择一个试探的小写q。</w:t>
      </w:r>
    </w:p>
    <w:p>
      <w:r>
        <w:t>这里，小写q表示裂缝两侧的竖向相对位移尺度，单位是毫米。它与表示总荷载的大写Q不同，也不是梁的跨中挠度。</w:t>
      </w:r>
    </w:p>
    <w:p>
      <w:r>
        <w:t>程序通过扫描和二分调整q，寻找满足抗剪平衡的状态。</w:t>
      </w:r>
    </w:p>
    <w:p>
      <w:r>
        <w:t>第一步，根据q计算裂缝的张开和滑移分布。当前模型采用指定的高度分布函数，以及滑移与张开的比例。</w:t>
      </w:r>
    </w:p>
    <w:p>
      <w:r>
        <w:t>这部分是当前代码的简化运动关系，还没有完整实现S论文中基于主应力轨迹和Green函数的裂缝张开求解。</w:t>
      </w:r>
    </w:p>
    <w:p>
      <w:r>
        <w:t>第二步，计算混凝土抗剪贡献。当前采用随裂缝位移、张开程度及可选损伤变化的经验闭合函数，其中的参数需要通过试验校准，不能直接标为所提供论文中的原公式。</w:t>
      </w:r>
    </w:p>
    <w:p>
      <w:r>
        <w:t>第三步，计算穿过裂缝的箍筋贡献。程序根据交点处的裂缝竖向位移和假定的传力长度，计算箍筋应变，再由弹性模量得到应力，并以屈服强度作为上限。最后，将各根穿缝箍筋的贡献相加，得到Vs。</w:t>
      </w:r>
    </w:p>
    <w:p>
      <w:r>
        <w:t>其中，箍筋应变与传力长度的关系是代码假定；应力上限和逐筋求和具有相应的文献背景。</w:t>
      </w:r>
    </w:p>
    <w:p>
      <w:r>
        <w:t>第四步，对每一根尚未失效的FRP筋，把裂缝运动投影到筋的轴向，得到裂缝处需要由两侧锚固段共同承担的相对位移。</w:t>
      </w:r>
    </w:p>
    <w:p>
      <w:r>
        <w:t>对于竖向FRP筋，这个投影关系可以简化为交点处的竖向裂缝位移差。</w:t>
      </w:r>
    </w:p>
    <w:p>
      <w:r>
        <w:t>第五步，根据各节点的局部循环数，更新峰值黏结应力，再将其代入三段黏结包络。</w:t>
      </w:r>
    </w:p>
    <w:p>
      <w:r>
        <w:t>这三段分别是弹性段、软化段和残余段，对应F论文式(1)的基本形式。当前代码还增加了退化峰值与残余应力之间的协调处理，并通过历史割线刚度描述卸载，因此不能把全部实现细节都归为论文原式。</w:t>
      </w:r>
    </w:p>
    <w:p>
      <w:r>
        <w:t>接下来，离散裂缝两侧的锚固段，迭代计算滑移、黏结应力和筋轴力。沿锚固长度积分黏结应力，可以得到FRP筋的轴力分布。</w:t>
      </w:r>
    </w:p>
    <w:p>
      <w:r>
        <w:t>双侧求解需要满足两个重要条件：一是裂缝处两侧滑移之和等于该筋对应的裂缝相对位移；二是裂缝交点两侧的筋应变连续。</w:t>
      </w:r>
    </w:p>
    <w:p>
      <w:r>
        <w:t>对于同一根截面和弹性模量相同的筋，应变连续也意味着两侧交点轴力相等。这些关系分别具有S论文式(9d)、式(10)和式(11)的理论背景。</w:t>
      </w:r>
    </w:p>
    <w:p>
      <w:r>
        <w:t>当前程序采用数值离散和迭代来满足这些条件，没有直接使用截图中的全部分段解析解或解析系数矩阵。</w:t>
      </w:r>
    </w:p>
    <w:p>
      <w:r>
        <w:t>得到每根FRP筋的受力后，检查是否达到完整脱黏、抗拉上限或用户设定的保护层限制。如果某根筋失效，就将其抗剪贡献移除，再检查其余体系是否仍能平衡。因此，一根筋失效并不自动等于整梁失效。</w:t>
      </w:r>
    </w:p>
    <w:p>
      <w:r>
        <w:t>随后，将所有FRP筋轴力取竖向分量，并考虑加固面数，得到Vf。总抗剪力为：</w:t>
      </w:r>
    </w:p>
    <w:p>
      <w:pPr>
        <w:jc w:val="center"/>
      </w:pPr>
      <w:r>
        <w:rPr>
          <w:b/>
        </w:rPr>
        <w:t>V = Vc + Vs + Vf</w:t>
      </w:r>
    </w:p>
    <w:p>
      <w:r>
        <w:t>最后，检查总抗剪力与目标剪力Q/2的差值是否满足容差，同时确认局部锚固求解有效。</w:t>
      </w:r>
    </w:p>
    <w:p>
      <w:r>
        <w:t>满足条件时，返回该峰值或谷值的平衡响应；不满足时，继续调整q。如果搜索无法继续，则返回具体诊断，交给主循环处理。</w:t>
      </w:r>
    </w:p>
    <w:p>
      <w:pPr>
        <w:pStyle w:val="Heading1"/>
        <w:pageBreakBefore/>
      </w:pPr>
      <w:r>
        <w:t>第三页：Equation Scope and Current Implementation——公式采用范围与当前实现</w:t>
      </w:r>
    </w:p>
    <w:p>
      <w:r>
        <w:t>第三页说明，这套程序参考了哪些公式，以及实现到什么程度。</w:t>
      </w:r>
    </w:p>
    <w:p>
      <w:r>
        <w:t>首先，F论文的三段黏结包络和局部疲劳退化公式，分别对应当前的bond和bond_strength函数。这是当前界面疲劳计算的重要组成部分。</w:t>
      </w:r>
    </w:p>
    <w:p>
      <w:r>
        <w:t>其次，黏结应力积分、双侧滑移协调和交点应变连续，为锚固求解提供了理论依据。但程序已经把原来的半跨坐标改为每根FRP筋在裂缝两侧的局部锚固坐标，采用的也是数值离散求解。</w:t>
      </w:r>
    </w:p>
    <w:p>
      <w:r>
        <w:t>对于F论文中的解析矩阵、临界状态Ps、Pd，以及半跨软化区和脱黏区长度关系，当前代码没有直接实现。它们属于原来的纵向加固抗弯模型，需要重新推导和验证后，才能用于当前抗剪问题。</w:t>
      </w:r>
    </w:p>
    <w:p>
      <w:r>
        <w:t>同样，F论文式(14)计算的是纵向加固梁的弯曲挠度，不能直接用于竖向NSM筋的抗剪模型。尤其需要区分：论文中的挠度w，与本程序中的裂缝法向张开w，虽然符号相同，但物理意义不同。</w:t>
      </w:r>
    </w:p>
    <w:p>
      <w:r>
        <w:t>E论文提供了混凝土、钢筋和加固材料共同承担总剪力的平衡思想。当前模型采用这一分解思想，但第三项由离散NSM筋的竖向分量计算，没有实现ECC连续覆盖层的法向、切向抗剪贡献分解。</w:t>
      </w:r>
    </w:p>
    <w:p>
      <w:r>
        <w:t>因此，这套计算路线可以描述局部黏结退化如何引起滑移变化、FRP受力变化以及抗剪贡献重新分配。其预测能力仍取决于裂缝运动、混凝土闭合关系、黏结参数及数值离散是否经过充分校准和验证。</w:t>
      </w:r>
    </w:p>
    <w:p>
      <w:r>
        <w:t>目前已经能够形成完整的数值计算流程；后续需要重点完成网格收敛、局部退化区域分辨率和抗剪疲劳试验对比，再评价它对实际疲劳寿命的预测能力。</w:t>
      </w:r>
    </w:p>
    <w:p>
      <w:r>
        <w:t>谢谢大家。</w:t>
      </w:r>
    </w:p>
    <w:p>
      <w:pPr>
        <w:pStyle w:val="Heading1"/>
        <w:pageBreakBefore/>
      </w:pPr>
      <w:r>
        <w:t>附录：文献标记（备查，无需逐条朗读）</w:t>
      </w:r>
    </w:p>
    <w:p>
      <w:r>
        <w:t>F：Chen, C.; Wang, X.; Cheng, L. (2019). Modeling NSM FRP strengthened RC beams under fatigue due to IC-debonding. International Journal of Fatigue, 126, 174–187. DOI: 10.1016/j.ijfatigue.2019.04.039。</w:t>
      </w:r>
    </w:p>
    <w:p>
      <w:r>
        <w:t>S：Chen, C.; Cheng, L. (2019). Single Crack–Based Model for FRP Shear-Strengthened RC Beams. DOI: 10.1061/(ASCE)CC.1943-5614.0000953。</w:t>
      </w:r>
    </w:p>
    <w:p>
      <w:r>
        <w:t>E：Chen等 (2024). Shear Resisting Mechanisms of ECC FRP Strengthened RC Beams. DOI: 10.1061/JCCOF2.CCENG-4395。</w:t>
      </w:r>
    </w:p>
    <w:p>
      <w:r>
        <w:t>R22：Chen等 (2022). FRP Shear-Strengthened RC Beams: Re-examining the Shear-Crack Effect. DOI: 10.1061/(ASCE)CC.1943-5614.0001251。用于第二页箍筋应力上限和穿缝筋离散求和的补充依据。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英文逻辑图配套中文讲稿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Calibri" w:hAnsi="Calibri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