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" w:after="40" w:line="283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客户综合经营工具包</w:t>
      </w:r>
    </w:p>
    <w:p>
      <w:pPr>
        <w:keepNext w:val="0"/>
        <w:spacing w:before="360" w:after="120" w:line="283" w:lineRule="auto"/>
      </w:pPr>
      <w:r>
        <w:rPr>
          <w:rFonts w:ascii="Calibri" w:hAnsi="Calibri" w:eastAsia="Microsoft YaHei"/>
          <w:b/>
          <w:i w:val="0"/>
          <w:color w:val="0B2545"/>
          <w:sz w:val="52"/>
        </w:rPr>
        <w:t>对公客户首次拜访与综合服务建议书</w:t>
      </w:r>
    </w:p>
    <w:p>
      <w:pPr>
        <w:keepNext w:val="0"/>
        <w:spacing w:before="0" w:after="160" w:line="283" w:lineRule="auto"/>
      </w:pPr>
      <w:r>
        <w:rPr>
          <w:rFonts w:ascii="Calibri" w:hAnsi="Calibri" w:eastAsia="Microsoft YaHei"/>
          <w:b/>
          <w:i w:val="0"/>
          <w:color w:val="2E74B5"/>
          <w:sz w:val="42"/>
        </w:rPr>
        <w:t>标准模板</w:t>
      </w:r>
    </w:p>
    <w:p>
      <w:pPr>
        <w:keepNext w:val="0"/>
        <w:spacing w:before="0" w:after="360" w:line="283" w:lineRule="auto"/>
      </w:pPr>
      <w:r>
        <w:rPr>
          <w:rFonts w:ascii="Calibri" w:hAnsi="Calibri" w:eastAsia="Microsoft YaHei"/>
          <w:b w:val="0"/>
          <w:i w:val="0"/>
          <w:color w:val="667085"/>
          <w:sz w:val="25"/>
        </w:rPr>
        <w:t>从拜访前假设、现场核验、专家联合设计到30/90/180天落地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服务客户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〔客户全称〕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客户经理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〔姓名/机构〕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文档阶段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 拜访前简报  □ 内部方案  □ 对客建议书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保密级别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 内部  □ 客户保密  □ 其他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版本/日期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V〔填写〕 / 〔YYYY-MM-DD〕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审批状态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 未提交  □ 审批中  □ 已批准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keepNext w:val="0"/>
        <w:spacing w:before="0" w:after="16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FDE8E7"/>
            <w:tcBorders>
              <w:top w:val="single" w:sz="8" w:color="9B1C1C"/>
              <w:start w:val="single" w:sz="20" w:color="9B1C1C"/>
              <w:bottom w:val="single" w:sz="8" w:color="9B1C1C"/>
              <w:end w:val="single" w:sz="8" w:color="9B1C1C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19"/>
              </w:rPr>
              <w:t>使用边界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本模板是客户经营与服务设计工具，不替代授信调查、风险审查、合同、产品说明书或监管要求。任何额度、价格、收益、时效与审批结果，均以银行正式审批及签署文件为准。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keepNext w:val="0"/>
        <w:spacing w:before="120" w:after="60" w:line="283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适用对象</w:t>
      </w:r>
    </w:p>
    <w:p>
      <w:pPr>
        <w:keepNext w:val="0"/>
        <w:spacing w:before="0" w:after="360" w:line="283" w:lineRule="auto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对公客户经理、行业研究人员、产品经理、授信/风险人员、交易银行、投行、跨境、数字化及其他专业服务团队。</w:t>
      </w:r>
    </w:p>
    <w:p>
      <w:pPr>
        <w:keepNext w:val="0"/>
        <w:spacing w:before="0" w:after="0" w:line="283" w:lineRule="auto"/>
        <w:jc w:val="right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V1.0  |  2026-08-19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一、模板导航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模块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核心产出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适用阶段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01 文档控制与使用规则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统一版本、证据、审批和对客边界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可追溯的工作底稿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全流程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02 拜访前客户经营假设简报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带着假设和问题见客户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客户/关系/业务三张图 + 访谈提纲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首次拜访前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03 首次拜访纪要与核验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把假设转为经核验事实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痛点、事件、决策链、下一步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拜访中/后24小时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04 综合服务建议书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呈现一户一策组合方案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需求优先级、方案包、价值与条件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专家设计和审批后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05 实施与复盘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把建议转为责任、里程碑和证据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30/90/180天计划与复盘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交付后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附录A—E 五张表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支撑采集、分析、映射、协同和落地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可复制表单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全流程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二、推荐工作流：双版本、五闸门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闸门</w:t>
            </w:r>
          </w:p>
        </w:tc>
        <w:tc>
          <w:tcPr>
            <w:tcW w:type="dxa" w:w="42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必须完成</w:t>
            </w:r>
          </w:p>
        </w:tc>
        <w:tc>
          <w:tcPr>
            <w:tcW w:type="dxa" w:w="1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责任人</w:t>
            </w:r>
          </w:p>
        </w:tc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允许流转到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G0 证据准备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公开信息有来源/日期；事实与假设分列；数据缺口清单完成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客户经理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首次拜访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G1 客户核验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关键事实、目标、事件、痛点、决策人、期限经客户确认或标注待确认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客户经理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专家联合设计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G2 专家设计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需求—方案—产品映射完整；主方案、备选方案、前置条件和风险控制明确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牵头专家/产品经理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内部审批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G3 内部审批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产品适配、授信、价格、合规、合同、数据使用等事项按权限批准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审批责任部门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对客交付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G4 对客确认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客户理解价值、条件、责任和下一步；无口头越权承诺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客户经理+专家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实施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G5 实施复盘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里程碑、KPI、证据和问题闭环；按30/90/180天复盘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项目负责人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续作/升级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FFF4CE"/>
            <w:tcBorders>
              <w:top w:val="single" w:sz="8" w:color="7A5A00"/>
              <w:start w:val="single" w:sz="20" w:color="7A5A00"/>
              <w:bottom w:val="single" w:sz="8" w:color="7A5A00"/>
              <w:end w:val="single" w:sz="8" w:color="7A5A00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19"/>
              </w:rPr>
              <w:t>双版本原则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内部工作版可包含未验证假设、内部评级、产品适配意见和审批状态；对客版仅保留客户可见且经核验/批准的内容。两版分别编号、留痕，不直接复制敏感内部判断。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三、状态标签与证据口径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标签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定义</w:t>
            </w:r>
          </w:p>
        </w:tc>
        <w:tc>
          <w:tcPr>
            <w:tcW w:type="dxa" w:w="2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可否写入对客版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记录要求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F 公开事实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来自可靠公开材料的可核验信息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可；注明时点/来源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来源、日期、链接/文件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 客户确认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由客户授权代表确认的信息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可；注意保密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确认人、日期、纪要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B 银行核验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由银行系统或正式材料核验的信息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按权限使用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系统/材料、提取日期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H 工作假设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用于提问和分析，尚未证实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不可当作事实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假设依据、待核验问题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P 待审批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方案可行但额度/价格/条款未批准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仅表述为拟议/可研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审批项、责任人、期限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A 已批准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按内部权限完成批准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可按批复范围表述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批复编号、范围、有效期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四、角色分工（RACI）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关键活动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客户经理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行业/产品专家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风险/合规</w:t>
            </w:r>
          </w:p>
        </w:tc>
        <w:tc>
          <w:tcPr>
            <w:tcW w:type="dxa" w:w="1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信息采集与关系地图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A/R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I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行业判断与需求诊断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A/R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组合方案和价值测算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A/R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额度/价格/合规审批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A/R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对客呈现与实施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A/R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A/R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30/90/180天复盘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A/R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keepNext w:val="0"/>
        <w:spacing w:before="0" w:after="100" w:line="283" w:lineRule="auto"/>
      </w:pPr>
      <w:r>
        <w:rPr>
          <w:rFonts w:ascii="Calibri" w:hAnsi="Calibri" w:eastAsia="Microsoft YaHei"/>
          <w:b w:val="0"/>
          <w:i/>
          <w:color w:val="667085"/>
          <w:sz w:val="17"/>
        </w:rPr>
        <w:t>A=最终负责，R=执行负责，C=协商参与，I=知会。应按本行组织和权限制度调整。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01｜拜访前客户经营假设简报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E8EEF5"/>
            <w:tcBorders>
              <w:top w:val="single" w:sz="8" w:color="1F4D78"/>
              <w:start w:val="single" w:sz="20" w:color="1F4D78"/>
              <w:bottom w:val="single" w:sz="8" w:color="1F4D78"/>
              <w:end w:val="single" w:sz="8" w:color="1F4D78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本模块输出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用于内部准备，不直接向客户出具。目标是形成“已知什么、推测什么、还要问什么、希望推进什么”的统一认知。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拜访任务卡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客户名称/ID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拜访日期/地点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拜访目的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〔不超过3项〕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拜访类型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 首次  □ 高层  □ 专题  □ 续访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我方人员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〔姓名/角色〕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客户人员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〔姓名/职务/影响力〕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预期成果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〔信息/会议/材料/立项〕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最晚推进日期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本次必须回答的问题</w:t>
            </w:r>
          </w:p>
        </w:tc>
        <w:tc>
          <w:tcPr>
            <w:tcW w:type="dxa" w:w="2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当前判断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证据/缺口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P1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〔关键问题1〕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〔F/H〕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P1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〔关键问题2〕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〔F/H〕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P2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〔关键问题3〕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〔F/H〕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1.2 客户快照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所有制/集团关系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行业/细分赛道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生命周期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 初创  □ 成长  □ 成熟  □ 转型/重组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区域/跨境布局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核心产品/服务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主要客户/供应商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近三年经营趋势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〔收入/利润/现金流〕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重大事件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〔投资/并购/出海/上市等〕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我行合作现状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〔账户/结算/授信/产品〕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同业合作判断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1.3 三张图：客户图谱、关系图谱、业务图谱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图谱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至少覆盖</w:t>
            </w:r>
          </w:p>
        </w:tc>
        <w:tc>
          <w:tcPr>
            <w:tcW w:type="dxa" w:w="2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初步结论</w:t>
            </w:r>
          </w:p>
        </w:tc>
        <w:tc>
          <w:tcPr>
            <w:tcW w:type="dxa" w:w="2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待核验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客户图谱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集团/母子公司、实际控制人、核心子公司、上下游和生态伙伴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关系图谱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决策人、影响人、使用人、把关人；我行覆盖关系和联系频率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业务图谱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商流、物流、资金流、信息流；账户、币种、期限和高频场景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1.4 行业与价值链假设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维度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公开事实 F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工作假设 H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核验问题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行业周期/政策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竞争与利润池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价值链与账期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资本开支/融资结构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技术/数字化/绿色转型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跨境与汇率敞口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主要风险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1.5 首访访谈提纲（从战略到交易）</w:t>
      </w:r>
    </w:p>
    <w:p>
      <w:pPr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未来12—24个月最重要的三项经营目标是什么？哪些事件会决定成败？</w:t>
      </w:r>
    </w:p>
    <w:p>
      <w:pPr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目前增长、效率、现金流、风险或治理方面，最需要优先解决的问题是什么？</w:t>
      </w:r>
    </w:p>
    <w:p>
      <w:pPr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从采购、生产、库存、销售到回款，哪一段占用资金最多、波动最大或人工成本最高？</w:t>
      </w:r>
    </w:p>
    <w:p>
      <w:pPr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主要客户与供应商的结算方式、账期、币种和集中度如何？有哪些不可替代的合作方？</w:t>
      </w:r>
    </w:p>
    <w:p>
      <w:pPr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现有银行合作中，哪些体验希望保留，哪些问题希望改善？选择银行最看重什么？</w:t>
      </w:r>
    </w:p>
    <w:p>
      <w:pPr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未来是否有资本开支、并购、重组、上市、发债、出海或员工激励等计划？</w:t>
      </w:r>
    </w:p>
    <w:p>
      <w:pPr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谁提出需求、谁评估方案、谁审批、谁使用？预算、时间窗口和内部流程是什么？</w:t>
      </w:r>
    </w:p>
    <w:p>
      <w:pPr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为推进下一步，客户可提供哪些材料？双方分别需要完成什么、何时完成？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FFF4CE"/>
            <w:tcBorders>
              <w:top w:val="single" w:sz="8" w:color="7A5A00"/>
              <w:start w:val="single" w:sz="20" w:color="7A5A00"/>
              <w:bottom w:val="single" w:sz="8" w:color="7A5A00"/>
              <w:end w:val="single" w:sz="8" w:color="7A5A00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19"/>
              </w:rPr>
              <w:t>提问纪律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避免从产品名称出发连续推销。先确认业务目标、触发事件、根因、量化影响、决策链和时限，再讨论金融与非金融服务。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1.6 拜访风险与预案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情形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预警信号</w:t>
            </w:r>
          </w:p>
        </w:tc>
        <w:tc>
          <w:tcPr>
            <w:tcW w:type="dxa" w:w="3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应对动作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责任人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客户信息不足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无法确认关键数据/决策人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降级为探索性会谈；明确材料清单和二次访谈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超权限询价/额度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要求现场承诺价格或授信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说明需评估审批；记录假设区间但不承诺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敏感/受限信息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涉及个人、商业秘密、制裁或内幕信息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按最小必要原则采集；转合规/法务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跨部门分歧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专家口径不一致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由牵头人统一对客口径；会后形成书面结论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02｜首次拜访纪要与需求核验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E8EEF5"/>
            <w:tcBorders>
              <w:top w:val="single" w:sz="8" w:color="1F4D78"/>
              <w:start w:val="single" w:sz="20" w:color="1F4D78"/>
              <w:bottom w:val="single" w:sz="8" w:color="1F4D78"/>
              <w:end w:val="single" w:sz="8" w:color="1F4D78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24小时规则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拜访后24小时内完成纪要、事实/假设转换、数据缺口、需求优先级和下一步；涉及敏感事项按本行信息安全规则归档。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2.1 会议信息与结论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客户/会议主题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日期/地点/方式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客户参会人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我方参会人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客户核心目标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〔客户原意概括〕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首要触发事件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〔时间窗〕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初步合作范围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下次会面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〔主题/日期/参与人〕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2.2 关键陈述与核验记录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主题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客户陈述/证据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影响/判断</w:t>
            </w:r>
          </w:p>
        </w:tc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待办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战略目标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经营痛点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资金与结算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融资与资本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风险与合规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决策与时限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2.3 需求优先级</w:t>
      </w:r>
    </w:p>
    <w:p>
      <w:pPr>
        <w:keepNext w:val="0"/>
        <w:spacing w:before="0" w:after="100" w:line="283" w:lineRule="auto"/>
      </w:pPr>
      <w:r>
        <w:rPr>
          <w:rFonts w:ascii="Calibri" w:hAnsi="Calibri" w:eastAsia="Microsoft YaHei"/>
          <w:b w:val="0"/>
          <w:i/>
          <w:color w:val="667085"/>
          <w:sz w:val="18"/>
        </w:rPr>
        <w:t>建议评分：优先分 = 紧迫度（1—5）× 经营影响（1—5）× 战略匹配（1—5）。评分仅用于排序，不替代专业判断。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需求ID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客户目标/痛点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触发事件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紧迫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影响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匹配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得分</w:t>
            </w:r>
          </w:p>
        </w:tc>
        <w:tc>
          <w:tcPr>
            <w:tcW w:type="dxa" w:w="1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N-01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〔公式〕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□P1 □P2 □P3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N-02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〔公式〕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□P1 □P2 □P3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N-03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〔1-5〕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〔公式〕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□P1 □P2 □P3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2.4 决策链与推进条件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角色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姓名/职务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关注点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影响力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我方覆盖</w:t>
            </w:r>
          </w:p>
        </w:tc>
        <w:tc>
          <w:tcPr>
            <w:tcW w:type="dxa" w:w="1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经济决策人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业务发起人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财务/资金负责人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使用/运营负责人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法务/合规/采购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2.5 材料与下一步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序号</w:t>
            </w:r>
          </w:p>
        </w:tc>
        <w:tc>
          <w:tcPr>
            <w:tcW w:type="dxa" w:w="2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材料/行动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提供方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期限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□客户 □银行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□未开始 □进行中 □完成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□客户 □银行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□未开始 □进行中 □完成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□客户 □银行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□未开始 □进行中 □完成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03｜对公客户综合服务建议书（对客版母版）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FDE8E7"/>
            <w:tcBorders>
              <w:top w:val="single" w:sz="8" w:color="9B1C1C"/>
              <w:start w:val="single" w:sz="20" w:color="9B1C1C"/>
              <w:bottom w:val="single" w:sz="8" w:color="9B1C1C"/>
              <w:end w:val="single" w:sz="8" w:color="9B1C1C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19"/>
              </w:rPr>
              <w:t>发布条件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仅在G1客户核验、G2专家设计、G3内部审批完成后生成对客版。未批准事项应标注“拟议/需进一步评估”，并明确适用条件。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致客户与执行摘要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致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〔客户全称/尊称〕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方案主题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〔用客户语言描述〕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基准日期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方案有效期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〔如适用〕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keepNext w:val="0"/>
        <w:spacing w:before="0" w:after="10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  <w:t>尊敬的〔客户称谓〕：</w:t>
      </w:r>
    </w:p>
    <w:p>
      <w:pPr>
        <w:keepNext w:val="0"/>
        <w:spacing w:before="0" w:after="10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  <w:t>基于双方于〔日期〕围绕〔业务主题〕的交流，以及贵司授权提供的资料，我们对贵司〔经营目标/关键事件〕形成了如下理解。为支持贵司实现〔目标〕，建议从〔三项以内的方案主线〕分阶段推进。本建议书所列产品、额度、价格、收益和时效均以适用条件、进一步评估及银行最终审批/合同为准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客户目标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我们理解的关键约束</w:t>
            </w:r>
          </w:p>
        </w:tc>
        <w:tc>
          <w:tcPr>
            <w:tcW w:type="dxa" w:w="2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建议主线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预期业务价值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〔目标1〕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〔事实/根因〕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〔方案主线1〕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〔KPI/定性价值〕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〔目标2〕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〔事实/根因〕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〔方案主线2〕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〔KPI/定性价值〕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〔目标3〕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〔事实/根因〕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〔方案主线3〕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〔KPI/定性价值〕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客户与行业诊断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3"/>
        </w:rPr>
        <w:t>3.2.1 经核验的客户经营事实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维度</w:t>
            </w:r>
          </w:p>
        </w:tc>
        <w:tc>
          <w:tcPr>
            <w:tcW w:type="dxa" w:w="3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事实与时点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证据状态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对金融服务的含义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战略与生命周期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□B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商业模式与价值链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□B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财务与现金转换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□B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集团/跨境/生态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□B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治理与决策链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□C □B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3"/>
        </w:rPr>
        <w:t>3.2.2 行业判断与客户定位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行业变量</w:t>
            </w:r>
          </w:p>
        </w:tc>
        <w:tc>
          <w:tcPr>
            <w:tcW w:type="dxa" w:w="2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行业共性</w:t>
            </w:r>
          </w:p>
        </w:tc>
        <w:tc>
          <w:tcPr>
            <w:tcW w:type="dxa" w:w="2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客户差异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机会/风险含义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周期与增长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政策与监管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竞争与利润池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价值链与账期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技术/绿色/出海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需求—方案—产品总览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优先需求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根因/场景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方案目标</w:t>
            </w:r>
          </w:p>
        </w:tc>
        <w:tc>
          <w:tcPr>
            <w:tcW w:type="dxa" w:w="2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服务组合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前置条件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价值/KPI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N-01 / P1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N-02 / P1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N-03 / P2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3.4 总体服务蓝图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层级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要解决的问题</w:t>
            </w:r>
          </w:p>
        </w:tc>
        <w:tc>
          <w:tcPr>
            <w:tcW w:type="dxa" w:w="3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可组合的服务模块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本客户取舍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经营底座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账户、收付、对账、流动性和数据可视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账户体系｜收付款｜现金管理｜银企直联｜财资管理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增长支持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周转资金、资本开支、链上客户/供应商协同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流贷/票据｜项目融资｜供应链金融｜普惠/科创/绿色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跨境与交易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跨境结算、贸易融资、汇率/利率风险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跨境账户｜国际结算｜贸易融资｜外汇及避险服务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资本与结构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并购、重组、发债、上市、资产盘活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投行顾问｜并购融资｜债券/资本市场｜资产证券化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组织与生态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员工、股东、产业生态和数字化能力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代发与员工服务｜企业家服务｜生态平台｜非金融赋能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3.5 分项服务设计卡（每个P1需求复制一张）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3"/>
        </w:rPr>
        <w:t>方案卡 S-01｜〔客户语言的方案名称〕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关联需求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N-01 / 优先级〔填写〕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方案负责人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触发事件/时限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根因与约束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成功标准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〔KPI/验收〕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组成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具体服务/产品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业务逻辑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适用条件/材料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风险控制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主方案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配套服务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备选方案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专业服务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〔行业/财资/投行等〕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客户业务价值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〔增收/降本/提效/控险〕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银行服务价值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〔关系/结算/综合贡献〕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拟议时点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审批状态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□P待审批 □A已批准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3"/>
        </w:rPr>
        <w:t>方案卡 S-02｜〔客户语言的方案名称〕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关联需求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N-02 / 优先级〔填写〕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方案负责人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触发事件/时限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根因与约束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成功标准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〔KPI/验收〕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组成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具体服务/产品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业务逻辑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适用条件/材料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风险控制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主方案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配套服务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备选方案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专业服务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〔行业/财资/投行等〕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客户业务价值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〔增收/降本/提效/控险〕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银行服务价值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〔关系/结算/综合贡献〕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拟议时点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审批状态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□P待审批 □A已批准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3.6 推荐组合包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组合层级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适用情形</w:t>
            </w:r>
          </w:p>
        </w:tc>
        <w:tc>
          <w:tcPr>
            <w:tcW w:type="dxa" w:w="3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典型构成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本客户建议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基础包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先建立合作底座/快速解决高频事项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开户/结算/对账/代发/线上渠道/基础现金管理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□采用 □暂缓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成长包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增长、周转、扩产、上下游协同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融资 + 供应链 + 财资 + 数字化连接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□采用 □暂缓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战略包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重大投资、出海、并购、资本市场或集团财资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商行 + 投行 + 跨境 + 生态 + 专家顾问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□采用 □暂缓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备选包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审批、数据或时点条件暂不满足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轻量替代、阶段实施或第三方协同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□采用 □暂缓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3.7 价值测算与假设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价值项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基准值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目标值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计算口径/假设</w:t>
            </w:r>
          </w:p>
        </w:tc>
        <w:tc>
          <w:tcPr>
            <w:tcW w:type="dxa" w:w="1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数据来源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复核人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资金占用/周转天数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融资综合成本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结算/对账效率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风险暴露/损失避免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收入/生态覆盖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FFF4CE"/>
            <w:tcBorders>
              <w:top w:val="single" w:sz="8" w:color="7A5A00"/>
              <w:start w:val="single" w:sz="20" w:color="7A5A00"/>
              <w:bottom w:val="single" w:sz="8" w:color="7A5A00"/>
              <w:end w:val="single" w:sz="8" w:color="7A5A00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19"/>
              </w:rPr>
              <w:t>价值表达规则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区分“可测算收益、情景测算、定性价值”。不得把预测当承诺；必须披露口径、假设、数据来源、敏感因素和复核人。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3.8 实施路线与服务机制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阶段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关键目标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里程碑</w:t>
            </w:r>
          </w:p>
        </w:tc>
        <w:tc>
          <w:tcPr>
            <w:tcW w:type="dxa" w:w="2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双方责任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0—30天｜启动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31—90天｜落地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91—180天｜扩展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牵头客户经理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客户项目负责人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专家团队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〔领域/姓名〕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例会机制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〔频率/参与人〕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问题升级路径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文档与数据通道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3.9 适用条件、风险提示与声明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本建议书基于基准日期前获得的信息，若客户经营、市场、政策或资料发生变化，方案可能需要调整。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涉及授信、额度、价格、期限、担保、投资回报、产品准入或交易执行的内容，以银行正式审批、合同、产品文件和实际交易为准。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客户应按要求提供真实、准确、完整、及时的资料，并履行内部授权、决策和合规义务。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涉及外汇、衍生品、资本市场、跨境、数据、制裁、反洗钱等事项，须符合适用法律法规及双方内部制度。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专业顾问服务如涉及收费，应明确实质服务内容、交付物、人员、记录、定价依据和验收标准，不以授信尽调或内部管理事项替代收费服务。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银行经办/复核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〔签字/日期〕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客户确认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〔签字/日期；如适用〕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批准编号/范围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有效期/复审日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04｜出具前质量与合规检查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检查项</w:t>
            </w:r>
          </w:p>
        </w:tc>
        <w:tc>
          <w:tcPr>
            <w:tcW w:type="dxa" w:w="4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通过标准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结果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证据/整改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客户专属性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引用了客户事实、目标、事件、价值链和决策链，而非通用产品堆砌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证据可追溯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关键判断有来源/时点；事实、客户确认、银行核验、假设分开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需求闭环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每项产品/服务均关联需求、根因、价值、条件、责任和里程碑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主备方案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P1需求有主方案和备选方案；说明未采用方案及原因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产品适配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准入、期限、币种、担保、系统、操作与客户能力匹配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风险合规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授信、AML、制裁、适当性、数据、保密、税务/法律等已评估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审批边界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额度、价格、收益、时效、合同等表述与批复一致；无越权承诺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收费服务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有实质服务内容、交付物、记录和验收；不与信贷尽调混同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对客可读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三页内看清目标、方案、价值、条件和下一步；术语已解释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实施可执行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30/90/180天计划有负责人、依赖、KPI、证据和升级机制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□通过 □整改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客户经理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〔姓名/日期〕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专家复核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〔姓名/领域/日期〕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风险/合规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〔如适用〕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有权审批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〔编号/日期〕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对客版本号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归档位置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附录A｜客户信息采集表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E8EEF5"/>
            <w:tcBorders>
              <w:top w:val="single" w:sz="8" w:color="1F4D78"/>
              <w:start w:val="single" w:sz="20" w:color="1F4D78"/>
              <w:bottom w:val="single" w:sz="8" w:color="1F4D78"/>
              <w:end w:val="single" w:sz="8" w:color="1F4D78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采集原则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只采集为客户经营、风险评估和服务设计所必要的信息；记录来源、时点、可靠性和授权。敏感信息按本行权限和安全制度处理。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A1 基本与集团信息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客户ID/全称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统一社会信用代码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注册地/经营地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成立/上市情况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所有制/企业类型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行业/细分赛道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实际控制人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集团/母公司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核心子公司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区域/跨境布局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A2 治理、组织与关系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董事会/管理层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财务/资金负责人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业务发起人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法务/合规/采购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决策流程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授权/签约安排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我行关系覆盖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同业关系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A3 战略与生命周期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生命周期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□初创 □成长 □成熟 □转型/重组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12—24月目标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重大投资/扩产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并购/重组/上市/发债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出海/跨境计划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数字化/绿色转型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关键事件与时点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主要经营约束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A4 商业模式与价值链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核心产品/服务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收入/利润来源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采购与供应商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〔集中度/账期/币种〕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生产/库存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销售与客户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〔集中度/账期/币种〕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回款与支付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季节性/周期性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关键生态伙伴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A5 财务与现金流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收入/利润趋势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〔近3年/预测〕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资产负债趋势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经营现金流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现金转换周期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应收/存货/应付天数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资本开支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融资余额/结构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币种/利率/期限敞口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资金峰谷/缺口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预算/财资制度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A6 银行合作与交易场景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主办行/合作行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账户与存款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收付款/结算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授信/融资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票据/供应链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跨境/外汇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现金管理/财资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代发/员工服务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当前满意点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待改善问题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A7 风险、合规与数据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行业/经营风险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信用/担保风险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诉讼/税务/环保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反洗钱/制裁/跨境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数据/隐私/信息安全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声誉/ESG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风险缓释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需专家核验事项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A8 证据与数据缺口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字段/结论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 F/C/B/H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来源/提供人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时点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可靠性</w:t>
            </w:r>
          </w:p>
        </w:tc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缺口与行动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附录B｜行业分析表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行业/子行业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分析基准日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客户所在环节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分析人员/复核人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分析维度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行业事实/趋势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关键指标/证据</w:t>
            </w:r>
          </w:p>
        </w:tc>
        <w:tc>
          <w:tcPr>
            <w:tcW w:type="dxa" w:w="1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对客户的影响</w:t>
            </w:r>
          </w:p>
        </w:tc>
        <w:tc>
          <w:tcPr>
            <w:tcW w:type="dxa" w:w="1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银行服务含义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边界与生命周期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规模、增速与周期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政策与监管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技术与替代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竞争格局与集中度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价值链与利润池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商流/物流/资金流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账期与现金转换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资本开支与融资模式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跨境/汇率/大宗商品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绿色/ESG/数据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主要风险与预警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B1 客户相对行业定位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指标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行业区间/标杆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客户值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差异原因</w:t>
            </w:r>
          </w:p>
        </w:tc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机会/风险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收入增速/市场份额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毛利率/净利率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应收/存货/应付天数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资产负债率/利息覆盖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资本开支/研发强度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客户/供应商集中度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B2 行业吸引力与银行匹配度（1—5分）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评分</w:t>
            </w:r>
          </w:p>
        </w:tc>
        <w:tc>
          <w:tcPr>
            <w:tcW w:type="dxa" w:w="3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权重/说明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增长与战略重要性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〔1-5〕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政策/技术可见度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〔1-5〕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利润与现金流质量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〔1-5〕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金融服务场景丰富度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〔1-5〕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风险可识别/可缓释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〔1-5〕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我行能力与资源匹配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〔1-5〕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E8EEF5"/>
            <w:tcBorders>
              <w:top w:val="single" w:sz="8" w:color="1F4D78"/>
              <w:start w:val="single" w:sz="20" w:color="1F4D78"/>
              <w:bottom w:val="single" w:sz="8" w:color="1F4D78"/>
              <w:end w:val="single" w:sz="8" w:color="1F4D78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结论模板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该行业处于〔阶段〕，核心驱动为〔因素〕，主要风险为〔因素〕。客户位于价值链〔环节〕，相对行业在〔指标〕领先/落后。建议优先切入〔场景〕，以〔风控抓手〕控制风险，并由〔专家〕进一步验证〔问题〕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附录C｜需求—方案—产品映射表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E8EEF5"/>
            <w:tcBorders>
              <w:top w:val="single" w:sz="8" w:color="1F4D78"/>
              <w:start w:val="single" w:sz="20" w:color="1F4D78"/>
              <w:bottom w:val="single" w:sz="8" w:color="1F4D78"/>
              <w:end w:val="single" w:sz="8" w:color="1F4D78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映射规则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一项产品必须回答：服务哪个客户目标、解决什么根因、在什么场景使用、需要哪些条件、创造什么价值、由谁负责。无法回答的产品不进入对客建议书。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映射项 M-01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关联需求ID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〔N-xx〕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证据/触发事件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痛点与根因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优先级/得分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决策人/时限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方案负责人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层次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方案/产品/服务</w:t>
            </w:r>
          </w:p>
        </w:tc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适配逻辑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前置条件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风险控制</w:t>
            </w:r>
          </w:p>
        </w:tc>
        <w:tc>
          <w:tcPr>
            <w:tcW w:type="dxa" w:w="1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审批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主方案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配套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备选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非金融/专家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预期价值/KPI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价值测算假设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客户确认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□未确认 □认可 □调整 □拒绝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下一里程碑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未采用原因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版本/复核人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映射项 M-02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关联需求ID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〔N-xx〕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证据/触发事件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痛点与根因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优先级/得分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决策人/时限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方案负责人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层次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方案/产品/服务</w:t>
            </w:r>
          </w:p>
        </w:tc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适配逻辑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前置条件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风险控制</w:t>
            </w:r>
          </w:p>
        </w:tc>
        <w:tc>
          <w:tcPr>
            <w:tcW w:type="dxa" w:w="1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审批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主方案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配套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备选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非金融/专家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预期价值/KPI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价值测算假设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客户确认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□未确认 □认可 □调整 □拒绝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下一里程碑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未采用原因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版本/复核人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映射项 M-03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关联需求ID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〔N-xx〕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证据/触发事件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痛点与根因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优先级/得分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决策人/时限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方案负责人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层次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方案/产品/服务</w:t>
            </w:r>
          </w:p>
        </w:tc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适配逻辑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前置条件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风险控制</w:t>
            </w:r>
          </w:p>
        </w:tc>
        <w:tc>
          <w:tcPr>
            <w:tcW w:type="dxa" w:w="1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审批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主方案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配套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备选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非金融/专家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□P □A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预期价值/KPI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价值测算假设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客户确认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□未确认 □认可 □调整 □拒绝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下一里程碑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未采用原因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版本/复核人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附录D｜专家协同单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协同单号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EX-〔客户ID〕-〔日期〕-〔序号〕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提出日期/截止日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客户/需求ID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牵头客户经理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保密等级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□内部 □客户保密 □严格限制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紧急程度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□普通 □加急 □重大项目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D1 请求定义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4997"/>
        <w:gridCol w:w="4997"/>
      </w:tblGrid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业务背景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〔经营事实/触发事件/已做工作〕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待解决问题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〔一个问题一句话，避免只写‘请支持’〕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期望交付物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□行业观点 □方案设计 □产品适配 □测算 □客户会议 □尽调/审查意见 □其他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决策/使用场景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〔用于何种决策或对客沟通〕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范围外事项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〔明确不包含内容〕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D2 专家与资料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专家领域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牵头/参与人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职责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截止</w:t>
            </w:r>
          </w:p>
        </w:tc>
        <w:tc>
          <w:tcPr>
            <w:tcW w:type="dxa" w:w="1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□行业 □产品 □财资 □供应链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6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□待接单 □进行中 □完成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□授信/风险 □法律/合规 □跨境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6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□待接单 □进行中 □完成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□投行/资本市场 □数字化 □ESG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6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□待接单 □进行中 □完成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资料名称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提供方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日期/版本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权限/脱敏</w:t>
            </w:r>
          </w:p>
        </w:tc>
        <w:tc>
          <w:tcPr>
            <w:tcW w:type="dxa" w:w="1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缺口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□客户 □银行 □公开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□客户 □银行 □公开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□客户 □银行 □公开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D3 输出、复核与对客口径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4997"/>
        <w:gridCol w:w="4997"/>
      </w:tblGrid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专家结论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〔结论/依据/适用边界〕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建议方案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〔主方案/备选/条件/风险〕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需审批事项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〔额度/价格/准入/法律/系统等〕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仍待核验事项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客户可见性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□可直接对客 □修改后对客 □仅内部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统一对客口径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牵头专家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〔签字/日期〕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客户经理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〔签字/日期〕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复核/审批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〔签字/日期〕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归档链接/版本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附录E｜30/90/180天实施计划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客户/项目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项目负责人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启动日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复盘机制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〔周/月/里程碑〕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总体目标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180天成功标准</w:t>
            </w:r>
          </w:p>
        </w:tc>
        <w:tc>
          <w:tcPr>
            <w:tcW w:type="dxa" w:w="33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阶段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阶段目标</w:t>
            </w:r>
          </w:p>
        </w:tc>
        <w:tc>
          <w:tcPr>
            <w:tcW w:type="dxa" w:w="2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必达里程碑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退出/升级条件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0—30天 启动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确认范围、资料、审批和快速成果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31—90天 落地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完成核心产品/服务部署并开始计量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91—180天 扩展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稳定运营、验证价值、复制到集团/链条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E1 行动台账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  <w:cantSplit/>
        </w:trPr>
        <w:tc>
          <w:tcPr>
            <w:tcW w:type="dxa" w:w="1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ID/阶段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任务与交付物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责任人</w:t>
            </w:r>
          </w:p>
        </w:tc>
        <w:tc>
          <w:tcPr>
            <w:tcW w:type="dxa" w:w="1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计划日期</w:t>
            </w:r>
          </w:p>
        </w:tc>
        <w:tc>
          <w:tcPr>
            <w:tcW w:type="dxa" w:w="1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依赖/闸门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KPI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状态/证据</w:t>
            </w:r>
          </w:p>
        </w:tc>
      </w:tr>
      <w:tr>
        <w:trPr>
          <w:cantSplit/>
        </w:trP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A-01 / 0-30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〔银/客〕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</w:tr>
      <w:tr>
        <w:trPr>
          <w:cantSplit/>
        </w:trP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A-02 / 0-30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〔银/客〕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</w:tr>
      <w:tr>
        <w:trPr>
          <w:cantSplit/>
        </w:trP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A-03 / 31-90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〔银/客〕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</w:tr>
      <w:tr>
        <w:trPr>
          <w:cantSplit/>
        </w:trP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A-04 / 31-90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〔银/客〕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</w:tr>
      <w:tr>
        <w:trPr>
          <w:cantSplit/>
        </w:trP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A-05 / 91-180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〔银/客〕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</w:tr>
      <w:tr>
        <w:trPr>
          <w:cantSplit/>
        </w:trP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A-06 / 91-180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〔银/客〕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E2 KPI与价值跟踪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KPI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基准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30天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90天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180天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口径/来源</w:t>
            </w:r>
          </w:p>
        </w:tc>
        <w:tc>
          <w:tcPr>
            <w:tcW w:type="dxa" w:w="1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账户/结算覆盖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资金归集/可视比例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融资/供应链覆盖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效率/成本/周转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风险/合规指标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客户满意/下一机会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E3 问题、风险与变更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问题/风险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影响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责任人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缓释动作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截止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升级/变更决定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□高 □中 □低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E4 复盘结论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4997"/>
        <w:gridCol w:w="4997"/>
      </w:tblGrid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30天复盘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〔完成/差距/决定〕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90天复盘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〔完成/差距/决定〕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180天复盘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〔价值实现/续作/扩展/退出〕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客户反馈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下一轮机会</w:t>
            </w:r>
          </w:p>
        </w:tc>
        <w:tc>
          <w:tcPr>
            <w:tcW w:type="dxa" w:w="75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</w:tcPr>
          <w:p>
            <w:pPr>
              <w:widowControl/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〔填写〕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1"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附录F｜编制说明与适配建议</w:t>
      </w:r>
    </w:p>
    <w:p>
      <w:pPr>
        <w:keepNext w:val="0"/>
        <w:spacing w:before="0" w:after="100" w:line="283" w:lineRule="auto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本模板综合吸收大型商业银行、股份制银行和优质城商行在综合金融、交易银行、行业经营、投商行协同、客户图谱、生命周期服务和一户一策方面的公开实践，并将其转化为不依赖单一银行产品名称的通用工作框架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公开实践方法</w:t>
            </w:r>
          </w:p>
        </w:tc>
        <w:tc>
          <w:tcPr>
            <w:tcW w:type="dxa" w:w="5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模板中的转化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需求分析—总体构思—服务组合—效果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执行摘要、需求映射、方案卡、价值测算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财务顾问/综合融资/专业团队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专家协同单、主备方案、审批闸门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企业生命周期服务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客户信息采集、行业定位、分阶段组合包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需求—客户—周期/场景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三张图、交易场景、触发事件和时限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客户/关系/业务图谱与一户一策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拜访前简报、决策链、需求优先级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客户经理+服务顾问+产品专家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RACI、专家协同、统一对客口径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商行+投行、境内+境外、核心+链条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总体服务蓝图与战略组合包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金融+非金融/行业专班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F"/>
              <w:start w:val="single" w:sz="6" w:color="C9D2DF"/>
              <w:bottom w:val="single" w:sz="6" w:color="C9D2DF"/>
              <w:end w:val="single" w:sz="6" w:color="C9D2DF"/>
            </w:tcBorders>
            <w:shd w:fill="FAFBFC"/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专业服务、数字化、生态和非金融赋能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本行落地前应完成的本地化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替换本行产品目录、准入条件、授权审批、价格和合同口径；建立可维护的产品能力字典。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按客户分层、行业策略和风险偏好调整评分阈值、专家触发条件与对客模板深度。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明确CRM、授信、项目管理和档案系统中的字段映射、数据权限、留痕与保管期限。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对客户经理和专家开展访谈、行业分析、价值测算、合规表达和联合呈现训练。</w:t>
      </w:r>
    </w:p>
    <w:p>
      <w:pPr>
        <w:spacing w:after="60" w:line="276" w:lineRule="auto"/>
        <w:ind w:left="389" w:hanging="202"/>
      </w:pPr>
      <w:r>
        <w:rPr>
          <w:rFonts w:ascii="Calibri" w:hAnsi="Calibri" w:eastAsia="Microsoft YaHei"/>
          <w:b/>
          <w:i w:val="0"/>
          <w:color w:val="2E74B5"/>
          <w:sz w:val="19"/>
        </w:rPr>
        <w:t xml:space="preserve">• 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以10—20户试点检验字段可得性、会议转化率、方案落地率和客户反馈，再形成正式版本。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94"/>
      </w:tblGrid>
      <w:tr>
        <w:trPr>
          <w:cantSplit/>
        </w:trPr>
        <w:tc>
          <w:tcPr>
            <w:tcW w:type="dxa" w:w="9680"/>
            <w:shd w:fill="E8EEF5"/>
            <w:tcBorders>
              <w:top w:val="single" w:sz="8" w:color="1F4D78"/>
              <w:start w:val="single" w:sz="20" w:color="1F4D78"/>
              <w:bottom w:val="single" w:sz="8" w:color="1F4D78"/>
              <w:end w:val="single" w:sz="8" w:color="1F4D78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与配套Excel的关系</w:t>
            </w:r>
          </w:p>
          <w:p>
            <w:pPr>
              <w:widowControl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Word用于拜访准备、内部评审和对客成稿；Excel用于批量采集、评分、映射、协同和实施跟踪。两者通过客户ID、需求ID、方案ID、协同单号和行动ID关联。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Calibri" w:hAnsi="Calibri" w:eastAsia="Microsoft YaHei"/>
          <w:b w:val="0"/>
          <w:i w:val="0"/>
          <w:color w:val="0B2545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jc w:val="center"/>
      <w:tblLayout w:type="fixed"/>
    </w:tblPr>
    <w:tblGrid>
      <w:gridCol w:w="3226"/>
      <w:gridCol w:w="3226"/>
      <w:gridCol w:w="3226"/>
    </w:tblGrid>
    <w:tr>
      <w:tc>
        <w:tcPr>
          <w:tcW w:type="dxa" w:w="320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spacing w:after="0"/>
            <w:jc w:val="left"/>
          </w:pPr>
          <w:r>
            <w:rPr>
              <w:rFonts w:ascii="Calibri" w:hAnsi="Calibri" w:eastAsia="Microsoft YaHei"/>
              <w:b w:val="0"/>
              <w:i w:val="0"/>
              <w:color w:val="667085"/>
              <w:sz w:val="15"/>
            </w:rPr>
            <w:t>内部工作模板｜对客版本须履行审批</w:t>
          </w:r>
        </w:p>
      </w:tc>
      <w:tc>
        <w:tcPr>
          <w:tcW w:type="dxa" w:w="330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spacing w:after="0"/>
            <w:jc w:val="center"/>
          </w:pPr>
          <w:r>
            <w:rPr>
              <w:rFonts w:ascii="Calibri" w:hAnsi="Calibri" w:eastAsia="Microsoft YaHei"/>
              <w:b w:val="0"/>
              <w:i w:val="0"/>
              <w:color w:val="667085"/>
              <w:sz w:val="15"/>
            </w:rPr>
            <w:t>V1.0｜2026-08-19</w:t>
          </w:r>
        </w:p>
      </w:tc>
      <w:tc>
        <w:tcPr>
          <w:tcW w:type="dxa" w:w="320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b w:val="0"/>
              <w:i w:val="0"/>
              <w:color w:val="667085"/>
              <w:sz w:val="15"/>
            </w:rPr>
            <w:t xml:space="preserve">第 </w:t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b w:val="0"/>
              <w:i w:val="0"/>
              <w:color w:val="667085"/>
              <w:sz w:val="15"/>
            </w:rPr>
            <w:t xml:space="preserve"> 页 / 共 </w:t>
            <w:fldChar w:fldCharType="begin"/>
            <w:instrText xml:space="preserve">NUMPAGES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b w:val="0"/>
              <w:i w:val="0"/>
              <w:color w:val="667085"/>
              <w:sz w:val="15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BE2"/>
      </w:pBdr>
    </w:pPr>
    <w:r>
      <w:rPr>
        <w:rFonts w:ascii="Calibri" w:hAnsi="Calibri" w:eastAsia="Microsoft YaHei"/>
        <w:b/>
        <w:i w:val="0"/>
        <w:color w:val="667085"/>
        <w:sz w:val="17"/>
      </w:rPr>
      <w:t>对公客户综合经营工具包</w:t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 |  首次拜访与服务建议书标准模板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0B25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对公客户首次拜访与综合服务建议书标准模板</dc:title>
  <dc:subject>对公客户首次拜访、综合服务建议及五表协同</dc:subject>
  <dc:creator>对公客户综合经营团队</dc:creator>
  <cp:keywords>对公客户,首次拜访,综合服务建议书,客户经理,行业分析,专家协同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