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160" w:line="320" w:lineRule="exact"/>
        <w:jc w:val="center"/>
      </w:pPr>
      <w:r>
        <w:rPr>
          <w:b/>
          <w:i w:val="0"/>
          <w:color w:val="EB6C36"/>
          <w:sz w:val="64"/>
        </w:rPr>
        <w:t>GITS-KNO</w:t>
      </w:r>
    </w:p>
    <w:p>
      <w:pPr>
        <w:spacing w:after="320" w:line="320" w:lineRule="exact"/>
        <w:jc w:val="center"/>
      </w:pPr>
      <w:r>
        <w:rPr>
          <w:b/>
          <w:i w:val="0"/>
          <w:color w:val="2D3142"/>
          <w:sz w:val="40"/>
        </w:rPr>
        <w:t>银行客户经理持续经营 · 知识工程平台</w:t>
      </w:r>
    </w:p>
    <w:p>
      <w:pPr>
        <w:spacing w:after="400" w:line="320" w:lineRule="exact"/>
        <w:jc w:val="center"/>
      </w:pPr>
      <w:r>
        <w:rPr>
          <w:b w:val="0"/>
          <w:i w:val="0"/>
          <w:color w:val="4F5D75"/>
          <w:sz w:val="28"/>
        </w:rPr>
        <w:t>当前架构设计解读（含 DKWS 场景层）</w:t>
      </w:r>
    </w:p>
    <w:p>
      <w:pPr>
        <w:spacing w:after="80" w:line="320" w:lineRule="exact"/>
        <w:jc w:val="center"/>
      </w:pPr>
      <w:r>
        <w:rPr>
          <w:b w:val="0"/>
          <w:i w:val="0"/>
          <w:color w:val="4F5D75"/>
          <w:sz w:val="22"/>
        </w:rPr>
        <w:t>版本 V2.1 · 2026-08-23</w:t>
      </w:r>
    </w:p>
    <w:p>
      <w:pPr>
        <w:spacing w:after="320" w:line="320" w:lineRule="exact"/>
        <w:jc w:val="center"/>
      </w:pPr>
      <w:r>
        <w:rPr>
          <w:b w:val="0"/>
          <w:i w:val="0"/>
          <w:color w:val="4F5D75"/>
          <w:sz w:val="20"/>
        </w:rPr>
        <w:t>分支 feature/P24-dkws-supplychain · HEAD 2e1118d</w:t>
      </w:r>
    </w:p>
    <w:p>
      <w:pPr>
        <w:spacing w:after="80" w:line="320" w:lineRule="exact"/>
        <w:jc w:val="center"/>
      </w:pPr>
      <w:r>
        <w:rPr>
          <w:b w:val="0"/>
          <w:i/>
          <w:color w:val="4F5D75"/>
          <w:sz w:val="20"/>
        </w:rPr>
        <w:t>本解读面向人类架构师，采用非技术语言描述系统结构、决策与演进</w:t>
      </w:r>
    </w:p>
    <w:p>
      <w:r>
        <w:br w:type="page"/>
      </w:r>
    </w:p>
    <w:p>
      <w:pPr>
        <w:pStyle w:val="Heading1"/>
      </w:pPr>
      <w:r>
        <w:rPr>
          <w:color w:val="2D3142"/>
        </w:rPr>
        <w:t>目录</w:t>
      </w:r>
    </w:p>
    <w:p>
      <w:pPr>
        <w:spacing w:after="120" w:line="320" w:lineRule="exact"/>
      </w:pPr>
      <w:r>
        <w:rPr>
          <w:b w:val="0"/>
          <w:i/>
          <w:color w:val="4F5D75"/>
          <w:sz w:val="20"/>
        </w:rPr>
        <w:t>（在 Word 中右键 → 更新域 以生成目录）</w:t>
      </w:r>
    </w:p>
    <w:p>
      <w:r>
        <w:br w:type="page"/>
      </w:r>
    </w:p>
    <w:p>
      <w:pPr>
        <w:pStyle w:val="Heading1"/>
      </w:pPr>
      <w:r>
        <w:rPr>
          <w:color w:val="2D3142"/>
        </w:rPr>
        <w:t>1. 项目概述：一句话讲清楚这个系统</w:t>
      </w:r>
    </w:p>
    <w:p>
      <w:pPr>
        <w:spacing w:after="120" w:line="320" w:lineRule="exact"/>
      </w:pPr>
      <w:r>
        <w:rPr>
          <w:b w:val="0"/>
          <w:i w:val="0"/>
          <w:color w:val="2D3142"/>
          <w:sz w:val="22"/>
        </w:rPr>
        <w:t>GITS-KNO 是一个面向银行客户经理的「持续经营知识工程平台」。它的核心任务是：把客户经理在经营客户过程中产生的散乱信息，变成结构化的、可推理、可追溯的「客户知识」，并在合适的时候以合适的形态推送给合适的人。</w:t>
      </w:r>
    </w:p>
    <w:p>
      <w:pPr>
        <w:spacing w:after="120" w:line="320" w:lineRule="exact"/>
      </w:pPr>
      <w:r>
        <w:rPr>
          <w:b w:val="0"/>
          <w:i w:val="0"/>
          <w:color w:val="2D3142"/>
          <w:sz w:val="22"/>
        </w:rPr>
        <w:t>如果把传统 CRM 比作「客户信息的电子病历本」，那么 GITS-KNO 更像「客户的智慧档案室」——它不仅记录事实，还能把事实组织成线索（如 KYC 洞察、机会信号），并约束 AI 只能在人工确认的框架内行动。</w:t>
      </w:r>
    </w:p>
    <w:p>
      <w:pPr>
        <w:spacing w:after="120" w:line="320" w:lineRule="exact"/>
      </w:pPr>
      <w:r>
        <w:rPr>
          <w:b w:val="0"/>
          <w:i w:val="0"/>
          <w:color w:val="2D3142"/>
          <w:sz w:val="22"/>
        </w:rPr>
        <w:t>平台围绕一条主线运行：客户经理开启旅程 → 系统采集上下文与证据 → 语义推理与 LLM 生成洞察 → 规则引擎筛选机会 → 人工确认 → 执行动作并沉淀证据 → 知识回流。这条主线由「旅程引擎」编排，由「DKWS 知识平台」提供可信知识底座。</w:t>
      </w:r>
    </w:p>
    <w:p>
      <w:pPr>
        <w:spacing w:after="40" w:line="320" w:lineRule="exact"/>
      </w:pPr>
      <w:r>
        <w:rPr>
          <w:b/>
          <w:i w:val="0"/>
          <w:color w:val="2D3142"/>
          <w:sz w:val="22"/>
        </w:rPr>
        <w:t>定位：</w:t>
      </w:r>
    </w:p>
    <w:p>
      <w:pPr>
        <w:pStyle w:val="ListBullet"/>
      </w:pPr>
      <w:r>
        <w:rPr>
          <w:color w:val="2D3142"/>
          <w:sz w:val="21"/>
        </w:rPr>
        <w:t>银行客户经理持续经营知识工程平台（人机共读、AI 受控）</w:t>
      </w:r>
    </w:p>
    <w:p>
      <w:pPr>
        <w:spacing w:after="40" w:line="320" w:lineRule="exact"/>
      </w:pPr>
      <w:r>
        <w:rPr>
          <w:b/>
          <w:i w:val="0"/>
          <w:color w:val="2D3142"/>
          <w:sz w:val="22"/>
        </w:rPr>
        <w:t>当前阶段：</w:t>
      </w:r>
    </w:p>
    <w:p>
      <w:pPr>
        <w:pStyle w:val="ListBullet"/>
      </w:pPr>
      <w:r>
        <w:rPr>
          <w:color w:val="2D3142"/>
          <w:sz w:val="21"/>
        </w:rPr>
        <w:t>P24 DKWS 供应链图谱 Loop（全部 Gate 完成，待独立 QA）</w:t>
      </w:r>
    </w:p>
    <w:p>
      <w:pPr>
        <w:spacing w:after="40" w:line="320" w:lineRule="exact"/>
      </w:pPr>
      <w:r>
        <w:rPr>
          <w:b/>
          <w:i w:val="0"/>
          <w:color w:val="2D3142"/>
          <w:sz w:val="22"/>
        </w:rPr>
        <w:t>代码规模：</w:t>
      </w:r>
    </w:p>
    <w:p>
      <w:pPr>
        <w:pStyle w:val="ListBullet"/>
      </w:pPr>
      <w:r>
        <w:rPr>
          <w:color w:val="2D3142"/>
          <w:sz w:val="21"/>
        </w:rPr>
        <w:t>7 个领域模块 + 4 个适配器 + 2 个应用 + 1 个 Python 场景平台 + Vue3 前端</w:t>
      </w:r>
    </w:p>
    <w:p>
      <w:r>
        <w:br w:type="page"/>
      </w:r>
    </w:p>
    <w:p>
      <w:pPr>
        <w:pStyle w:val="Heading1"/>
      </w:pPr>
      <w:r>
        <w:rPr>
          <w:color w:val="2D3142"/>
        </w:rPr>
        <w:t>2. 总体架构：一个分层解耦的六边形系统</w:t>
      </w:r>
    </w:p>
    <w:p>
      <w:pPr>
        <w:spacing w:after="120" w:line="320" w:lineRule="exact"/>
      </w:pPr>
      <w:r>
        <w:rPr>
          <w:b w:val="0"/>
          <w:i w:val="0"/>
          <w:color w:val="2D3142"/>
          <w:sz w:val="22"/>
        </w:rPr>
        <w:t>系统采用「六边形架构 + Spring Modulith 模块化」组织。简单说：业务规则放在内核（modules），外部技术（数据库、Oracle、语义库、知识文件）放在外围（adapters），两者之间只通过「接口约定」（Port）通信，不直接互相依赖。这样做的收益是：换数据库、换语义引擎、换知识来源，都不会污染业务逻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s-kno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320" w:lineRule="exact"/>
        <w:jc w:val="center"/>
      </w:pPr>
      <w:r>
        <w:rPr>
          <w:b w:val="0"/>
          <w:i/>
          <w:color w:val="4F5D75"/>
          <w:sz w:val="18"/>
        </w:rPr>
        <w:t>图 1 · GITS-KNO 系统架构图（橙色为 DKWS 场景层）</w:t>
      </w:r>
    </w:p>
    <w:p>
      <w:pPr>
        <w:pStyle w:val="Heading2"/>
      </w:pPr>
      <w:r>
        <w:rPr>
          <w:color w:val="2D3142"/>
        </w:rPr>
        <w:t>2.1 五个大层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701"/>
            <w:shd w:fill="2D3142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层</w:t>
            </w:r>
          </w:p>
        </w:tc>
        <w:tc>
          <w:tcPr>
            <w:tcW w:type="dxa" w:w="1701"/>
            <w:shd w:fill="2D3142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目录</w:t>
            </w:r>
          </w:p>
        </w:tc>
        <w:tc>
          <w:tcPr>
            <w:tcW w:type="dxa" w:w="2835"/>
            <w:shd w:fill="2D3142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3402"/>
            <w:shd w:fill="2D3142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通俗解释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2D3142"/>
                <w:sz w:val="19"/>
              </w:rPr>
              <w:t>领域核心层</w:t>
            </w:r>
          </w:p>
        </w:tc>
        <w:tc>
          <w:tcPr>
            <w:tcW w:type="dxa" w:w="1701"/>
          </w:tcPr>
          <w:p>
            <w:r/>
            <w:r>
              <w:rPr>
                <w:color w:val="2D3142"/>
                <w:sz w:val="19"/>
              </w:rPr>
              <w:t>modules/</w:t>
            </w:r>
          </w:p>
        </w:tc>
        <w:tc>
          <w:tcPr>
            <w:tcW w:type="dxa" w:w="2835"/>
          </w:tcPr>
          <w:p>
            <w:r/>
            <w:r>
              <w:rPr>
                <w:color w:val="2D3142"/>
                <w:sz w:val="19"/>
              </w:rPr>
              <w:t>7 个领域模块</w:t>
            </w:r>
          </w:p>
        </w:tc>
        <w:tc>
          <w:tcPr>
            <w:tcW w:type="dxa" w:w="3402"/>
          </w:tcPr>
          <w:p>
            <w:r/>
            <w:r>
              <w:rPr>
                <w:color w:val="2D3142"/>
                <w:sz w:val="19"/>
              </w:rPr>
              <w:t>系统的「大脑」，只懂业务不懂技术</w:t>
            </w:r>
          </w:p>
        </w:tc>
      </w:tr>
      <w:tr>
        <w:tc>
          <w:tcPr>
            <w:tcW w:type="dxa" w:w="1701"/>
            <w:shd w:fill="F5F5F5"/>
          </w:tcPr>
          <w:p>
            <w:r/>
            <w:r>
              <w:rPr>
                <w:color w:val="2D3142"/>
                <w:sz w:val="19"/>
              </w:rPr>
              <w:t>适配防腐层</w:t>
            </w:r>
          </w:p>
        </w:tc>
        <w:tc>
          <w:tcPr>
            <w:tcW w:type="dxa" w:w="1701"/>
            <w:shd w:fill="F5F5F5"/>
          </w:tcPr>
          <w:p>
            <w:r/>
            <w:r>
              <w:rPr>
                <w:color w:val="2D3142"/>
                <w:sz w:val="19"/>
              </w:rPr>
              <w:t>adapters/</w:t>
            </w:r>
          </w:p>
        </w:tc>
        <w:tc>
          <w:tcPr>
            <w:tcW w:type="dxa" w:w="2835"/>
            <w:shd w:fill="F5F5F5"/>
          </w:tcPr>
          <w:p>
            <w:r/>
            <w:r>
              <w:rPr>
                <w:color w:val="2D3142"/>
                <w:sz w:val="19"/>
              </w:rPr>
              <w:t>4 个适配器</w:t>
            </w:r>
          </w:p>
        </w:tc>
        <w:tc>
          <w:tcPr>
            <w:tcW w:type="dxa" w:w="3402"/>
            <w:shd w:fill="F5F5F5"/>
          </w:tcPr>
          <w:p>
            <w:r/>
            <w:r>
              <w:rPr>
                <w:color w:val="2D3142"/>
                <w:sz w:val="19"/>
              </w:rPr>
              <w:t>系统的「翻译官」，把外部技术翻译给大脑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2D3142"/>
                <w:sz w:val="19"/>
              </w:rPr>
              <w:t>应用组装层</w:t>
            </w:r>
          </w:p>
        </w:tc>
        <w:tc>
          <w:tcPr>
            <w:tcW w:type="dxa" w:w="1701"/>
          </w:tcPr>
          <w:p>
            <w:r/>
            <w:r>
              <w:rPr>
                <w:color w:val="2D3142"/>
                <w:sz w:val="19"/>
              </w:rPr>
              <w:t>apps/</w:t>
            </w:r>
          </w:p>
        </w:tc>
        <w:tc>
          <w:tcPr>
            <w:tcW w:type="dxa" w:w="2835"/>
          </w:tcPr>
          <w:p>
            <w:r/>
            <w:r>
              <w:rPr>
                <w:color w:val="2D3142"/>
                <w:sz w:val="19"/>
              </w:rPr>
              <w:t>api + worker</w:t>
            </w:r>
          </w:p>
        </w:tc>
        <w:tc>
          <w:tcPr>
            <w:tcW w:type="dxa" w:w="3402"/>
          </w:tcPr>
          <w:p>
            <w:r/>
            <w:r>
              <w:rPr>
                <w:color w:val="2D3142"/>
                <w:sz w:val="19"/>
              </w:rPr>
              <w:t>系统的「指挥部」，负责把模块组装成可运行的服务</w:t>
            </w:r>
          </w:p>
        </w:tc>
      </w:tr>
      <w:tr>
        <w:tc>
          <w:tcPr>
            <w:tcW w:type="dxa" w:w="1701"/>
            <w:shd w:fill="F5F5F5"/>
          </w:tcPr>
          <w:p>
            <w:r/>
            <w:r>
              <w:rPr>
                <w:color w:val="2D3142"/>
                <w:sz w:val="19"/>
              </w:rPr>
              <w:t>场景执行层</w:t>
            </w:r>
          </w:p>
        </w:tc>
        <w:tc>
          <w:tcPr>
            <w:tcW w:type="dxa" w:w="1701"/>
            <w:shd w:fill="F5F5F5"/>
          </w:tcPr>
          <w:p>
            <w:r/>
            <w:r>
              <w:rPr>
                <w:color w:val="2D3142"/>
                <w:sz w:val="19"/>
              </w:rPr>
              <w:t>scenario/</w:t>
            </w:r>
          </w:p>
        </w:tc>
        <w:tc>
          <w:tcPr>
            <w:tcW w:type="dxa" w:w="2835"/>
            <w:shd w:fill="F5F5F5"/>
          </w:tcPr>
          <w:p>
            <w:r/>
            <w:r>
              <w:rPr>
                <w:color w:val="2D3142"/>
                <w:sz w:val="19"/>
              </w:rPr>
              <w:t>execute + seed + dkws-platform</w:t>
            </w:r>
          </w:p>
        </w:tc>
        <w:tc>
          <w:tcPr>
            <w:tcW w:type="dxa" w:w="3402"/>
            <w:shd w:fill="F5F5F5"/>
          </w:tcPr>
          <w:p>
            <w:r/>
            <w:r>
              <w:rPr>
                <w:color w:val="2D3142"/>
                <w:sz w:val="19"/>
              </w:rPr>
              <w:t>系统的「演练场」，模拟真实业务并生产演示知识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2D3142"/>
                <w:sz w:val="19"/>
              </w:rPr>
              <w:t>前端展示层</w:t>
            </w:r>
          </w:p>
        </w:tc>
        <w:tc>
          <w:tcPr>
            <w:tcW w:type="dxa" w:w="1701"/>
          </w:tcPr>
          <w:p>
            <w:r/>
            <w:r>
              <w:rPr>
                <w:color w:val="2D3142"/>
                <w:sz w:val="19"/>
              </w:rPr>
              <w:t>frontend/</w:t>
            </w:r>
          </w:p>
        </w:tc>
        <w:tc>
          <w:tcPr>
            <w:tcW w:type="dxa" w:w="2835"/>
          </w:tcPr>
          <w:p>
            <w:r/>
            <w:r>
              <w:rPr>
                <w:color w:val="2D3142"/>
                <w:sz w:val="19"/>
              </w:rPr>
              <w:t>Vue3 工作台</w:t>
            </w:r>
          </w:p>
        </w:tc>
        <w:tc>
          <w:tcPr>
            <w:tcW w:type="dxa" w:w="3402"/>
          </w:tcPr>
          <w:p>
            <w:r/>
            <w:r>
              <w:rPr>
                <w:color w:val="2D3142"/>
                <w:sz w:val="19"/>
              </w:rPr>
              <w:t>客户经理的「操作界面」</w:t>
            </w:r>
          </w:p>
        </w:tc>
      </w:tr>
    </w:tbl>
    <w:p>
      <w:pPr>
        <w:pStyle w:val="Heading2"/>
      </w:pPr>
      <w:r>
        <w:rPr>
          <w:color w:val="2D3142"/>
        </w:rPr>
        <w:t>2.2 三大支柱</w:t>
      </w:r>
    </w:p>
    <w:p>
      <w:pPr>
        <w:pStyle w:val="ListBullet"/>
      </w:pPr>
      <w:r>
        <w:rPr>
          <w:b/>
          <w:color w:val="2D3142"/>
          <w:sz w:val="21"/>
        </w:rPr>
        <w:t>六边形架构：</w:t>
      </w:r>
      <w:r>
        <w:rPr>
          <w:color w:val="2D3142"/>
          <w:sz w:val="21"/>
        </w:rPr>
        <w:t>六边形架构：内核不依赖任何框架，通过 Port 接口对外，外部适配器实现 Port。</w:t>
      </w:r>
    </w:p>
    <w:p>
      <w:pPr>
        <w:pStyle w:val="ListBullet"/>
      </w:pPr>
      <w:r>
        <w:rPr>
          <w:b/>
          <w:color w:val="2D3142"/>
          <w:sz w:val="21"/>
        </w:rPr>
        <w:t>合同驱动：</w:t>
      </w:r>
      <w:r>
        <w:rPr>
          <w:color w:val="2D3142"/>
          <w:sz w:val="21"/>
        </w:rPr>
        <w:t>合同驱动（Contract-First）：所有 API 先在 OpenAPI 合同定义，生成代码后再写实现，`make check` 校验合同哈希一致性。</w:t>
      </w:r>
    </w:p>
    <w:p>
      <w:pPr>
        <w:pStyle w:val="ListBullet"/>
      </w:pPr>
      <w:r>
        <w:rPr>
          <w:b/>
          <w:color w:val="2D3142"/>
          <w:sz w:val="21"/>
        </w:rPr>
        <w:t>事件驱动：</w:t>
      </w:r>
      <w:r>
        <w:rPr>
          <w:color w:val="2D3142"/>
          <w:sz w:val="21"/>
        </w:rPr>
        <w:t>事件驱动：核心操作后发布 CloudEvent，由 worker 异步消费，模块间松耦合。</w:t>
      </w:r>
    </w:p>
    <w:p>
      <w:r>
        <w:br w:type="page"/>
      </w:r>
    </w:p>
    <w:p>
      <w:pPr>
        <w:pStyle w:val="Heading1"/>
      </w:pPr>
      <w:r>
        <w:rPr>
          <w:color w:val="2D3142"/>
        </w:rPr>
        <w:t>3. 六大设计决策（为什么这么设计）</w:t>
      </w:r>
    </w:p>
    <w:p>
      <w:pPr>
        <w:pStyle w:val="Heading2"/>
      </w:pPr>
      <w:r>
        <w:rPr>
          <w:color w:val="2D3142"/>
        </w:rPr>
        <w:t>3.1 语义与运营双核（ADR-0001）</w:t>
      </w:r>
    </w:p>
    <w:p>
      <w:pPr>
        <w:spacing w:after="120" w:line="320" w:lineRule="exact"/>
      </w:pPr>
      <w:r>
        <w:rPr>
          <w:b w:val="0"/>
          <w:i w:val="0"/>
          <w:color w:val="2D3142"/>
          <w:sz w:val="22"/>
        </w:rPr>
        <w:t>系统拆成「语义层」与「运营层」两个核心。语义层负责「理解」——把散乱事实变成本体推理可用的知识（Apache Jena）；运营层负责「执行」——客户旅程、机会、任务等日常经营动作。两者通过事件解耦，互不阻塞。</w:t>
      </w:r>
    </w:p>
    <w:p>
      <w:pPr>
        <w:pStyle w:val="Heading2"/>
      </w:pPr>
      <w:r>
        <w:rPr>
          <w:color w:val="2D3142"/>
        </w:rPr>
        <w:t>3.2 六边形端口-适配器（ADR-0002/0011）</w:t>
      </w:r>
    </w:p>
    <w:p>
      <w:pPr>
        <w:spacing w:after="120" w:line="320" w:lineRule="exact"/>
      </w:pPr>
      <w:r>
        <w:rPr>
          <w:b w:val="0"/>
          <w:i w:val="0"/>
          <w:color w:val="2D3142"/>
          <w:sz w:val="22"/>
        </w:rPr>
        <w:t>模块之间禁止直接依赖实现类，必须通过 Port 接口。例如领域层定义 ClaimReconciliationPort，适配层提供 DMN 规则实现与手写回退实现，配置切换即可，业务代码不变。</w:t>
      </w:r>
    </w:p>
    <w:p>
      <w:pPr>
        <w:pStyle w:val="Heading2"/>
      </w:pPr>
      <w:r>
        <w:rPr>
          <w:color w:val="2D3142"/>
        </w:rPr>
        <w:t>3.3 数据库策略：主库 + 只读源（ADR-0003）</w:t>
      </w:r>
    </w:p>
    <w:p>
      <w:pPr>
        <w:spacing w:after="120" w:line="320" w:lineRule="exact"/>
      </w:pPr>
      <w:r>
        <w:rPr>
          <w:b w:val="0"/>
          <w:i w:val="0"/>
          <w:color w:val="2D3142"/>
          <w:sz w:val="22"/>
        </w:rPr>
        <w:t>本地开发默认 H2 内存库（MySQL 兼容模式），无需安装数据库；生产主库为 PostgreSQL，Oracle 仅作只读数据源。Flyway 迁移脚本维护 H2/MySQL 双方言，种子数据自动加载。</w:t>
      </w:r>
    </w:p>
    <w:p>
      <w:pPr>
        <w:pStyle w:val="Heading2"/>
      </w:pPr>
      <w:r>
        <w:rPr>
          <w:color w:val="2D3142"/>
        </w:rPr>
        <w:t>3.4 AI 受控边界（AI_GUIDE + 红线）</w:t>
      </w:r>
    </w:p>
    <w:p>
      <w:pPr>
        <w:spacing w:after="120" w:line="320" w:lineRule="exact"/>
      </w:pPr>
      <w:r>
        <w:rPr>
          <w:b w:val="0"/>
          <w:i w:val="0"/>
          <w:color w:val="2D3142"/>
          <w:sz w:val="22"/>
        </w:rPr>
        <w:t>AI 只能产出候选 Claim/Proposal，不能直接写入权威事实；正式 ControlledAction 必须经人工确认、权限复核、幂等校验与回执。开发角色只能记录 DEV_SELF_CHECK_PASS，QA_PASS 只能由独立 QA 记录。</w:t>
      </w:r>
    </w:p>
    <w:p>
      <w:pPr>
        <w:pStyle w:val="Heading2"/>
      </w:pPr>
      <w:r>
        <w:rPr>
          <w:color w:val="2D3142"/>
        </w:rPr>
        <w:t>3.5 合同 SSOT（CONTRACT_INDEX + generated/）</w:t>
      </w:r>
    </w:p>
    <w:p>
      <w:pPr>
        <w:spacing w:after="120" w:line="320" w:lineRule="exact"/>
      </w:pPr>
      <w:r>
        <w:rPr>
          <w:b w:val="0"/>
          <w:i w:val="0"/>
          <w:color w:val="2D3142"/>
          <w:sz w:val="22"/>
        </w:rPr>
        <w:t>specs/CONTRACT_INDEX.yaml 是唯一合同注册入口；generated/ 全部由 make generate 生成、禁止手工修改；合同变化必须先改权威源、再生成、再实现。</w:t>
      </w:r>
    </w:p>
    <w:p>
      <w:pPr>
        <w:pStyle w:val="Heading2"/>
      </w:pPr>
      <w:r>
        <w:rPr>
          <w:color w:val="2D3142"/>
        </w:rPr>
        <w:t>3.6 知识服务模拟平台（DKWS）</w:t>
      </w:r>
    </w:p>
    <w:p>
      <w:pPr>
        <w:spacing w:after="120" w:line="320" w:lineRule="exact"/>
      </w:pPr>
      <w:r>
        <w:rPr>
          <w:b w:val="0"/>
          <w:i w:val="0"/>
          <w:color w:val="2D3142"/>
          <w:sz w:val="22"/>
        </w:rPr>
        <w:t>为验证「文件目录型数据知识服务」的可行性，项目在 scenario/dkws-platform 用 Python 实现了 DKWS：以五层工作区承载原始数据 → 加工 → 核心知识 → 服务投影 → 控制 的完整知识生产链路，P0-P9 十阶段管线落地契约化、幂等、人工审核、发布回滚等企业级要求。它是当前 P24 Loop 的主角。</w:t>
      </w:r>
    </w:p>
    <w:p>
      <w:r>
        <w:br w:type="page"/>
      </w:r>
    </w:p>
    <w:p>
      <w:pPr>
        <w:pStyle w:val="Heading1"/>
      </w:pPr>
      <w:r>
        <w:rPr>
          <w:color w:val="2D3142"/>
        </w:rPr>
        <w:t>4. DKWS：文件目录型数据知识服务模拟平台</w:t>
      </w:r>
    </w:p>
    <w:p>
      <w:pPr>
        <w:pStyle w:val="Heading2"/>
      </w:pPr>
      <w:r>
        <w:rPr>
          <w:color w:val="2D3142"/>
        </w:rPr>
        <w:t>4.1 DKWS 是什么、解决什么问题</w:t>
      </w:r>
    </w:p>
    <w:p>
      <w:pPr>
        <w:spacing w:after="120" w:line="320" w:lineRule="exact"/>
      </w:pPr>
      <w:r>
        <w:rPr>
          <w:b w:val="0"/>
          <w:i w:val="0"/>
          <w:color w:val="2D3142"/>
          <w:sz w:val="22"/>
        </w:rPr>
        <w:t>DKWS（Data-Knowledge Workspace Service）是一个「用文件目录当数据库、用契约当 Schema、用人工审核当权限控制」的知识生产平台。它的出发点很朴素：把任何知识（产品知识、供应链图谱、客户 360°、规则）都装进一套统一的目录 + 契约 + 管线里，让 AI 可以可信地消费这些知识。</w:t>
      </w:r>
    </w:p>
    <w:p>
      <w:pPr>
        <w:spacing w:after="40" w:line="320" w:lineRule="exact"/>
      </w:pPr>
      <w:r>
        <w:rPr>
          <w:b/>
          <w:i w:val="0"/>
          <w:color w:val="2D3142"/>
          <w:sz w:val="22"/>
        </w:rPr>
        <w:t>它解决的三大问题：</w:t>
      </w:r>
    </w:p>
    <w:p>
      <w:pPr>
        <w:pStyle w:val="ListBullet"/>
      </w:pPr>
      <w:r>
        <w:rPr>
          <w:b/>
          <w:color w:val="2D3142"/>
          <w:sz w:val="21"/>
        </w:rPr>
        <w:t>知识可信：</w:t>
      </w:r>
      <w:r>
        <w:rPr>
          <w:color w:val="2D3142"/>
          <w:sz w:val="21"/>
        </w:rPr>
        <w:t>MANIFEST + SHA-256 幂等校验，重复执行不产生脏数据</w:t>
      </w:r>
    </w:p>
    <w:p>
      <w:pPr>
        <w:pStyle w:val="ListBullet"/>
      </w:pPr>
      <w:r>
        <w:rPr>
          <w:b/>
          <w:color w:val="2D3142"/>
          <w:sz w:val="21"/>
        </w:rPr>
        <w:t>知识受控：</w:t>
      </w:r>
      <w:r>
        <w:rPr>
          <w:color w:val="2D3142"/>
          <w:sz w:val="21"/>
        </w:rPr>
        <w:t>系统禁止自签 OWNER/QA，知识必须经人工确认才能发布</w:t>
      </w:r>
    </w:p>
    <w:p>
      <w:pPr>
        <w:pStyle w:val="ListBullet"/>
      </w:pPr>
      <w:r>
        <w:rPr>
          <w:b/>
          <w:color w:val="2D3142"/>
          <w:sz w:val="21"/>
        </w:rPr>
        <w:t>知识服务化：</w:t>
      </w:r>
      <w:r>
        <w:rPr>
          <w:color w:val="2D3142"/>
          <w:sz w:val="21"/>
        </w:rPr>
        <w:t>发布后产出 Parquet/向量/图/规则四种投影，CLI 与 HTTP 双通道提供服务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38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s-kno-flow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320" w:lineRule="exact"/>
        <w:jc w:val="center"/>
      </w:pPr>
      <w:r>
        <w:rPr>
          <w:b w:val="0"/>
          <w:i/>
          <w:color w:val="4F5D75"/>
          <w:sz w:val="18"/>
        </w:rPr>
        <w:t>图 2 · 端到端业务流程与 DKWS P0-P9 管线</w:t>
      </w:r>
    </w:p>
    <w:p>
      <w:pPr>
        <w:pStyle w:val="Heading2"/>
      </w:pPr>
      <w:r>
        <w:rPr>
          <w:color w:val="2D3142"/>
        </w:rPr>
        <w:t>4.2 五层工作区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850"/>
            <w:shd w:fill="2D3142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701"/>
            <w:shd w:fill="2D3142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2268"/>
            <w:shd w:fill="2D3142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作用</w:t>
            </w:r>
          </w:p>
        </w:tc>
        <w:tc>
          <w:tcPr>
            <w:tcW w:type="dxa" w:w="2835"/>
            <w:shd w:fill="2D3142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典型内容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2D3142"/>
                <w:sz w:val="19"/>
              </w:rPr>
              <w:t>01</w:t>
            </w:r>
          </w:p>
        </w:tc>
        <w:tc>
          <w:tcPr>
            <w:tcW w:type="dxa" w:w="1701"/>
          </w:tcPr>
          <w:p>
            <w:r/>
            <w:r>
              <w:rPr>
                <w:color w:val="2D3142"/>
                <w:sz w:val="19"/>
              </w:rPr>
              <w:t>raw 原始接入</w:t>
            </w:r>
          </w:p>
        </w:tc>
        <w:tc>
          <w:tcPr>
            <w:tcW w:type="dxa" w:w="2268"/>
          </w:tcPr>
          <w:p>
            <w:r/>
            <w:r>
              <w:rPr>
                <w:color w:val="2D3142"/>
                <w:sz w:val="19"/>
              </w:rPr>
              <w:t>承接所有原始材料</w:t>
            </w:r>
          </w:p>
        </w:tc>
        <w:tc>
          <w:tcPr>
            <w:tcW w:type="dxa" w:w="2835"/>
          </w:tcPr>
          <w:p>
            <w:r/>
            <w:r>
              <w:rPr>
                <w:color w:val="2D3142"/>
                <w:sz w:val="19"/>
              </w:rPr>
              <w:t>xlsx、md、外部报告</w:t>
            </w:r>
          </w:p>
        </w:tc>
      </w:tr>
      <w:tr>
        <w:tc>
          <w:tcPr>
            <w:tcW w:type="dxa" w:w="850"/>
            <w:shd w:fill="F5F5F5"/>
          </w:tcPr>
          <w:p>
            <w:r/>
            <w:r>
              <w:rPr>
                <w:color w:val="2D3142"/>
                <w:sz w:val="19"/>
              </w:rPr>
              <w:t>02</w:t>
            </w:r>
          </w:p>
        </w:tc>
        <w:tc>
          <w:tcPr>
            <w:tcW w:type="dxa" w:w="1701"/>
            <w:shd w:fill="F5F5F5"/>
          </w:tcPr>
          <w:p>
            <w:r/>
            <w:r>
              <w:rPr>
                <w:color w:val="2D3142"/>
                <w:sz w:val="19"/>
              </w:rPr>
              <w:t>staging 加工暂存</w:t>
            </w:r>
          </w:p>
        </w:tc>
        <w:tc>
          <w:tcPr>
            <w:tcW w:type="dxa" w:w="2268"/>
            <w:shd w:fill="F5F5F5"/>
          </w:tcPr>
          <w:p>
            <w:r/>
            <w:r>
              <w:rPr>
                <w:color w:val="2D3142"/>
                <w:sz w:val="19"/>
              </w:rPr>
              <w:t>清洗/转换中间态</w:t>
            </w:r>
          </w:p>
        </w:tc>
        <w:tc>
          <w:tcPr>
            <w:tcW w:type="dxa" w:w="2835"/>
            <w:shd w:fill="F5F5F5"/>
          </w:tcPr>
          <w:p>
            <w:r/>
            <w:r>
              <w:rPr>
                <w:color w:val="2D3142"/>
                <w:sz w:val="19"/>
              </w:rPr>
              <w:t>标准化 JSON、CSV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2D3142"/>
                <w:sz w:val="19"/>
              </w:rPr>
              <w:t>03</w:t>
            </w:r>
          </w:p>
        </w:tc>
        <w:tc>
          <w:tcPr>
            <w:tcW w:type="dxa" w:w="1701"/>
          </w:tcPr>
          <w:p>
            <w:r/>
            <w:r>
              <w:rPr>
                <w:color w:val="2D3142"/>
                <w:sz w:val="19"/>
              </w:rPr>
              <w:t>core 核心知识</w:t>
            </w:r>
          </w:p>
        </w:tc>
        <w:tc>
          <w:tcPr>
            <w:tcW w:type="dxa" w:w="2268"/>
          </w:tcPr>
          <w:p>
            <w:r/>
            <w:r>
              <w:rPr>
                <w:color w:val="2D3142"/>
                <w:sz w:val="19"/>
              </w:rPr>
              <w:t>经审核的权威知识</w:t>
            </w:r>
          </w:p>
        </w:tc>
        <w:tc>
          <w:tcPr>
            <w:tcW w:type="dxa" w:w="2835"/>
          </w:tcPr>
          <w:p>
            <w:r/>
            <w:r>
              <w:rPr>
                <w:color w:val="2D3142"/>
                <w:sz w:val="19"/>
              </w:rPr>
              <w:t>知识地图、KE 元素、规则</w:t>
            </w:r>
          </w:p>
        </w:tc>
      </w:tr>
      <w:tr>
        <w:tc>
          <w:tcPr>
            <w:tcW w:type="dxa" w:w="850"/>
            <w:shd w:fill="F5F5F5"/>
          </w:tcPr>
          <w:p>
            <w:r/>
            <w:r>
              <w:rPr>
                <w:color w:val="2D3142"/>
                <w:sz w:val="19"/>
              </w:rPr>
              <w:t>04</w:t>
            </w:r>
          </w:p>
        </w:tc>
        <w:tc>
          <w:tcPr>
            <w:tcW w:type="dxa" w:w="1701"/>
            <w:shd w:fill="F5F5F5"/>
          </w:tcPr>
          <w:p>
            <w:r/>
            <w:r>
              <w:rPr>
                <w:color w:val="2D3142"/>
                <w:sz w:val="19"/>
              </w:rPr>
              <w:t>serving 服务投影</w:t>
            </w:r>
          </w:p>
        </w:tc>
        <w:tc>
          <w:tcPr>
            <w:tcW w:type="dxa" w:w="2268"/>
            <w:shd w:fill="F5F5F5"/>
          </w:tcPr>
          <w:p>
            <w:r/>
            <w:r>
              <w:rPr>
                <w:color w:val="2D3142"/>
                <w:sz w:val="19"/>
              </w:rPr>
              <w:t>面向消费的物化视图</w:t>
            </w:r>
          </w:p>
        </w:tc>
        <w:tc>
          <w:tcPr>
            <w:tcW w:type="dxa" w:w="2835"/>
            <w:shd w:fill="F5F5F5"/>
          </w:tcPr>
          <w:p>
            <w:r/>
            <w:r>
              <w:rPr>
                <w:color w:val="2D3142"/>
                <w:sz w:val="19"/>
              </w:rPr>
              <w:t>Parquet、向量索引、图谱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2D3142"/>
                <w:sz w:val="19"/>
              </w:rPr>
              <w:t>05</w:t>
            </w:r>
          </w:p>
        </w:tc>
        <w:tc>
          <w:tcPr>
            <w:tcW w:type="dxa" w:w="1701"/>
          </w:tcPr>
          <w:p>
            <w:r/>
            <w:r>
              <w:rPr>
                <w:color w:val="2D3142"/>
                <w:sz w:val="19"/>
              </w:rPr>
              <w:t>control 控制面</w:t>
            </w:r>
          </w:p>
        </w:tc>
        <w:tc>
          <w:tcPr>
            <w:tcW w:type="dxa" w:w="2268"/>
          </w:tcPr>
          <w:p>
            <w:r/>
            <w:r>
              <w:rPr>
                <w:color w:val="2D3142"/>
                <w:sz w:val="19"/>
              </w:rPr>
              <w:t>契约/清单/审计</w:t>
            </w:r>
          </w:p>
        </w:tc>
        <w:tc>
          <w:tcPr>
            <w:tcW w:type="dxa" w:w="2835"/>
          </w:tcPr>
          <w:p>
            <w:r/>
            <w:r>
              <w:rPr>
                <w:color w:val="2D3142"/>
                <w:sz w:val="19"/>
              </w:rPr>
              <w:t>MANIFEST、SHA-256、发布记录</w:t>
            </w:r>
          </w:p>
        </w:tc>
      </w:tr>
    </w:tbl>
    <w:p>
      <w:pPr>
        <w:pStyle w:val="Heading2"/>
      </w:pPr>
      <w:r>
        <w:rPr>
          <w:color w:val="2D3142"/>
        </w:rPr>
        <w:t>4.3 P0-P9 十阶段管线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850"/>
            <w:shd w:fill="2D3142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701"/>
            <w:shd w:fill="2D3142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2835"/>
            <w:shd w:fill="2D3142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核心动作</w:t>
            </w:r>
          </w:p>
        </w:tc>
        <w:tc>
          <w:tcPr>
            <w:tcW w:type="dxa" w:w="2551"/>
            <w:shd w:fill="2D3142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关键约束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2D3142"/>
                <w:sz w:val="19"/>
              </w:rPr>
              <w:t>P0</w:t>
            </w:r>
          </w:p>
        </w:tc>
        <w:tc>
          <w:tcPr>
            <w:tcW w:type="dxa" w:w="1701"/>
          </w:tcPr>
          <w:p>
            <w:r/>
            <w:r>
              <w:rPr>
                <w:color w:val="2D3142"/>
                <w:sz w:val="19"/>
              </w:rPr>
              <w:t>初始化</w:t>
            </w:r>
          </w:p>
        </w:tc>
        <w:tc>
          <w:tcPr>
            <w:tcW w:type="dxa" w:w="2835"/>
          </w:tcPr>
          <w:p>
            <w:r/>
            <w:r>
              <w:rPr>
                <w:color w:val="2D3142"/>
                <w:sz w:val="19"/>
              </w:rPr>
              <w:t>创建工作区、写入 workspace.yaml</w:t>
            </w:r>
          </w:p>
        </w:tc>
        <w:tc>
          <w:tcPr>
            <w:tcW w:type="dxa" w:w="2551"/>
          </w:tcPr>
          <w:p>
            <w:r/>
            <w:r>
              <w:rPr>
                <w:color w:val="2D3142"/>
                <w:sz w:val="19"/>
              </w:rPr>
              <w:t>幂等：已存在则跳过</w:t>
            </w:r>
          </w:p>
        </w:tc>
      </w:tr>
      <w:tr>
        <w:tc>
          <w:tcPr>
            <w:tcW w:type="dxa" w:w="850"/>
            <w:shd w:fill="F5F5F5"/>
          </w:tcPr>
          <w:p>
            <w:r/>
            <w:r>
              <w:rPr>
                <w:color w:val="2D3142"/>
                <w:sz w:val="19"/>
              </w:rPr>
              <w:t>P1</w:t>
            </w:r>
          </w:p>
        </w:tc>
        <w:tc>
          <w:tcPr>
            <w:tcW w:type="dxa" w:w="1701"/>
            <w:shd w:fill="F5F5F5"/>
          </w:tcPr>
          <w:p>
            <w:r/>
            <w:r>
              <w:rPr>
                <w:color w:val="2D3142"/>
                <w:sz w:val="19"/>
              </w:rPr>
              <w:t>原始接入</w:t>
            </w:r>
          </w:p>
        </w:tc>
        <w:tc>
          <w:tcPr>
            <w:tcW w:type="dxa" w:w="2835"/>
            <w:shd w:fill="F5F5F5"/>
          </w:tcPr>
          <w:p>
            <w:r/>
            <w:r>
              <w:rPr>
                <w:color w:val="2D3142"/>
                <w:sz w:val="19"/>
              </w:rPr>
              <w:t>复制/下载原始材料到 01_raw</w:t>
            </w:r>
          </w:p>
        </w:tc>
        <w:tc>
          <w:tcPr>
            <w:tcW w:type="dxa" w:w="2551"/>
            <w:shd w:fill="F5F5F5"/>
          </w:tcPr>
          <w:p>
            <w:r/>
            <w:r>
              <w:rPr>
                <w:color w:val="2D3142"/>
                <w:sz w:val="19"/>
              </w:rPr>
              <w:t>SHA-256 校验、去重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2D3142"/>
                <w:sz w:val="19"/>
              </w:rPr>
              <w:t>P2</w:t>
            </w:r>
          </w:p>
        </w:tc>
        <w:tc>
          <w:tcPr>
            <w:tcW w:type="dxa" w:w="1701"/>
          </w:tcPr>
          <w:p>
            <w:r/>
            <w:r>
              <w:rPr>
                <w:color w:val="2D3142"/>
                <w:sz w:val="19"/>
              </w:rPr>
              <w:t>质量检查</w:t>
            </w:r>
          </w:p>
        </w:tc>
        <w:tc>
          <w:tcPr>
            <w:tcW w:type="dxa" w:w="2835"/>
          </w:tcPr>
          <w:p>
            <w:r/>
            <w:r>
              <w:rPr>
                <w:color w:val="2D3142"/>
                <w:sz w:val="19"/>
              </w:rPr>
              <w:t>Schema 校验、完整性检查</w:t>
            </w:r>
          </w:p>
        </w:tc>
        <w:tc>
          <w:tcPr>
            <w:tcW w:type="dxa" w:w="2551"/>
          </w:tcPr>
          <w:p>
            <w:r/>
            <w:r>
              <w:rPr>
                <w:color w:val="2D3142"/>
                <w:sz w:val="19"/>
              </w:rPr>
              <w:t>不合格写入 quarantine</w:t>
            </w:r>
          </w:p>
        </w:tc>
      </w:tr>
      <w:tr>
        <w:tc>
          <w:tcPr>
            <w:tcW w:type="dxa" w:w="850"/>
            <w:shd w:fill="F5F5F5"/>
          </w:tcPr>
          <w:p>
            <w:r/>
            <w:r>
              <w:rPr>
                <w:color w:val="2D3142"/>
                <w:sz w:val="19"/>
              </w:rPr>
              <w:t>P3</w:t>
            </w:r>
          </w:p>
        </w:tc>
        <w:tc>
          <w:tcPr>
            <w:tcW w:type="dxa" w:w="1701"/>
            <w:shd w:fill="F5F5F5"/>
          </w:tcPr>
          <w:p>
            <w:r/>
            <w:r>
              <w:rPr>
                <w:color w:val="2D3142"/>
                <w:sz w:val="19"/>
              </w:rPr>
              <w:t>清洗转换</w:t>
            </w:r>
          </w:p>
        </w:tc>
        <w:tc>
          <w:tcPr>
            <w:tcW w:type="dxa" w:w="2835"/>
            <w:shd w:fill="F5F5F5"/>
          </w:tcPr>
          <w:p>
            <w:r/>
            <w:r>
              <w:rPr>
                <w:color w:val="2D3142"/>
                <w:sz w:val="19"/>
              </w:rPr>
              <w:t>格式标准化、字段映射</w:t>
            </w:r>
          </w:p>
        </w:tc>
        <w:tc>
          <w:tcPr>
            <w:tcW w:type="dxa" w:w="2551"/>
            <w:shd w:fill="F5F5F5"/>
          </w:tcPr>
          <w:p>
            <w:r/>
            <w:r>
              <w:rPr>
                <w:color w:val="2D3142"/>
                <w:sz w:val="19"/>
              </w:rPr>
              <w:t>可追溯：保留原始引用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2D3142"/>
                <w:sz w:val="19"/>
              </w:rPr>
              <w:t>P4</w:t>
            </w:r>
          </w:p>
        </w:tc>
        <w:tc>
          <w:tcPr>
            <w:tcW w:type="dxa" w:w="1701"/>
          </w:tcPr>
          <w:p>
            <w:r/>
            <w:r>
              <w:rPr>
                <w:color w:val="2D3142"/>
                <w:sz w:val="19"/>
              </w:rPr>
              <w:t>知识登记</w:t>
            </w:r>
          </w:p>
        </w:tc>
        <w:tc>
          <w:tcPr>
            <w:tcW w:type="dxa" w:w="2835"/>
          </w:tcPr>
          <w:p>
            <w:r/>
            <w:r>
              <w:rPr>
                <w:color w:val="2D3142"/>
                <w:sz w:val="19"/>
              </w:rPr>
              <w:t>生成 KE 元素、写入知识地图</w:t>
            </w:r>
          </w:p>
        </w:tc>
        <w:tc>
          <w:tcPr>
            <w:tcW w:type="dxa" w:w="2551"/>
          </w:tcPr>
          <w:p>
            <w:r/>
            <w:r>
              <w:rPr>
                <w:color w:val="2D3142"/>
                <w:sz w:val="19"/>
              </w:rPr>
              <w:t>契约校验、分类标记</w:t>
            </w:r>
          </w:p>
        </w:tc>
      </w:tr>
      <w:tr>
        <w:tc>
          <w:tcPr>
            <w:tcW w:type="dxa" w:w="850"/>
            <w:shd w:fill="F5F5F5"/>
          </w:tcPr>
          <w:p>
            <w:r/>
            <w:r>
              <w:rPr>
                <w:color w:val="2D3142"/>
                <w:sz w:val="19"/>
              </w:rPr>
              <w:t>P5</w:t>
            </w:r>
          </w:p>
        </w:tc>
        <w:tc>
          <w:tcPr>
            <w:tcW w:type="dxa" w:w="1701"/>
            <w:shd w:fill="F5F5F5"/>
          </w:tcPr>
          <w:p>
            <w:r/>
            <w:r>
              <w:rPr>
                <w:color w:val="2D3142"/>
                <w:sz w:val="19"/>
              </w:rPr>
              <w:t>人工审核</w:t>
            </w:r>
          </w:p>
        </w:tc>
        <w:tc>
          <w:tcPr>
            <w:tcW w:type="dxa" w:w="2835"/>
            <w:shd w:fill="F5F5F5"/>
          </w:tcPr>
          <w:p>
            <w:r/>
            <w:r>
              <w:rPr>
                <w:color w:val="2D3142"/>
                <w:sz w:val="19"/>
              </w:rPr>
              <w:t>OWNER 审核确认</w:t>
            </w:r>
          </w:p>
        </w:tc>
        <w:tc>
          <w:tcPr>
            <w:tcW w:type="dxa" w:w="2551"/>
            <w:shd w:fill="F5F5F5"/>
          </w:tcPr>
          <w:p>
            <w:r/>
            <w:r>
              <w:rPr>
                <w:color w:val="2D3142"/>
                <w:sz w:val="19"/>
              </w:rPr>
              <w:t>禁止系统自签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2D3142"/>
                <w:sz w:val="19"/>
              </w:rPr>
              <w:t>P6</w:t>
            </w:r>
          </w:p>
        </w:tc>
        <w:tc>
          <w:tcPr>
            <w:tcW w:type="dxa" w:w="1701"/>
          </w:tcPr>
          <w:p>
            <w:r/>
            <w:r>
              <w:rPr>
                <w:color w:val="2D3142"/>
                <w:sz w:val="19"/>
              </w:rPr>
              <w:t>发布</w:t>
            </w:r>
          </w:p>
        </w:tc>
        <w:tc>
          <w:tcPr>
            <w:tcW w:type="dxa" w:w="2835"/>
          </w:tcPr>
          <w:p>
            <w:r/>
            <w:r>
              <w:rPr>
                <w:color w:val="2D3142"/>
                <w:sz w:val="19"/>
              </w:rPr>
              <w:t>版本化发布、写入 MANIFEST</w:t>
            </w:r>
          </w:p>
        </w:tc>
        <w:tc>
          <w:tcPr>
            <w:tcW w:type="dxa" w:w="2551"/>
          </w:tcPr>
          <w:p>
            <w:r/>
            <w:r>
              <w:rPr>
                <w:color w:val="2D3142"/>
                <w:sz w:val="19"/>
              </w:rPr>
              <w:t>不可变：发布后不修改</w:t>
            </w:r>
          </w:p>
        </w:tc>
      </w:tr>
      <w:tr>
        <w:tc>
          <w:tcPr>
            <w:tcW w:type="dxa" w:w="850"/>
            <w:shd w:fill="F5F5F5"/>
          </w:tcPr>
          <w:p>
            <w:r/>
            <w:r>
              <w:rPr>
                <w:color w:val="2D3142"/>
                <w:sz w:val="19"/>
              </w:rPr>
              <w:t>P7</w:t>
            </w:r>
          </w:p>
        </w:tc>
        <w:tc>
          <w:tcPr>
            <w:tcW w:type="dxa" w:w="1701"/>
            <w:shd w:fill="F5F5F5"/>
          </w:tcPr>
          <w:p>
            <w:r/>
            <w:r>
              <w:rPr>
                <w:color w:val="2D3142"/>
                <w:sz w:val="19"/>
              </w:rPr>
              <w:t>投影生成</w:t>
            </w:r>
          </w:p>
        </w:tc>
        <w:tc>
          <w:tcPr>
            <w:tcW w:type="dxa" w:w="2835"/>
            <w:shd w:fill="F5F5F5"/>
          </w:tcPr>
          <w:p>
            <w:r/>
            <w:r>
              <w:rPr>
                <w:color w:val="2D3142"/>
                <w:sz w:val="19"/>
              </w:rPr>
              <w:t>生成 Parquet/向量/图/规则</w:t>
            </w:r>
          </w:p>
        </w:tc>
        <w:tc>
          <w:tcPr>
            <w:tcW w:type="dxa" w:w="2551"/>
            <w:shd w:fill="F5F5F5"/>
          </w:tcPr>
          <w:p>
            <w:r/>
            <w:r>
              <w:rPr>
                <w:color w:val="2D3142"/>
                <w:sz w:val="19"/>
              </w:rPr>
              <w:t>按需生成、增量更新</w:t>
            </w:r>
          </w:p>
        </w:tc>
      </w:tr>
      <w:tr>
        <w:tc>
          <w:tcPr>
            <w:tcW w:type="dxa" w:w="850"/>
          </w:tcPr>
          <w:p>
            <w:r/>
            <w:r>
              <w:rPr>
                <w:color w:val="2D3142"/>
                <w:sz w:val="19"/>
              </w:rPr>
              <w:t>P8</w:t>
            </w:r>
          </w:p>
        </w:tc>
        <w:tc>
          <w:tcPr>
            <w:tcW w:type="dxa" w:w="1701"/>
          </w:tcPr>
          <w:p>
            <w:r/>
            <w:r>
              <w:rPr>
                <w:color w:val="2D3142"/>
                <w:sz w:val="19"/>
              </w:rPr>
              <w:t>服务供给</w:t>
            </w:r>
          </w:p>
        </w:tc>
        <w:tc>
          <w:tcPr>
            <w:tcW w:type="dxa" w:w="2835"/>
          </w:tcPr>
          <w:p>
            <w:r/>
            <w:r>
              <w:rPr>
                <w:color w:val="2D3142"/>
                <w:sz w:val="19"/>
              </w:rPr>
              <w:t>CLI/HTTP 双通道提供知识</w:t>
            </w:r>
          </w:p>
        </w:tc>
        <w:tc>
          <w:tcPr>
            <w:tcW w:type="dxa" w:w="2551"/>
          </w:tcPr>
          <w:p>
            <w:r/>
            <w:r>
              <w:rPr>
                <w:color w:val="2D3142"/>
                <w:sz w:val="19"/>
              </w:rPr>
              <w:t>按 classification 过滤</w:t>
            </w:r>
          </w:p>
        </w:tc>
      </w:tr>
      <w:tr>
        <w:tc>
          <w:tcPr>
            <w:tcW w:type="dxa" w:w="850"/>
            <w:shd w:fill="F5F5F5"/>
          </w:tcPr>
          <w:p>
            <w:r/>
            <w:r>
              <w:rPr>
                <w:color w:val="2D3142"/>
                <w:sz w:val="19"/>
              </w:rPr>
              <w:t>P9</w:t>
            </w:r>
          </w:p>
        </w:tc>
        <w:tc>
          <w:tcPr>
            <w:tcW w:type="dxa" w:w="1701"/>
            <w:shd w:fill="F5F5F5"/>
          </w:tcPr>
          <w:p>
            <w:r/>
            <w:r>
              <w:rPr>
                <w:color w:val="2D3142"/>
                <w:sz w:val="19"/>
              </w:rPr>
              <w:t>归档与回滚</w:t>
            </w:r>
          </w:p>
        </w:tc>
        <w:tc>
          <w:tcPr>
            <w:tcW w:type="dxa" w:w="2835"/>
            <w:shd w:fill="F5F5F5"/>
          </w:tcPr>
          <w:p>
            <w:r/>
            <w:r>
              <w:rPr>
                <w:color w:val="2D3142"/>
                <w:sz w:val="19"/>
              </w:rPr>
              <w:t>版本归档、支持回滚</w:t>
            </w:r>
          </w:p>
        </w:tc>
        <w:tc>
          <w:tcPr>
            <w:tcW w:type="dxa" w:w="2551"/>
            <w:shd w:fill="F5F5F5"/>
          </w:tcPr>
          <w:p>
            <w:r/>
            <w:r>
              <w:rPr>
                <w:color w:val="2D3142"/>
                <w:sz w:val="19"/>
              </w:rPr>
              <w:t>审计日志完整</w:t>
            </w:r>
          </w:p>
        </w:tc>
      </w:tr>
    </w:tbl>
    <w:p>
      <w:pPr>
        <w:pStyle w:val="Heading2"/>
      </w:pPr>
      <w:r>
        <w:rPr>
          <w:color w:val="2D3142"/>
        </w:rPr>
        <w:t>4.4 供应链图谱（P24 当前重点）</w:t>
      </w:r>
    </w:p>
    <w:p>
      <w:pPr>
        <w:spacing w:after="120" w:line="320" w:lineRule="exact"/>
      </w:pPr>
      <w:r>
        <w:rPr>
          <w:b w:val="0"/>
          <w:i w:val="0"/>
          <w:color w:val="2D3142"/>
          <w:sz w:val="22"/>
        </w:rPr>
        <w:t>P24 Loop 的核心目标是验证 DKWS 对「供应链图谱」类知识的承载能力。供应链图谱描述客户之间的上下游关联关系，是银行风控与营销的关键知识。</w:t>
      </w:r>
    </w:p>
    <w:p>
      <w:pPr>
        <w:spacing w:after="120" w:line="320" w:lineRule="exact"/>
      </w:pPr>
      <w:r>
        <w:rPr>
          <w:b w:val="0"/>
          <w:i w:val="0"/>
          <w:color w:val="2D3142"/>
          <w:sz w:val="22"/>
        </w:rPr>
        <w:t>实现方式：原始供应链数据（xlsx）→ P1 接入 → P3 清洗为标准 JSON → P4 登记为 KE 元素 → P5 人工审核 → P6 发布 → P7 生成力导向图投影 → P8 通过 API 供给前端 ECharts 可视化。</w:t>
      </w:r>
    </w:p>
    <w:p>
      <w:r>
        <w:br w:type="page"/>
      </w:r>
    </w:p>
    <w:p>
      <w:pPr>
        <w:pStyle w:val="Heading1"/>
      </w:pPr>
      <w:r>
        <w:rPr>
          <w:color w:val="2D3142"/>
        </w:rPr>
        <w:t>5. 架构分区详解（ZONE A~E）</w:t>
      </w:r>
    </w:p>
    <w:p>
      <w:pPr>
        <w:spacing w:after="120" w:line="320" w:lineRule="exact"/>
      </w:pPr>
      <w:r>
        <w:rPr>
          <w:b w:val="0"/>
          <w:i w:val="0"/>
          <w:color w:val="2D3142"/>
          <w:sz w:val="22"/>
        </w:rPr>
        <w:t>以下内容与架构图（图 1）的 ZONE A~E 严格对应，逐层解读每个组件的职责与协作关系。</w:t>
      </w:r>
    </w:p>
    <w:p>
      <w:pPr>
        <w:pStyle w:val="Heading2"/>
      </w:pPr>
      <w:r>
        <w:rPr>
          <w:color w:val="2D3142"/>
        </w:rPr>
        <w:t>5.1 ZONE A · 前端展示层</w:t>
      </w:r>
    </w:p>
    <w:p>
      <w:pPr>
        <w:spacing w:after="120" w:line="320" w:lineRule="exact"/>
      </w:pPr>
      <w:r>
        <w:rPr>
          <w:b w:val="0"/>
          <w:i w:val="0"/>
          <w:color w:val="2D3142"/>
          <w:sz w:val="22"/>
        </w:rPr>
        <w:t>Vue3 + TypeScript 工作台，客户经理的唯一交互入口。包含五个核心页面：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fill="2D3142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5669"/>
            <w:shd w:fill="2D3142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2D3142"/>
                <w:sz w:val="19"/>
              </w:rPr>
              <w:t>客户旅程工作台</w:t>
            </w:r>
          </w:p>
        </w:tc>
        <w:tc>
          <w:tcPr>
            <w:tcW w:type="dxa" w:w="5669"/>
          </w:tcPr>
          <w:p>
            <w:r/>
            <w:r>
              <w:rPr>
                <w:color w:val="2D3142"/>
                <w:sz w:val="19"/>
              </w:rPr>
              <w:t>旅程全生命周期管理：开场、回访、新证据</w:t>
            </w:r>
          </w:p>
        </w:tc>
      </w:tr>
      <w:tr>
        <w:tc>
          <w:tcPr>
            <w:tcW w:type="dxa" w:w="2268"/>
            <w:shd w:fill="F5F5F5"/>
          </w:tcPr>
          <w:p>
            <w:r/>
            <w:r>
              <w:rPr>
                <w:color w:val="2D3142"/>
                <w:sz w:val="19"/>
              </w:rPr>
              <w:t>KYC 洞察面板</w:t>
            </w:r>
          </w:p>
        </w:tc>
        <w:tc>
          <w:tcPr>
            <w:tcW w:type="dxa" w:w="5669"/>
            <w:shd w:fill="F5F5F5"/>
          </w:tcPr>
          <w:p>
            <w:r/>
            <w:r>
              <w:rPr>
                <w:color w:val="2D3142"/>
                <w:sz w:val="19"/>
              </w:rPr>
              <w:t>展示 AI 生成的 KYC 洞察与机会信号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2D3142"/>
                <w:sz w:val="19"/>
              </w:rPr>
              <w:t>任务与承诺看板</w:t>
            </w:r>
          </w:p>
        </w:tc>
        <w:tc>
          <w:tcPr>
            <w:tcW w:type="dxa" w:w="5669"/>
          </w:tcPr>
          <w:p>
            <w:r/>
            <w:r>
              <w:rPr>
                <w:color w:val="2D3142"/>
                <w:sz w:val="19"/>
              </w:rPr>
              <w:t>任务分配、承诺跟踪、CRM 回写状态</w:t>
            </w:r>
          </w:p>
        </w:tc>
      </w:tr>
      <w:tr>
        <w:tc>
          <w:tcPr>
            <w:tcW w:type="dxa" w:w="2268"/>
            <w:shd w:fill="F5F5F5"/>
          </w:tcPr>
          <w:p>
            <w:r/>
            <w:r>
              <w:rPr>
                <w:color w:val="2D3142"/>
                <w:sz w:val="19"/>
              </w:rPr>
              <w:t>产品知识浏览</w:t>
            </w:r>
          </w:p>
        </w:tc>
        <w:tc>
          <w:tcPr>
            <w:tcW w:type="dxa" w:w="5669"/>
            <w:shd w:fill="F5F5F5"/>
          </w:tcPr>
          <w:p>
            <w:r/>
            <w:r>
              <w:rPr>
                <w:color w:val="2D3142"/>
                <w:sz w:val="19"/>
              </w:rPr>
              <w:t>DKWS 发布的产品知识目录与详情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2D3142"/>
                <w:sz w:val="19"/>
              </w:rPr>
              <w:t>供应链图谱</w:t>
            </w:r>
          </w:p>
        </w:tc>
        <w:tc>
          <w:tcPr>
            <w:tcW w:type="dxa" w:w="5669"/>
          </w:tcPr>
          <w:p>
            <w:r/>
            <w:r>
              <w:rPr>
                <w:color w:val="2D3142"/>
                <w:sz w:val="19"/>
              </w:rPr>
              <w:t>力导向图展示客户上下游关联（P24 新增）</w:t>
            </w:r>
          </w:p>
        </w:tc>
      </w:tr>
    </w:tbl>
    <w:p>
      <w:pPr>
        <w:pStyle w:val="Heading2"/>
      </w:pPr>
      <w:r>
        <w:rPr>
          <w:color w:val="2D3142"/>
        </w:rPr>
        <w:t>5.2 ZONE B · 应用组装层</w:t>
      </w:r>
    </w:p>
    <w:p>
      <w:pPr>
        <w:spacing w:after="120" w:line="320" w:lineRule="exact"/>
      </w:pPr>
      <w:r>
        <w:rPr>
          <w:b w:val="0"/>
          <w:i w:val="0"/>
          <w:color w:val="2D3142"/>
          <w:sz w:val="22"/>
        </w:rPr>
        <w:t>两个 Spring Boot 应用，负责把领域模块和适配器组装成可运行的服务：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84"/>
            <w:shd w:fill="2D3142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应用</w:t>
            </w:r>
          </w:p>
        </w:tc>
        <w:tc>
          <w:tcPr>
            <w:tcW w:type="dxa" w:w="1134"/>
            <w:shd w:fill="2D3142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端口</w:t>
            </w:r>
          </w:p>
        </w:tc>
        <w:tc>
          <w:tcPr>
            <w:tcW w:type="dxa" w:w="5102"/>
            <w:shd w:fill="2D3142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2D3142"/>
                <w:sz w:val="19"/>
              </w:rPr>
              <w:t>api 主服务</w:t>
            </w:r>
          </w:p>
        </w:tc>
        <w:tc>
          <w:tcPr>
            <w:tcW w:type="dxa" w:w="1134"/>
          </w:tcPr>
          <w:p>
            <w:r/>
            <w:r>
              <w:rPr>
                <w:color w:val="2D3142"/>
                <w:sz w:val="19"/>
              </w:rPr>
              <w:t>8080</w:t>
            </w:r>
          </w:p>
        </w:tc>
        <w:tc>
          <w:tcPr>
            <w:tcW w:type="dxa" w:w="5102"/>
          </w:tcPr>
          <w:p>
            <w:r/>
            <w:r>
              <w:rPr>
                <w:color w:val="2D3142"/>
                <w:sz w:val="19"/>
              </w:rPr>
              <w:t>REST API 网关、鉴权、请求路由、同步业务处理</w:t>
            </w:r>
          </w:p>
        </w:tc>
      </w:tr>
      <w:tr>
        <w:tc>
          <w:tcPr>
            <w:tcW w:type="dxa" w:w="1984"/>
            <w:shd w:fill="F5F5F5"/>
          </w:tcPr>
          <w:p>
            <w:r/>
            <w:r>
              <w:rPr>
                <w:color w:val="2D3142"/>
                <w:sz w:val="19"/>
              </w:rPr>
              <w:t>worker 后台</w:t>
            </w:r>
          </w:p>
        </w:tc>
        <w:tc>
          <w:tcPr>
            <w:tcW w:type="dxa" w:w="1134"/>
            <w:shd w:fill="F5F5F5"/>
          </w:tcPr>
          <w:p>
            <w:r/>
            <w:r>
              <w:rPr>
                <w:color w:val="2D3142"/>
                <w:sz w:val="19"/>
              </w:rPr>
              <w:t>8090</w:t>
            </w:r>
          </w:p>
        </w:tc>
        <w:tc>
          <w:tcPr>
            <w:tcW w:type="dxa" w:w="5102"/>
            <w:shd w:fill="F5F5F5"/>
          </w:tcPr>
          <w:p>
            <w:r/>
            <w:r>
              <w:rPr>
                <w:color w:val="2D3142"/>
                <w:sz w:val="19"/>
              </w:rPr>
              <w:t>CloudEvent 异步消费、定时任务、后台作业</w:t>
            </w:r>
          </w:p>
        </w:tc>
      </w:tr>
    </w:tbl>
    <w:p>
      <w:pPr>
        <w:pStyle w:val="Heading2"/>
      </w:pPr>
      <w:r>
        <w:rPr>
          <w:color w:val="2D3142"/>
        </w:rPr>
        <w:t>5.3 ZONE C · 领域核心层</w:t>
      </w:r>
    </w:p>
    <w:p>
      <w:pPr>
        <w:spacing w:after="120" w:line="320" w:lineRule="exact"/>
      </w:pPr>
      <w:r>
        <w:rPr>
          <w:b w:val="0"/>
          <w:i w:val="0"/>
          <w:color w:val="2D3142"/>
          <w:sz w:val="22"/>
        </w:rPr>
        <w:t>7 个领域模块，每个模块通过 Port 接口对外暴露能力，不依赖任何外部框架：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984"/>
            <w:shd w:fill="2D3142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268"/>
            <w:shd w:fill="2D3142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2551"/>
            <w:shd w:fill="2D3142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关键 Port</w:t>
            </w:r>
          </w:p>
        </w:tc>
        <w:tc>
          <w:tcPr>
            <w:tcW w:type="dxa" w:w="1417"/>
            <w:shd w:fill="2D3142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外部依赖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2D3142"/>
                <w:sz w:val="19"/>
              </w:rPr>
              <w:t>knowledge-architecture</w:t>
            </w:r>
          </w:p>
        </w:tc>
        <w:tc>
          <w:tcPr>
            <w:tcW w:type="dxa" w:w="2268"/>
          </w:tcPr>
          <w:p>
            <w:r/>
            <w:r>
              <w:rPr>
                <w:color w:val="2D3142"/>
                <w:sz w:val="19"/>
              </w:rPr>
              <w:t>知识架构：地图、元素、规则</w:t>
            </w:r>
          </w:p>
        </w:tc>
        <w:tc>
          <w:tcPr>
            <w:tcW w:type="dxa" w:w="2551"/>
          </w:tcPr>
          <w:p>
            <w:r/>
            <w:r>
              <w:rPr>
                <w:color w:val="2D3142"/>
                <w:sz w:val="19"/>
              </w:rPr>
              <w:t>KnowledgeMapPort / KnowledgeElementPort</w:t>
            </w:r>
          </w:p>
        </w:tc>
        <w:tc>
          <w:tcPr>
            <w:tcW w:type="dxa" w:w="1417"/>
          </w:tcPr>
          <w:p>
            <w:r/>
            <w:r>
              <w:rPr>
                <w:color w:val="2D3142"/>
                <w:sz w:val="19"/>
              </w:rPr>
              <w:t>无</w:t>
            </w:r>
          </w:p>
        </w:tc>
      </w:tr>
      <w:tr>
        <w:tc>
          <w:tcPr>
            <w:tcW w:type="dxa" w:w="1984"/>
            <w:shd w:fill="F5F5F5"/>
          </w:tcPr>
          <w:p>
            <w:r/>
            <w:r>
              <w:rPr>
                <w:color w:val="2D3142"/>
                <w:sz w:val="19"/>
              </w:rPr>
              <w:t>operational-ontology</w:t>
            </w:r>
          </w:p>
        </w:tc>
        <w:tc>
          <w:tcPr>
            <w:tcW w:type="dxa" w:w="2268"/>
            <w:shd w:fill="F5F5F5"/>
          </w:tcPr>
          <w:p>
            <w:r/>
            <w:r>
              <w:rPr>
                <w:color w:val="2D3142"/>
                <w:sz w:val="19"/>
              </w:rPr>
              <w:t>运营本体：客户、声明、机会、KYC</w:t>
            </w:r>
          </w:p>
        </w:tc>
        <w:tc>
          <w:tcPr>
            <w:tcW w:type="dxa" w:w="2551"/>
            <w:shd w:fill="F5F5F5"/>
          </w:tcPr>
          <w:p>
            <w:r/>
            <w:r>
              <w:rPr>
                <w:color w:val="2D3142"/>
                <w:sz w:val="19"/>
              </w:rPr>
              <w:t>ClaimReconciliationPort / DomainEventPublisher</w:t>
            </w:r>
          </w:p>
        </w:tc>
        <w:tc>
          <w:tcPr>
            <w:tcW w:type="dxa" w:w="1417"/>
            <w:shd w:fill="F5F5F5"/>
          </w:tcPr>
          <w:p>
            <w:r/>
            <w:r>
              <w:rPr>
                <w:color w:val="2D3142"/>
                <w:sz w:val="19"/>
              </w:rPr>
              <w:t>无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2D3142"/>
                <w:sz w:val="19"/>
              </w:rPr>
              <w:t>semantic-runtime</w:t>
            </w:r>
          </w:p>
        </w:tc>
        <w:tc>
          <w:tcPr>
            <w:tcW w:type="dxa" w:w="2268"/>
          </w:tcPr>
          <w:p>
            <w:r/>
            <w:r>
              <w:rPr>
                <w:color w:val="2D3142"/>
                <w:sz w:val="19"/>
              </w:rPr>
              <w:t>语义推理：本体、图谱</w:t>
            </w:r>
          </w:p>
        </w:tc>
        <w:tc>
          <w:tcPr>
            <w:tcW w:type="dxa" w:w="2551"/>
          </w:tcPr>
          <w:p>
            <w:r/>
            <w:r>
              <w:rPr>
                <w:color w:val="2D3142"/>
                <w:sz w:val="19"/>
              </w:rPr>
              <w:t>（经 Jena 适配器）</w:t>
            </w:r>
          </w:p>
        </w:tc>
        <w:tc>
          <w:tcPr>
            <w:tcW w:type="dxa" w:w="1417"/>
          </w:tcPr>
          <w:p>
            <w:r/>
            <w:r>
              <w:rPr>
                <w:color w:val="2D3142"/>
                <w:sz w:val="19"/>
              </w:rPr>
              <w:t>Jena</w:t>
            </w:r>
          </w:p>
        </w:tc>
      </w:tr>
      <w:tr>
        <w:tc>
          <w:tcPr>
            <w:tcW w:type="dxa" w:w="1984"/>
            <w:shd w:fill="F5F5F5"/>
          </w:tcPr>
          <w:p>
            <w:r/>
            <w:r>
              <w:rPr>
                <w:color w:val="2D3142"/>
                <w:sz w:val="19"/>
              </w:rPr>
              <w:t>context-evidence</w:t>
            </w:r>
          </w:p>
        </w:tc>
        <w:tc>
          <w:tcPr>
            <w:tcW w:type="dxa" w:w="2268"/>
            <w:shd w:fill="F5F5F5"/>
          </w:tcPr>
          <w:p>
            <w:r/>
            <w:r>
              <w:rPr>
                <w:color w:val="2D3142"/>
                <w:sz w:val="19"/>
              </w:rPr>
              <w:t>客户上下文与证据采集</w:t>
            </w:r>
          </w:p>
        </w:tc>
        <w:tc>
          <w:tcPr>
            <w:tcW w:type="dxa" w:w="2551"/>
            <w:shd w:fill="F5F5F5"/>
          </w:tcPr>
          <w:p>
            <w:r/>
            <w:r>
              <w:rPr>
                <w:color w:val="2D3142"/>
                <w:sz w:val="19"/>
              </w:rPr>
              <w:t>EvidencePort</w:t>
            </w:r>
          </w:p>
        </w:tc>
        <w:tc>
          <w:tcPr>
            <w:tcW w:type="dxa" w:w="1417"/>
            <w:shd w:fill="F5F5F5"/>
          </w:tcPr>
          <w:p>
            <w:r/>
            <w:r>
              <w:rPr>
                <w:color w:val="2D3142"/>
                <w:sz w:val="19"/>
              </w:rPr>
              <w:t>事件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2D3142"/>
                <w:sz w:val="19"/>
              </w:rPr>
              <w:t>human-action</w:t>
            </w:r>
          </w:p>
        </w:tc>
        <w:tc>
          <w:tcPr>
            <w:tcW w:type="dxa" w:w="2268"/>
          </w:tcPr>
          <w:p>
            <w:r/>
            <w:r>
              <w:rPr>
                <w:color w:val="2D3142"/>
                <w:sz w:val="19"/>
              </w:rPr>
              <w:t>人工动作门禁、CRM 回写</w:t>
            </w:r>
          </w:p>
        </w:tc>
        <w:tc>
          <w:tcPr>
            <w:tcW w:type="dxa" w:w="2551"/>
          </w:tcPr>
          <w:p>
            <w:r/>
            <w:r>
              <w:rPr>
                <w:color w:val="2D3142"/>
                <w:sz w:val="19"/>
              </w:rPr>
              <w:t>CrmWritebackChannel</w:t>
            </w:r>
          </w:p>
        </w:tc>
        <w:tc>
          <w:tcPr>
            <w:tcW w:type="dxa" w:w="1417"/>
          </w:tcPr>
          <w:p>
            <w:r/>
            <w:r>
              <w:rPr>
                <w:color w:val="2D3142"/>
                <w:sz w:val="19"/>
              </w:rPr>
              <w:t>外部 CRM</w:t>
            </w:r>
          </w:p>
        </w:tc>
      </w:tr>
      <w:tr>
        <w:tc>
          <w:tcPr>
            <w:tcW w:type="dxa" w:w="1984"/>
            <w:shd w:fill="F5F5F5"/>
          </w:tcPr>
          <w:p>
            <w:r/>
            <w:r>
              <w:rPr>
                <w:color w:val="2D3142"/>
                <w:sz w:val="19"/>
              </w:rPr>
              <w:t>evaluation</w:t>
            </w:r>
          </w:p>
        </w:tc>
        <w:tc>
          <w:tcPr>
            <w:tcW w:type="dxa" w:w="2268"/>
            <w:shd w:fill="F5F5F5"/>
          </w:tcPr>
          <w:p>
            <w:r/>
            <w:r>
              <w:rPr>
                <w:color w:val="2D3142"/>
                <w:sz w:val="19"/>
              </w:rPr>
              <w:t>评估评分、KYC 洞察</w:t>
            </w:r>
          </w:p>
        </w:tc>
        <w:tc>
          <w:tcPr>
            <w:tcW w:type="dxa" w:w="2551"/>
            <w:shd w:fill="F5F5F5"/>
          </w:tcPr>
          <w:p>
            <w:r/>
            <w:r>
              <w:rPr>
                <w:color w:val="2D3142"/>
                <w:sz w:val="19"/>
              </w:rPr>
              <w:t>KycInsightPort</w:t>
            </w:r>
          </w:p>
        </w:tc>
        <w:tc>
          <w:tcPr>
            <w:tcW w:type="dxa" w:w="1417"/>
            <w:shd w:fill="F5F5F5"/>
          </w:tcPr>
          <w:p>
            <w:r/>
            <w:r>
              <w:rPr>
                <w:color w:val="2D3142"/>
                <w:sz w:val="19"/>
              </w:rPr>
              <w:t>本体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2D3142"/>
                <w:sz w:val="19"/>
              </w:rPr>
              <w:t>scenario-hermes</w:t>
            </w:r>
          </w:p>
        </w:tc>
        <w:tc>
          <w:tcPr>
            <w:tcW w:type="dxa" w:w="2268"/>
          </w:tcPr>
          <w:p>
            <w:r/>
            <w:r>
              <w:rPr>
                <w:color w:val="2D3142"/>
                <w:sz w:val="19"/>
              </w:rPr>
              <w:t>场景知识提供（LLM 读图方案A）</w:t>
            </w:r>
          </w:p>
        </w:tc>
        <w:tc>
          <w:tcPr>
            <w:tcW w:type="dxa" w:w="2551"/>
          </w:tcPr>
          <w:p>
            <w:r/>
            <w:r>
              <w:rPr>
                <w:color w:val="2D3142"/>
                <w:sz w:val="19"/>
              </w:rPr>
              <w:t>KnowledgeWikiPort</w:t>
            </w:r>
          </w:p>
        </w:tc>
        <w:tc>
          <w:tcPr>
            <w:tcW w:type="dxa" w:w="1417"/>
          </w:tcPr>
          <w:p>
            <w:r/>
            <w:r>
              <w:rPr>
                <w:color w:val="2D3142"/>
                <w:sz w:val="19"/>
              </w:rPr>
              <w:t>LLM</w:t>
            </w:r>
          </w:p>
        </w:tc>
      </w:tr>
    </w:tbl>
    <w:p>
      <w:pPr>
        <w:pStyle w:val="Heading2"/>
      </w:pPr>
      <w:r>
        <w:rPr>
          <w:color w:val="2D3142"/>
        </w:rPr>
        <w:t>5.4 ZONE D · 适配防腐层</w:t>
      </w:r>
    </w:p>
    <w:p>
      <w:pPr>
        <w:spacing w:after="120" w:line="320" w:lineRule="exact"/>
      </w:pPr>
      <w:r>
        <w:rPr>
          <w:b w:val="0"/>
          <w:i w:val="0"/>
          <w:color w:val="2D3142"/>
          <w:sz w:val="22"/>
        </w:rPr>
        <w:t>4 个适配器，每个实现一个或多个 Port 接口，把外部技术「翻译」给领域层：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984"/>
            <w:shd w:fill="2D3142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适配器</w:t>
            </w:r>
          </w:p>
        </w:tc>
        <w:tc>
          <w:tcPr>
            <w:tcW w:type="dxa" w:w="2268"/>
            <w:shd w:fill="2D3142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实现的 Port</w:t>
            </w:r>
          </w:p>
        </w:tc>
        <w:tc>
          <w:tcPr>
            <w:tcW w:type="dxa" w:w="1701"/>
            <w:shd w:fill="2D3142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对接外部系统</w:t>
            </w:r>
          </w:p>
        </w:tc>
        <w:tc>
          <w:tcPr>
            <w:tcW w:type="dxa" w:w="2268"/>
            <w:shd w:fill="2D3142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关键特性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2D3142"/>
                <w:sz w:val="19"/>
              </w:rPr>
              <w:t>persistence-relational</w:t>
            </w:r>
          </w:p>
        </w:tc>
        <w:tc>
          <w:tcPr>
            <w:tcW w:type="dxa" w:w="2268"/>
          </w:tcPr>
          <w:p>
            <w:r/>
            <w:r>
              <w:rPr>
                <w:color w:val="2D3142"/>
                <w:sz w:val="19"/>
              </w:rPr>
              <w:t>各模块持久化 Port</w:t>
            </w:r>
          </w:p>
        </w:tc>
        <w:tc>
          <w:tcPr>
            <w:tcW w:type="dxa" w:w="1701"/>
          </w:tcPr>
          <w:p>
            <w:r/>
            <w:r>
              <w:rPr>
                <w:color w:val="2D3142"/>
                <w:sz w:val="19"/>
              </w:rPr>
              <w:t>H2/PostgreSQL</w:t>
            </w:r>
          </w:p>
        </w:tc>
        <w:tc>
          <w:tcPr>
            <w:tcW w:type="dxa" w:w="2268"/>
          </w:tcPr>
          <w:p>
            <w:r/>
            <w:r>
              <w:rPr>
                <w:color w:val="2D3142"/>
                <w:sz w:val="19"/>
              </w:rPr>
              <w:t>MyBatis XML + Flyway 迁移</w:t>
            </w:r>
          </w:p>
        </w:tc>
      </w:tr>
      <w:tr>
        <w:tc>
          <w:tcPr>
            <w:tcW w:type="dxa" w:w="1984"/>
            <w:shd w:fill="F5F5F5"/>
          </w:tcPr>
          <w:p>
            <w:r/>
            <w:r>
              <w:rPr>
                <w:color w:val="2D3142"/>
                <w:sz w:val="19"/>
              </w:rPr>
              <w:t>persistence-semantic</w:t>
            </w:r>
          </w:p>
        </w:tc>
        <w:tc>
          <w:tcPr>
            <w:tcW w:type="dxa" w:w="2268"/>
            <w:shd w:fill="F5F5F5"/>
          </w:tcPr>
          <w:p>
            <w:r/>
            <w:r>
              <w:rPr>
                <w:color w:val="2D3142"/>
                <w:sz w:val="19"/>
              </w:rPr>
              <w:t>SemanticRuntimePort</w:t>
            </w:r>
          </w:p>
        </w:tc>
        <w:tc>
          <w:tcPr>
            <w:tcW w:type="dxa" w:w="1701"/>
            <w:shd w:fill="F5F5F5"/>
          </w:tcPr>
          <w:p>
            <w:r/>
            <w:r>
              <w:rPr>
                <w:color w:val="2D3142"/>
                <w:sz w:val="19"/>
              </w:rPr>
              <w:t>Apache Jena TDB</w:t>
            </w:r>
          </w:p>
        </w:tc>
        <w:tc>
          <w:tcPr>
            <w:tcW w:type="dxa" w:w="2268"/>
            <w:shd w:fill="F5F5F5"/>
          </w:tcPr>
          <w:p>
            <w:r/>
            <w:r>
              <w:rPr>
                <w:color w:val="2D3142"/>
                <w:sz w:val="19"/>
              </w:rPr>
              <w:t>本体推理、SPARQL 查询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2D3142"/>
                <w:sz w:val="19"/>
              </w:rPr>
              <w:t>oracle-readonly</w:t>
            </w:r>
          </w:p>
        </w:tc>
        <w:tc>
          <w:tcPr>
            <w:tcW w:type="dxa" w:w="2268"/>
          </w:tcPr>
          <w:p>
            <w:r/>
            <w:r>
              <w:rPr>
                <w:color w:val="2D3142"/>
                <w:sz w:val="19"/>
              </w:rPr>
              <w:t>Oracle 只读查询 Port</w:t>
            </w:r>
          </w:p>
        </w:tc>
        <w:tc>
          <w:tcPr>
            <w:tcW w:type="dxa" w:w="1701"/>
          </w:tcPr>
          <w:p>
            <w:r/>
            <w:r>
              <w:rPr>
                <w:color w:val="2D3142"/>
                <w:sz w:val="19"/>
              </w:rPr>
              <w:t>Oracle 数据源</w:t>
            </w:r>
          </w:p>
        </w:tc>
        <w:tc>
          <w:tcPr>
            <w:tcW w:type="dxa" w:w="2268"/>
          </w:tcPr>
          <w:p>
            <w:r/>
            <w:r>
              <w:rPr>
                <w:color w:val="2D3142"/>
                <w:sz w:val="19"/>
              </w:rPr>
              <w:t>只读、JDBC 连接池</w:t>
            </w:r>
          </w:p>
        </w:tc>
      </w:tr>
      <w:tr>
        <w:tc>
          <w:tcPr>
            <w:tcW w:type="dxa" w:w="1984"/>
            <w:shd w:fill="F5F5F5"/>
          </w:tcPr>
          <w:p>
            <w:r/>
            <w:r>
              <w:rPr>
                <w:color w:val="2D3142"/>
                <w:sz w:val="19"/>
              </w:rPr>
              <w:t>knowledge-filesystem</w:t>
            </w:r>
          </w:p>
        </w:tc>
        <w:tc>
          <w:tcPr>
            <w:tcW w:type="dxa" w:w="2268"/>
            <w:shd w:fill="F5F5F5"/>
          </w:tcPr>
          <w:p>
            <w:r/>
            <w:r>
              <w:rPr>
                <w:color w:val="2D3142"/>
                <w:sz w:val="19"/>
              </w:rPr>
              <w:t>KnowledgeMapPort / KnowledgeElementPort</w:t>
            </w:r>
          </w:p>
        </w:tc>
        <w:tc>
          <w:tcPr>
            <w:tcW w:type="dxa" w:w="1701"/>
            <w:shd w:fill="F5F5F5"/>
          </w:tcPr>
          <w:p>
            <w:r/>
            <w:r>
              <w:rPr>
                <w:color w:val="2D3142"/>
                <w:sz w:val="19"/>
              </w:rPr>
              <w:t>文件系统</w:t>
            </w:r>
          </w:p>
        </w:tc>
        <w:tc>
          <w:tcPr>
            <w:tcW w:type="dxa" w:w="2268"/>
            <w:shd w:fill="F5F5F5"/>
          </w:tcPr>
          <w:p>
            <w:r/>
            <w:r>
              <w:rPr>
                <w:color w:val="2D3142"/>
                <w:sz w:val="19"/>
              </w:rPr>
              <w:t>Fail-Closed：DKWS 不可达返回空结构</w:t>
            </w:r>
          </w:p>
        </w:tc>
      </w:tr>
    </w:tbl>
    <w:p>
      <w:pPr>
        <w:pStyle w:val="Heading2"/>
      </w:pPr>
      <w:r>
        <w:rPr>
          <w:color w:val="2D3142"/>
        </w:rPr>
        <w:t>5.5 ZONE E · 数据存储层</w:t>
      </w:r>
    </w:p>
    <w:p>
      <w:pPr>
        <w:spacing w:after="120" w:line="320" w:lineRule="exact"/>
      </w:pPr>
      <w:r>
        <w:rPr>
          <w:b w:val="0"/>
          <w:i w:val="0"/>
          <w:color w:val="2D3142"/>
          <w:sz w:val="22"/>
        </w:rPr>
        <w:t>两个持久化存储，分别承载运营数据与语义数据：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984"/>
            <w:shd w:fill="2D3142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存储</w:t>
            </w:r>
          </w:p>
        </w:tc>
        <w:tc>
          <w:tcPr>
            <w:tcW w:type="dxa" w:w="1701"/>
            <w:shd w:fill="2D3142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551"/>
            <w:shd w:fill="2D3142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承载内容</w:t>
            </w:r>
          </w:p>
        </w:tc>
        <w:tc>
          <w:tcPr>
            <w:tcW w:type="dxa" w:w="2268"/>
            <w:shd w:fill="2D3142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访问方式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2D3142"/>
                <w:sz w:val="19"/>
              </w:rPr>
              <w:t>H2 / PostgreSQL</w:t>
            </w:r>
          </w:p>
        </w:tc>
        <w:tc>
          <w:tcPr>
            <w:tcW w:type="dxa" w:w="1701"/>
          </w:tcPr>
          <w:p>
            <w:r/>
            <w:r>
              <w:rPr>
                <w:color w:val="2D3142"/>
                <w:sz w:val="19"/>
              </w:rPr>
              <w:t>关系型数据库</w:t>
            </w:r>
          </w:p>
        </w:tc>
        <w:tc>
          <w:tcPr>
            <w:tcW w:type="dxa" w:w="2551"/>
          </w:tcPr>
          <w:p>
            <w:r/>
            <w:r>
              <w:rPr>
                <w:color w:val="2D3142"/>
                <w:sz w:val="19"/>
              </w:rPr>
              <w:t>客户、旅程、任务、承诺、机会</w:t>
            </w:r>
          </w:p>
        </w:tc>
        <w:tc>
          <w:tcPr>
            <w:tcW w:type="dxa" w:w="2268"/>
          </w:tcPr>
          <w:p>
            <w:r/>
            <w:r>
              <w:rPr>
                <w:color w:val="2D3142"/>
                <w:sz w:val="19"/>
              </w:rPr>
              <w:t>MyBatis Mapper</w:t>
            </w:r>
          </w:p>
        </w:tc>
      </w:tr>
      <w:tr>
        <w:tc>
          <w:tcPr>
            <w:tcW w:type="dxa" w:w="1984"/>
            <w:shd w:fill="F5F5F5"/>
          </w:tcPr>
          <w:p>
            <w:r/>
            <w:r>
              <w:rPr>
                <w:color w:val="2D3142"/>
                <w:sz w:val="19"/>
              </w:rPr>
              <w:t>Apache Jena TDB</w:t>
            </w:r>
          </w:p>
        </w:tc>
        <w:tc>
          <w:tcPr>
            <w:tcW w:type="dxa" w:w="1701"/>
            <w:shd w:fill="F5F5F5"/>
          </w:tcPr>
          <w:p>
            <w:r/>
            <w:r>
              <w:rPr>
                <w:color w:val="2D3142"/>
                <w:sz w:val="19"/>
              </w:rPr>
              <w:t>语义三元组库</w:t>
            </w:r>
          </w:p>
        </w:tc>
        <w:tc>
          <w:tcPr>
            <w:tcW w:type="dxa" w:w="2551"/>
            <w:shd w:fill="F5F5F5"/>
          </w:tcPr>
          <w:p>
            <w:r/>
            <w:r>
              <w:rPr>
                <w:color w:val="2D3142"/>
                <w:sz w:val="19"/>
              </w:rPr>
              <w:t>本体、图谱、推理结果</w:t>
            </w:r>
          </w:p>
        </w:tc>
        <w:tc>
          <w:tcPr>
            <w:tcW w:type="dxa" w:w="2268"/>
            <w:shd w:fill="F5F5F5"/>
          </w:tcPr>
          <w:p>
            <w:r/>
            <w:r>
              <w:rPr>
                <w:color w:val="2D3142"/>
                <w:sz w:val="19"/>
              </w:rPr>
              <w:t>SPARQL / Jena API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D3142"/>
        </w:rPr>
        <w:t>6. 七大领域模块详解</w:t>
      </w:r>
    </w:p>
    <w:p>
      <w:pPr>
        <w:pStyle w:val="Heading2"/>
      </w:pPr>
      <w:r>
        <w:rPr>
          <w:color w:val="2D3142"/>
        </w:rPr>
        <w:t>6.1 knowledge-architecture · 知识架构</w:t>
      </w:r>
    </w:p>
    <w:p>
      <w:pPr>
        <w:spacing w:after="120" w:line="320" w:lineRule="exact"/>
      </w:pPr>
      <w:r>
        <w:rPr>
          <w:b w:val="0"/>
          <w:i w:val="0"/>
          <w:color w:val="2D3142"/>
          <w:sz w:val="22"/>
        </w:rPr>
        <w:t>核心职责：管理知识地图（Knowledge Map）与知识元素（KE Element）的完整生命周期。知识地图是知识资产的目录/索引，KE 元素是最小可管理知识单元。</w:t>
      </w:r>
    </w:p>
    <w:p>
      <w:pPr>
        <w:spacing w:after="120" w:line="320" w:lineRule="exact"/>
      </w:pPr>
      <w:r>
        <w:rPr>
          <w:b w:val="0"/>
          <w:i w:val="0"/>
          <w:color w:val="2D3142"/>
          <w:sz w:val="22"/>
        </w:rPr>
        <w:t>关键 Port：KnowledgeMapPort（地图 CRUD + 查询）、KnowledgeElementPort（元素 CRUD + 按地图查询）。</w:t>
      </w:r>
    </w:p>
    <w:p>
      <w:pPr>
        <w:spacing w:after="120" w:line="320" w:lineRule="exact"/>
      </w:pPr>
      <w:r>
        <w:rPr>
          <w:b w:val="0"/>
          <w:i w:val="0"/>
          <w:color w:val="2D3142"/>
          <w:sz w:val="22"/>
        </w:rPr>
        <w:t>适配实现：knowledge-filesystem 适配器，从文件系统读取 YAML/Markdown 格式的知识资产。Fail-Closed 模式：DKWS 不可达时返回空结构，不回退到 H2 种子数据。</w:t>
      </w:r>
    </w:p>
    <w:p>
      <w:pPr>
        <w:pStyle w:val="Heading2"/>
      </w:pPr>
      <w:r>
        <w:rPr>
          <w:color w:val="2D3142"/>
        </w:rPr>
        <w:t>6.2 operational-ontology · 运营本体</w:t>
      </w:r>
    </w:p>
    <w:p>
      <w:pPr>
        <w:spacing w:after="120" w:line="320" w:lineRule="exact"/>
      </w:pPr>
      <w:r>
        <w:rPr>
          <w:b w:val="0"/>
          <w:i w:val="0"/>
          <w:color w:val="2D3142"/>
          <w:sz w:val="22"/>
        </w:rPr>
        <w:t>核心职责：客户声明（Claim）、机会信号（Opportunity）、KYC 洞察的推理与调解。</w:t>
      </w:r>
    </w:p>
    <w:p>
      <w:pPr>
        <w:spacing w:after="120" w:line="320" w:lineRule="exact"/>
      </w:pPr>
      <w:r>
        <w:rPr>
          <w:b w:val="0"/>
          <w:i w:val="0"/>
          <w:color w:val="2D3142"/>
          <w:sz w:val="22"/>
        </w:rPr>
        <w:t>关键 Port：ClaimReconciliationPort（声明调解，DMN 规则引擎或手写逻辑）、DomainEventPublisher（领域事件发布）。</w:t>
      </w:r>
    </w:p>
    <w:p>
      <w:pPr>
        <w:spacing w:after="120" w:line="320" w:lineRule="exact"/>
      </w:pPr>
      <w:r>
        <w:rPr>
          <w:b w:val="0"/>
          <w:i w:val="0"/>
          <w:color w:val="2D3142"/>
          <w:sz w:val="22"/>
        </w:rPr>
        <w:t>核心服务：KycInsightService 在 claimCandidateRecorded 后发布领域事件，EngagementOrchestrator 在关键旅程节点发布事件。</w:t>
      </w:r>
    </w:p>
    <w:p>
      <w:pPr>
        <w:pStyle w:val="Heading2"/>
      </w:pPr>
      <w:r>
        <w:rPr>
          <w:color w:val="2D3142"/>
        </w:rPr>
        <w:t>6.3 semantic-runtime · 语义推理</w:t>
      </w:r>
    </w:p>
    <w:p>
      <w:pPr>
        <w:spacing w:after="120" w:line="320" w:lineRule="exact"/>
      </w:pPr>
      <w:r>
        <w:rPr>
          <w:b w:val="0"/>
          <w:i w:val="0"/>
          <w:color w:val="2D3142"/>
          <w:sz w:val="22"/>
        </w:rPr>
        <w:t>核心职责：基于 Apache Jena 的本体推理与图谱查询。把散乱事实变成本体可推理的知识结构。</w:t>
      </w:r>
    </w:p>
    <w:p>
      <w:pPr>
        <w:spacing w:after="120" w:line="320" w:lineRule="exact"/>
      </w:pPr>
      <w:r>
        <w:rPr>
          <w:b w:val="0"/>
          <w:i w:val="0"/>
          <w:color w:val="2D3142"/>
          <w:sz w:val="22"/>
        </w:rPr>
        <w:t>适配实现：persistence-semantic 适配器，封装 Jena TDB 存储与 SPARQL 查询。</w:t>
      </w:r>
    </w:p>
    <w:p>
      <w:pPr>
        <w:pStyle w:val="Heading2"/>
      </w:pPr>
      <w:r>
        <w:rPr>
          <w:color w:val="2D3142"/>
        </w:rPr>
        <w:t>6.4 context-evidence · 客户上下文与证据</w:t>
      </w:r>
    </w:p>
    <w:p>
      <w:pPr>
        <w:spacing w:after="120" w:line="320" w:lineRule="exact"/>
      </w:pPr>
      <w:r>
        <w:rPr>
          <w:b w:val="0"/>
          <w:i w:val="0"/>
          <w:color w:val="2D3142"/>
          <w:sz w:val="22"/>
        </w:rPr>
        <w:t>核心职责：采集客户经营过程中的上下文信息与证据材料，为推理提供输入。</w:t>
      </w:r>
    </w:p>
    <w:p>
      <w:pPr>
        <w:spacing w:after="120" w:line="320" w:lineRule="exact"/>
      </w:pPr>
      <w:r>
        <w:rPr>
          <w:b w:val="0"/>
          <w:i w:val="0"/>
          <w:color w:val="2D3142"/>
          <w:sz w:val="22"/>
        </w:rPr>
        <w:t>关键 Port：EvidencePort（证据采集与查询）。事件驱动：新证据到达后触发下游推理。</w:t>
      </w:r>
    </w:p>
    <w:p>
      <w:pPr>
        <w:pStyle w:val="Heading2"/>
      </w:pPr>
      <w:r>
        <w:rPr>
          <w:color w:val="2D3142"/>
        </w:rPr>
        <w:t>6.5 human-action · 人工动作</w:t>
      </w:r>
    </w:p>
    <w:p>
      <w:pPr>
        <w:spacing w:after="120" w:line="320" w:lineRule="exact"/>
      </w:pPr>
      <w:r>
        <w:rPr>
          <w:b w:val="0"/>
          <w:i w:val="0"/>
          <w:color w:val="2D3142"/>
          <w:sz w:val="22"/>
        </w:rPr>
        <w:t>核心职责：人工确认门禁与 CRM 回写。确保 AI 产出的候选动作必须经人工确认才能执行。</w:t>
      </w:r>
    </w:p>
    <w:p>
      <w:pPr>
        <w:spacing w:after="120" w:line="320" w:lineRule="exact"/>
      </w:pPr>
      <w:r>
        <w:rPr>
          <w:b w:val="0"/>
          <w:i w:val="0"/>
          <w:color w:val="2D3142"/>
          <w:sz w:val="22"/>
        </w:rPr>
        <w:t>关键 Port：CrmWritebackChannel（CRM 回写通道，HTTP 或日志实现）。</w:t>
      </w:r>
    </w:p>
    <w:p>
      <w:pPr>
        <w:spacing w:after="120" w:line="320" w:lineRule="exact"/>
      </w:pPr>
      <w:r>
        <w:rPr>
          <w:b w:val="0"/>
          <w:i w:val="0"/>
          <w:color w:val="2D3142"/>
          <w:sz w:val="22"/>
        </w:rPr>
        <w:t>核心服务：CrmWritebackService 在 controlledActionRequested 后发布领域事件。</w:t>
      </w:r>
    </w:p>
    <w:p>
      <w:pPr>
        <w:pStyle w:val="Heading2"/>
      </w:pPr>
      <w:r>
        <w:rPr>
          <w:color w:val="2D3142"/>
        </w:rPr>
        <w:t>6.6 evaluation · 评估评分</w:t>
      </w:r>
    </w:p>
    <w:p>
      <w:pPr>
        <w:spacing w:after="120" w:line="320" w:lineRule="exact"/>
      </w:pPr>
      <w:r>
        <w:rPr>
          <w:b w:val="0"/>
          <w:i w:val="0"/>
          <w:color w:val="2D3142"/>
          <w:sz w:val="22"/>
        </w:rPr>
        <w:t>核心职责：客户评估评分与 KYC 洞察生成。</w:t>
      </w:r>
    </w:p>
    <w:p>
      <w:pPr>
        <w:spacing w:after="120" w:line="320" w:lineRule="exact"/>
      </w:pPr>
      <w:r>
        <w:rPr>
          <w:b w:val="0"/>
          <w:i w:val="0"/>
          <w:color w:val="2D3142"/>
          <w:sz w:val="22"/>
        </w:rPr>
        <w:t>关键 Port：KycInsightPort（洞察生成与查询）。</w:t>
      </w:r>
    </w:p>
    <w:p>
      <w:pPr>
        <w:pStyle w:val="Heading2"/>
      </w:pPr>
      <w:r>
        <w:rPr>
          <w:color w:val="2D3142"/>
        </w:rPr>
        <w:t>6.7 scenario-hermes · 场景知识提供</w:t>
      </w:r>
    </w:p>
    <w:p>
      <w:pPr>
        <w:spacing w:after="120" w:line="320" w:lineRule="exact"/>
      </w:pPr>
      <w:r>
        <w:rPr>
          <w:b w:val="0"/>
          <w:i w:val="0"/>
          <w:color w:val="2D3142"/>
          <w:sz w:val="22"/>
        </w:rPr>
        <w:t>核心职责：LLM 读图方案 A 的实现，通过 LLM 读取知识地图并生成结构化知识。</w:t>
      </w:r>
    </w:p>
    <w:p>
      <w:pPr>
        <w:spacing w:after="120" w:line="320" w:lineRule="exact"/>
      </w:pPr>
      <w:r>
        <w:rPr>
          <w:b w:val="0"/>
          <w:i w:val="0"/>
          <w:color w:val="2D3142"/>
          <w:sz w:val="22"/>
        </w:rPr>
        <w:t>关键 Port：KnowledgeWikiPort（知识 Wiki 读写）、LlmClient（LLM 调用，含 Mock 与 Real 两种实现）。</w:t>
      </w:r>
    </w:p>
    <w:p>
      <w:r>
        <w:br w:type="page"/>
      </w:r>
    </w:p>
    <w:p>
      <w:pPr>
        <w:pStyle w:val="Heading1"/>
      </w:pPr>
      <w:r>
        <w:rPr>
          <w:color w:val="2D3142"/>
        </w:rPr>
        <w:t>7. 技术栈一览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52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s-kno-techsta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320" w:lineRule="exact"/>
        <w:jc w:val="center"/>
      </w:pPr>
      <w:r>
        <w:rPr>
          <w:b w:val="0"/>
          <w:i/>
          <w:color w:val="4F5D75"/>
          <w:sz w:val="18"/>
        </w:rPr>
        <w:t>图 3 · GITS-KNO 分层技术栈</w:t>
      </w:r>
    </w:p>
    <w:p>
      <w:pPr>
        <w:pStyle w:val="Heading2"/>
      </w:pPr>
      <w:r>
        <w:rPr>
          <w:color w:val="2D3142"/>
        </w:rPr>
        <w:t>7.1 后端</w:t>
      </w:r>
    </w:p>
    <w:p>
      <w:pPr>
        <w:pStyle w:val="ListBullet"/>
      </w:pPr>
      <w:r>
        <w:rPr>
          <w:color w:val="2D3142"/>
          <w:sz w:val="21"/>
        </w:rPr>
        <w:t>Java 21 + Spring Boot 3.5 + Spring Modulith（模块化架构强制）</w:t>
      </w:r>
    </w:p>
    <w:p>
      <w:pPr>
        <w:pStyle w:val="ListBullet"/>
      </w:pPr>
      <w:r>
        <w:rPr>
          <w:color w:val="2D3142"/>
          <w:sz w:val="21"/>
        </w:rPr>
        <w:t>MyBatis（XML Mapper + resultMap 显式映射）+ Flyway 迁移（H2/MySQL 双方言）</w:t>
      </w:r>
    </w:p>
    <w:p>
      <w:pPr>
        <w:pStyle w:val="ListBullet"/>
      </w:pPr>
      <w:r>
        <w:rPr>
          <w:color w:val="2D3142"/>
          <w:sz w:val="21"/>
        </w:rPr>
        <w:t>Apache Jena（语义图谱/本体推理）、KIE DMN（规则引擎）</w:t>
      </w:r>
    </w:p>
    <w:p>
      <w:pPr>
        <w:pStyle w:val="ListBullet"/>
      </w:pPr>
      <w:r>
        <w:rPr>
          <w:color w:val="2D3142"/>
          <w:sz w:val="21"/>
        </w:rPr>
        <w:t>CloudEvent 事件 + Zipkin 链路 + Micrometer/Prometheus 指标 + JSON 结构化日志</w:t>
      </w:r>
    </w:p>
    <w:p>
      <w:pPr>
        <w:pStyle w:val="Heading2"/>
      </w:pPr>
      <w:r>
        <w:rPr>
          <w:color w:val="2D3142"/>
        </w:rPr>
        <w:t>7.2 前端</w:t>
      </w:r>
    </w:p>
    <w:p>
      <w:pPr>
        <w:pStyle w:val="ListBullet"/>
      </w:pPr>
      <w:r>
        <w:rPr>
          <w:color w:val="2D3142"/>
          <w:sz w:val="21"/>
        </w:rPr>
        <w:t>Vue3 + TypeScript + Vite + Pinia + vue-query（TanStack Query）</w:t>
      </w:r>
    </w:p>
    <w:p>
      <w:pPr>
        <w:pStyle w:val="ListBullet"/>
      </w:pPr>
      <w:r>
        <w:rPr>
          <w:color w:val="2D3142"/>
          <w:sz w:val="21"/>
        </w:rPr>
        <w:t>Naive UI（主）+ TDesign Vue Next（辅助，仅缺口组件）</w:t>
      </w:r>
    </w:p>
    <w:p>
      <w:pPr>
        <w:pStyle w:val="ListBullet"/>
      </w:pPr>
      <w:r>
        <w:rPr>
          <w:color w:val="2D3142"/>
          <w:sz w:val="21"/>
        </w:rPr>
        <w:t>ECharts（图表，含供应链力导向图）、Tailwind CSS</w:t>
      </w:r>
    </w:p>
    <w:p>
      <w:pPr>
        <w:pStyle w:val="Heading2"/>
      </w:pPr>
      <w:r>
        <w:rPr>
          <w:color w:val="2D3142"/>
        </w:rPr>
        <w:t>7.3 场景与工程</w:t>
      </w:r>
    </w:p>
    <w:p>
      <w:pPr>
        <w:pStyle w:val="ListBullet"/>
      </w:pPr>
      <w:r>
        <w:rPr>
          <w:color w:val="2D3142"/>
          <w:sz w:val="21"/>
        </w:rPr>
        <w:t>DKWS 平台：Python（scenario/dkws-platform，pytest 54 项）</w:t>
      </w:r>
    </w:p>
    <w:p>
      <w:pPr>
        <w:pStyle w:val="ListBullet"/>
      </w:pPr>
      <w:r>
        <w:rPr>
          <w:color w:val="2D3142"/>
          <w:sz w:val="21"/>
        </w:rPr>
        <w:t>构建：Maven + Makefile（generate/check/test/evidence）· 测试：JUnit5/AssertJ/Mockito + Vitest + Playwright</w:t>
      </w:r>
    </w:p>
    <w:p>
      <w:r>
        <w:br w:type="page"/>
      </w:r>
    </w:p>
    <w:p>
      <w:pPr>
        <w:pStyle w:val="Heading1"/>
      </w:pPr>
      <w:r>
        <w:rPr>
          <w:color w:val="2D3142"/>
        </w:rPr>
        <w:t>8. 一次完整旅程的数据流（讲故事）</w:t>
      </w:r>
    </w:p>
    <w:p>
      <w:pPr>
        <w:pStyle w:val="Heading2"/>
      </w:pPr>
      <w:r>
        <w:rPr>
          <w:color w:val="2D3142"/>
        </w:rPr>
        <w:t>8.1 正向主线</w:t>
      </w:r>
    </w:p>
    <w:p>
      <w:pPr>
        <w:spacing w:after="120" w:line="320" w:lineRule="exact"/>
      </w:pPr>
      <w:r>
        <w:rPr>
          <w:b w:val="0"/>
          <w:i w:val="0"/>
          <w:color w:val="2D3142"/>
          <w:sz w:val="22"/>
        </w:rPr>
        <w:t>① 客户经理在前端工作台发起旅程（开场）→ ② API 网关鉴权（X-API-KEY）→ ③ 旅程引擎编排 → ④ 上下文与证据采集 → ⑤ 语义推理 + LLM 生成 KYC 洞察 → ⑥ DMN 规则筛选机会信号、生成任务 → ⑦ 人工确认门禁 → ⑧ 执行动作（任务/CRM 回写）→ ⑨ 报告与证据沉淀 → ⑩ 知识回流 DKWS。</w:t>
      </w:r>
    </w:p>
    <w:p>
      <w:pPr>
        <w:pStyle w:val="Heading2"/>
      </w:pPr>
      <w:r>
        <w:rPr>
          <w:color w:val="2D3142"/>
        </w:rPr>
        <w:t>8.2 知识回流支线</w:t>
      </w:r>
    </w:p>
    <w:p>
      <w:pPr>
        <w:spacing w:after="120" w:line="320" w:lineRule="exact"/>
      </w:pPr>
      <w:r>
        <w:rPr>
          <w:b w:val="0"/>
          <w:i w:val="0"/>
          <w:color w:val="2D3142"/>
          <w:sz w:val="22"/>
        </w:rPr>
        <w:t>沉淀的证据进入 DKWS P2 原始接入 → P3 清洗 → P4 登记 → P5 知识候选（人工审核）→ P6 发布 → P7 投影 → P8 服务供给；知识再经 KnowledgeAssembler 回流到洞察阶段，形成闭环。</w:t>
      </w:r>
    </w:p>
    <w:p>
      <w:pPr>
        <w:pStyle w:val="Heading2"/>
      </w:pPr>
      <w:r>
        <w:rPr>
          <w:color w:val="2D3142"/>
        </w:rPr>
        <w:t>8.3 事件驱动细节</w:t>
      </w:r>
    </w:p>
    <w:p>
      <w:pPr>
        <w:spacing w:after="120" w:line="320" w:lineRule="exact"/>
      </w:pPr>
      <w:r>
        <w:rPr>
          <w:b w:val="0"/>
          <w:i w:val="0"/>
          <w:color w:val="2D3142"/>
          <w:sz w:val="22"/>
        </w:rPr>
        <w:t>EngagementOrchestrator 在 startJourney/postvisit/newEvidence 后发布领域事件；KycInsightService 在 claimCandidateRecorded 后发布；CrmWritebackService 在 controlledActionRequested 后发布；worker 异步消费，模块间不直接调用。</w:t>
      </w:r>
    </w:p>
    <w:p>
      <w:r>
        <w:br w:type="page"/>
      </w:r>
    </w:p>
    <w:p>
      <w:pPr>
        <w:pStyle w:val="Heading1"/>
      </w:pPr>
      <w:r>
        <w:rPr>
          <w:color w:val="2D3142"/>
        </w:rPr>
        <w:t>9. 演进方向与已知约束</w:t>
      </w:r>
    </w:p>
    <w:p>
      <w:pPr>
        <w:pStyle w:val="Heading2"/>
      </w:pPr>
      <w:r>
        <w:rPr>
          <w:color w:val="2D3142"/>
        </w:rPr>
        <w:t>9.1 演进方向</w:t>
      </w:r>
    </w:p>
    <w:p>
      <w:pPr>
        <w:pStyle w:val="ListBullet"/>
      </w:pPr>
      <w:r>
        <w:rPr>
          <w:b/>
          <w:color w:val="2D3142"/>
          <w:sz w:val="21"/>
        </w:rPr>
        <w:t>DKWS 生产可用：</w:t>
      </w:r>
      <w:r>
        <w:rPr>
          <w:color w:val="2D3142"/>
          <w:sz w:val="21"/>
        </w:rPr>
        <w:t>DKWS 生产可用：启动时内存索引替代每请求扫盘；knowledge-architecture 集成进 apps/api 运行时；按 classification 过滤权限；单向权威流保障。</w:t>
      </w:r>
    </w:p>
    <w:p>
      <w:pPr>
        <w:pStyle w:val="ListBullet"/>
      </w:pPr>
      <w:r>
        <w:rPr>
          <w:b/>
          <w:color w:val="2D3142"/>
          <w:sz w:val="21"/>
        </w:rPr>
        <w:t>供应链图谱深化：</w:t>
      </w:r>
      <w:r>
        <w:rPr>
          <w:color w:val="2D3142"/>
          <w:sz w:val="21"/>
        </w:rPr>
        <w:t>供应链图谱深化：图谱推理（多级上下游）、图谱与 KYC 洞察联动。</w:t>
      </w:r>
    </w:p>
    <w:p>
      <w:pPr>
        <w:pStyle w:val="ListBullet"/>
      </w:pPr>
      <w:r>
        <w:rPr>
          <w:b/>
          <w:color w:val="2D3142"/>
          <w:sz w:val="21"/>
        </w:rPr>
        <w:t>人侧共读：</w:t>
      </w:r>
      <w:r>
        <w:rPr>
          <w:color w:val="2D3142"/>
          <w:sz w:val="21"/>
        </w:rPr>
        <w:t>人侧共读：评估 BookStack/Outline 或自建「人机共读」界面。</w:t>
      </w:r>
    </w:p>
    <w:p>
      <w:pPr>
        <w:pStyle w:val="Heading2"/>
      </w:pPr>
      <w:r>
        <w:rPr>
          <w:color w:val="2D3142"/>
        </w:rPr>
        <w:t>9.2 已知约束与风险</w:t>
      </w:r>
    </w:p>
    <w:p>
      <w:pPr>
        <w:pStyle w:val="ListBullet"/>
      </w:pPr>
      <w:r>
        <w:rPr>
          <w:color w:val="2D3142"/>
          <w:sz w:val="21"/>
        </w:rPr>
        <w:t>OpenWiki 评估结论为不引入（权限/内网 CDN/非结构化三大硬伤），见 docs/architecture/OPENWIKI_CODE_LEVEL_ASSESSMENT.md。</w:t>
      </w:r>
    </w:p>
    <w:p>
      <w:pPr>
        <w:pStyle w:val="ListBullet"/>
      </w:pPr>
      <w:r>
        <w:rPr>
          <w:color w:val="2D3142"/>
          <w:sz w:val="21"/>
        </w:rPr>
        <w:t>真实平台选型（RAG/GraphDB/MetadataCatalog）留空待 Owner 指定。</w:t>
      </w:r>
    </w:p>
    <w:p>
      <w:pPr>
        <w:pStyle w:val="ListBullet"/>
      </w:pPr>
      <w:r>
        <w:rPr>
          <w:color w:val="2D3142"/>
          <w:sz w:val="21"/>
        </w:rPr>
        <w:t>apps/api 存量 JaCoCo 行覆盖率门槛 0.80，P23 已通过补测达标，后续需持续维护。</w:t>
      </w:r>
    </w:p>
    <w:p>
      <w:pPr>
        <w:pStyle w:val="Heading1"/>
      </w:pPr>
      <w:r>
        <w:rPr>
          <w:color w:val="2D3142"/>
        </w:rPr>
        <w:t>10. 术语速查表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fill="2D3142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5669"/>
            <w:shd w:fill="2D3142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通俗解释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2D3142"/>
                <w:sz w:val="19"/>
              </w:rPr>
              <w:t>Port（端口）</w:t>
            </w:r>
          </w:p>
        </w:tc>
        <w:tc>
          <w:tcPr>
            <w:tcW w:type="dxa" w:w="5669"/>
          </w:tcPr>
          <w:p>
            <w:r/>
            <w:r>
              <w:rPr>
                <w:color w:val="2D3142"/>
                <w:sz w:val="19"/>
              </w:rPr>
              <w:t>领域层定义的能力接口，如 ClaimReconciliationPort</w:t>
            </w:r>
          </w:p>
        </w:tc>
      </w:tr>
      <w:tr>
        <w:tc>
          <w:tcPr>
            <w:tcW w:type="dxa" w:w="2268"/>
            <w:shd w:fill="F5F5F5"/>
          </w:tcPr>
          <w:p>
            <w:r/>
            <w:r>
              <w:rPr>
                <w:color w:val="2D3142"/>
                <w:sz w:val="19"/>
              </w:rPr>
              <w:t>Adapter（适配器）</w:t>
            </w:r>
          </w:p>
        </w:tc>
        <w:tc>
          <w:tcPr>
            <w:tcW w:type="dxa" w:w="5669"/>
            <w:shd w:fill="F5F5F5"/>
          </w:tcPr>
          <w:p>
            <w:r/>
            <w:r>
              <w:rPr>
                <w:color w:val="2D3142"/>
                <w:sz w:val="19"/>
              </w:rPr>
              <w:t>实现 Port 的外部对接代码，如 DMN 适配器、MyBatis 适配器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2D3142"/>
                <w:sz w:val="19"/>
              </w:rPr>
              <w:t>六边形架构</w:t>
            </w:r>
          </w:p>
        </w:tc>
        <w:tc>
          <w:tcPr>
            <w:tcW w:type="dxa" w:w="5669"/>
          </w:tcPr>
          <w:p>
            <w:r/>
            <w:r>
              <w:rPr>
                <w:color w:val="2D3142"/>
                <w:sz w:val="19"/>
              </w:rPr>
              <w:t>内核 + 外围通过接口解耦的架构风格</w:t>
            </w:r>
          </w:p>
        </w:tc>
      </w:tr>
      <w:tr>
        <w:tc>
          <w:tcPr>
            <w:tcW w:type="dxa" w:w="2268"/>
            <w:shd w:fill="F5F5F5"/>
          </w:tcPr>
          <w:p>
            <w:r/>
            <w:r>
              <w:rPr>
                <w:color w:val="2D3142"/>
                <w:sz w:val="19"/>
              </w:rPr>
              <w:t>Spring Modulith</w:t>
            </w:r>
          </w:p>
        </w:tc>
        <w:tc>
          <w:tcPr>
            <w:tcW w:type="dxa" w:w="5669"/>
            <w:shd w:fill="F5F5F5"/>
          </w:tcPr>
          <w:p>
            <w:r/>
            <w:r>
              <w:rPr>
                <w:color w:val="2D3142"/>
                <w:sz w:val="19"/>
              </w:rPr>
              <w:t>Spring 官方模块化工具，强制模块边界与依赖方向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2D3142"/>
                <w:sz w:val="19"/>
              </w:rPr>
              <w:t>云事件（CloudEvent）</w:t>
            </w:r>
          </w:p>
        </w:tc>
        <w:tc>
          <w:tcPr>
            <w:tcW w:type="dxa" w:w="5669"/>
          </w:tcPr>
          <w:p>
            <w:r/>
            <w:r>
              <w:rPr>
                <w:color w:val="2D3142"/>
                <w:sz w:val="19"/>
              </w:rPr>
              <w:t>跨模块事件的标准载体</w:t>
            </w:r>
          </w:p>
        </w:tc>
      </w:tr>
      <w:tr>
        <w:tc>
          <w:tcPr>
            <w:tcW w:type="dxa" w:w="2268"/>
            <w:shd w:fill="F5F5F5"/>
          </w:tcPr>
          <w:p>
            <w:r/>
            <w:r>
              <w:rPr>
                <w:color w:val="2D3142"/>
                <w:sz w:val="19"/>
              </w:rPr>
              <w:t>DKWS</w:t>
            </w:r>
          </w:p>
        </w:tc>
        <w:tc>
          <w:tcPr>
            <w:tcW w:type="dxa" w:w="5669"/>
            <w:shd w:fill="F5F5F5"/>
          </w:tcPr>
          <w:p>
            <w:r/>
            <w:r>
              <w:rPr>
                <w:color w:val="2D3142"/>
                <w:sz w:val="19"/>
              </w:rPr>
              <w:t>文件目录型数据知识服务模拟平台（P24 主角）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2D3142"/>
                <w:sz w:val="19"/>
              </w:rPr>
              <w:t>KE 元素</w:t>
            </w:r>
          </w:p>
        </w:tc>
        <w:tc>
          <w:tcPr>
            <w:tcW w:type="dxa" w:w="5669"/>
          </w:tcPr>
          <w:p>
            <w:r/>
            <w:r>
              <w:rPr>
                <w:color w:val="2D3142"/>
                <w:sz w:val="19"/>
              </w:rPr>
              <w:t>知识工程元素，最小可管理知识单元</w:t>
            </w:r>
          </w:p>
        </w:tc>
      </w:tr>
      <w:tr>
        <w:tc>
          <w:tcPr>
            <w:tcW w:type="dxa" w:w="2268"/>
            <w:shd w:fill="F5F5F5"/>
          </w:tcPr>
          <w:p>
            <w:r/>
            <w:r>
              <w:rPr>
                <w:color w:val="2D3142"/>
                <w:sz w:val="19"/>
              </w:rPr>
              <w:t>知识地图</w:t>
            </w:r>
          </w:p>
        </w:tc>
        <w:tc>
          <w:tcPr>
            <w:tcW w:type="dxa" w:w="5669"/>
            <w:shd w:fill="F5F5F5"/>
          </w:tcPr>
          <w:p>
            <w:r/>
            <w:r>
              <w:rPr>
                <w:color w:val="2D3142"/>
                <w:sz w:val="19"/>
              </w:rPr>
              <w:t>知识资产的目录/索引，人机共读</w:t>
            </w:r>
          </w:p>
        </w:tc>
      </w:tr>
      <w:tr>
        <w:tc>
          <w:tcPr>
            <w:tcW w:type="dxa" w:w="2268"/>
          </w:tcPr>
          <w:p>
            <w:r/>
            <w:r>
              <w:rPr>
                <w:color w:val="2D3142"/>
                <w:sz w:val="19"/>
              </w:rPr>
              <w:t>供应链图谱</w:t>
            </w:r>
          </w:p>
        </w:tc>
        <w:tc>
          <w:tcPr>
            <w:tcW w:type="dxa" w:w="5669"/>
          </w:tcPr>
          <w:p>
            <w:r/>
            <w:r>
              <w:rPr>
                <w:color w:val="2D3142"/>
                <w:sz w:val="19"/>
              </w:rPr>
              <w:t>客户上下游关联的可视化知识（P24 正在做）</w:t>
            </w:r>
          </w:p>
        </w:tc>
      </w:tr>
      <w:tr>
        <w:tc>
          <w:tcPr>
            <w:tcW w:type="dxa" w:w="2268"/>
            <w:shd w:fill="F5F5F5"/>
          </w:tcPr>
          <w:p>
            <w:r/>
            <w:r>
              <w:rPr>
                <w:color w:val="2D3142"/>
                <w:sz w:val="19"/>
              </w:rPr>
              <w:t>Fail-Closed</w:t>
            </w:r>
          </w:p>
        </w:tc>
        <w:tc>
          <w:tcPr>
            <w:tcW w:type="dxa" w:w="5669"/>
            <w:shd w:fill="F5F5F5"/>
          </w:tcPr>
          <w:p>
            <w:r/>
            <w:r>
              <w:rPr>
                <w:color w:val="2D3142"/>
                <w:sz w:val="19"/>
              </w:rPr>
              <w:t>DKWS 不可达时返回空结构，不回退到种子数据</w:t>
            </w:r>
          </w:p>
        </w:tc>
      </w:tr>
    </w:tbl>
    <w:p>
      <w:pPr>
        <w:spacing w:after="120" w:line="320" w:lineRule="exact"/>
      </w:pPr>
      <w:r>
        <w:rPr>
          <w:b w:val="0"/>
          <w:i w:val="0"/>
          <w:color w:val="2D3142"/>
          <w:sz w:val="22"/>
        </w:rPr>
      </w:r>
    </w:p>
    <w:p>
      <w:pPr>
        <w:spacing w:after="120" w:line="320" w:lineRule="exact"/>
        <w:jc w:val="center"/>
      </w:pPr>
      <w:r>
        <w:rPr>
          <w:b w:val="0"/>
          <w:i/>
          <w:color w:val="4F5D75"/>
          <w:sz w:val="20"/>
        </w:rPr>
        <w:t>—— 全文完 · 本文档随分支演进同步维护 ——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