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pBdr>
          <w:bottom w:val="single" w:color="2E75B6" w:sz="12" w:space="10"/>
        </w:pBdr>
        <w:spacing w:after="160"/>
        <w:jc w:val="center"/>
      </w:pPr>
      <w:r>
        <w:rPr>
          <w:rFonts w:ascii="Arial" w:eastAsia="微软雅黑" w:hAnsi="Arial"/>
          <w:b/>
          <w:bCs/>
          <w:color w:val="0F2B46"/>
          <w:sz w:val="48"/>
          <w:szCs w:val="48"/>
        </w:rPr>
        <w:t xml:space="preserve">M0 评测集与基线测量方案</w:t>
      </w:r>
    </w:p>
    <w:p>
      <w:pPr>
        <w:spacing w:after="700" w:before="240"/>
        <w:jc w:val="center"/>
      </w:pPr>
      <w:r>
        <w:rPr>
          <w:rFonts w:ascii="Arial" w:eastAsia="微软雅黑" w:hAnsi="Arial"/>
          <w:color w:val="40536B"/>
          <w:sz w:val="26"/>
          <w:szCs w:val="26"/>
        </w:rPr>
        <w:t xml:space="preserve">全局总结类与多跳评测集设计 · 标注规范 · Go / No-Go 门控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RAG-ALG-GRAG-M0-001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版本 / 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V1.0 / 待业务方评审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上游依据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《GraphRAG 引入技术方案》第 7 章、D-01~D-04 裁定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交付物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本文档 + 《M0-评测题库.xlsx》（100 题）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语料范围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 / 监管(信贷) / 监管(金融机构) / 法律法规场景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数据源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贺亮-大模型RAG产品（本地规范位置，145 份素材）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Arial" w:eastAsia="微软雅黑" w:hAnsi="Arial"/>
          <w:b/>
          <w:bCs/>
          <w:color w:val="0F2B46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1 方案定位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1.1 为什么必须先做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《GraphRAG 引入技术方案》6.2 节的结论是：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成本不是否决 GraphRAG 的理由，无法验证收益才是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。社区摘要的增量 token 成本约为实体抽取的 8~12%，低于 LightRAG 关键词生成的 60~80%（因为摘要按社区计价，社区数只有实体数的约 3%）。因此本方案是整条 GraphRAG 路线的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决定性前置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：没有本方案的基线数据，M3 社区摘要 POC 无法产出可解释的结论。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同理，本方案也是「图谱增强检索（P1）」的验收依据——《详细设计》附录 B 已裁定「多跳题提升 &lt; 10 个百分点则不接通路」，这个 10 个百分点只有本方案能测出来。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一套题同时服务两个项目的决策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，标注成本因此被摊薄。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1.2 关键决策：扩展现有评测体系，不另起一套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平台已有一套可用的评测体系，散落在 `问答对.xlsx`、`富文本30问.xlsx` 与「法律法规场景」人工测评中。本方案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不新建口径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，而是在既有结构上扩两个字段。理由：新起一套必然导致两套指标长期并存、结论无法互相引用——这正是《详细设计》14.4 节记录的「实现-状态-规划脱节」的同型问题。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既有评测资产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现有形态（源材料证据）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本方案如何处理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题目与标准答案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`问答对.xlsx` Sheet1：id / question / type / answer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，新增 2 列（见 2.3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题型分类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`type` 取值如「简单概念类」「FAQ」「超大不规则表格」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沿用并扩展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，新增 query_type ∈ {global, multi_hop, fact}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出处标注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`label_source`（文档名）+ `label_chunk`（标准答案片段）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片段级标注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法律法规场景：`chunks[{source, chunk, offset:[start,end]}]`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，并明确 offset 语义（见 4.3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自动打分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LLM（百川4）打分 0~10，判别阈值 7 分 / 8 分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，但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不作为全局题的主指标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（见 5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人工复核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165 个 badcase 分派 3 人复核，标记正确/错误/看不懂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沿用流程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，新增「要点覆盖度」判定项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召回指标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`指标_results.csv` 按题统计 recall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语料知识库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 / 监管(银行) / 监管(信贷) / 监管(金融机构)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沿用同一批语料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，不新建知识库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这条决策最重要的收益是可比性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：新题的基线数据与既有 500 题级评测集在同一套指标下可直接合并统计，避免出现「新的评测说提升了、旧的评测说没变」这种无法裁决的局面。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1.3 必须规避的既有缺陷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既有评测在人工复核中暴露出一批问题，其中三项直接威胁本方案的可信度。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本方案把它们当作硬约束写进设计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，而不是当作偶发事故：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既有缺陷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源材料证据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本方案的规避约束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标准答案本身有问题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（占复核问题的 52%）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复核记录：「大部分是评测语料的标准问题」；「标准答案有问题」7 例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4.2 节：gold 要点必须逐条给出来源标注；4.1 节：双人独立标注 + 分歧仲裁；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标准答案先评审再用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坐标没对上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复核记录：「评估问题 14（坐标没对上 6）」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4.3 节：明确 offset 的字符集与起止语义，并要求提供自动化对齐校验脚本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评估指标计算问题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复核记录：「评估指标计算问题 8」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5.2 节：指标计算需单元自检（用已知答案构造样例验证分母口径），禁止直接复用未验证的计算代码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主观评价争议（啰嗦与否）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复核记录：「主观评价问题，啰嗦与否取决人评价偏好（28%）」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5.1 节：把「啰嗦」从全局题指标中剥离，单独列为体验项而非准确率项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模型打分不准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复核记录：「模型打分不准」1 例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5.1 节：LLM-as-judge 仅作初筛，全局题的主指标由要点覆盖度决定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2 题库设计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2.1 题型与配额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共 100 题，五类题型。配额设计说明：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多跳类配额最高（35 题）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，因为它同时服务「图谱增强检索 P1」的验收，一套题支撑两个决策。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900"/>
        <w:gridCol w:w="22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定义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建议配额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主要考察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query_type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全局主题归纳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跨多文档归纳同一主题的完整要求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社区摘要的覆盖度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跨文档对比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对多份文档的同类条款做差异对比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跨社区信息整合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分布与趋势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统计型、演进型问题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全局视图能力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多跳串联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需串联两个以上实体或条款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Local Search / HippoRAG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multi_hop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否定与排除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边界型问题，考察拒答与精确性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精确性与拒答质量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fact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2.2 知识库分布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题目分布在平台现有四个监管类知识库上，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不新建知识库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（保证与既有评测可比）：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语料规模（源材料）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题目数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占比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262 文件 / 121.6 万字符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49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45.4 万字符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23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23%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46.2 万字符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21.4 万字符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约 234 万字符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100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100%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color w:val="6B7684"/>
          <w:sz w:val="21"/>
          <w:szCs w:val="21"/>
        </w:rPr>
        <w:t xml:space="preserve">语料规模取自源材料统计：监管(银行) 压缩包 262 个文件、抽取 121.6 万字符，其余三个知识库按抽取字符量计。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题目分布与语料规模的匹配度需业务方确认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：当前分布向「监管(银行)」倾斜（因其语料量最大），若业务上更关注其他知识库，可在保持 100 题总量的前提下等量置换。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2.3 字段规范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题库以 `M0-评测题库.xlsx` 交付，字段在既有 `问答对.xlsx` 结构上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只新增两列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（标 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700"/>
        <w:gridCol w:w="3200"/>
        <w:gridCol w:w="23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必填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说明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与既有字段的关系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题号，如 G-01 / M-01 / N-01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题型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枚举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五类题型之一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扩展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（原为「简单概念类」等）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★ query_type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枚举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 / multi_hop / fact，用于分通路归因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枚举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四个监管知识库之一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（原 `label_source` 为文档级）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题目原文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枚举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易 / 中 / 难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★ gold_points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 要点集合，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覆盖度指标的分母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（原 `answer` 为整段答案，无法计算覆盖度）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label_source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出处文档名（可多个）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label_chunk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出处片段原文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沿用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offset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区间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片段在文档中的字符区间 [start, end]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沿用（语义见 4.3 节）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acceptable_sources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可接受出处范围（允许多个文档）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（避免唯一答案导致误判）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fail_if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一票否决条件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：出现即判 0 分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标注人 / 标注日期 / 标注状态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是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标注留痕，状态 ∈ {待标注, 已标注, 已复核, 有争议}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扩展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`fail_if` 是本方案新增的关键字段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。全局题与否定题的失效模式不是「答得少」，而是「答错方向」——例如 N-16 若把法定统筹使用情形误列为「不属于」范围，属于方向性错误，覆盖度算得再高也必须判 0。仅靠要点覆盖度无法捕捉这类失效，因此每题必须显式声明一票否决条件。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3 题目全量清单（100 题）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下列为题目全量清单。标注状态均为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待标注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；`gold_points` 与出处标注由业务方按第 4 章规范补齐，示范见 4.4 节。完整可标注版本见同目录 `M0-评测题库.xlsx`。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3.1 全局主题归纳（20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400"/>
        <w:gridCol w:w="700"/>
        <w:gridCol w:w="900"/>
        <w:gridCol w:w="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gold 要点数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现行监管制度对商业银行资本充足率提出了哪些方面的要求？请按监管指标、风险覆盖、信息披露三个层面归纳。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外资银行在我国设立与经营需要满足哪些方面的准入要求？请完整归纳准入环节。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关于农村中小银行机构的行政许可，监管规定了哪几类事项？请系统归纳。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银行卡清算机构的监管框架包含哪些核心制度安排？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我国对银行业金融机构的国别风险管理提出了哪些管理要求？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支付结算系统危机处置预案对参与机构规定了哪些职责？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现行制度对涉及恐怖活动资产的冻结管理有哪些要求？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我国银行业监管制度的法律层级体系是怎样的（法律—行政法规—部门规章—规范性文件）？请按层级归纳并举例。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商业银行公司治理监管包含哪些核心要求？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现行制度对商业银行的信息披露提出了哪些要求？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保险保障基金的筹集、管理和使用制度包含哪些要点？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G-09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保险法对保险公司的资金运用规定了哪些约束？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保险资金运用监管框架包含哪些核心约束？请按投资品种与比例限制两个维度归纳。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信贷业务监管制度对贷款风险分类提出了哪些要求？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监管对商业银行授信集中度管理有哪些规定？请完整归纳。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关于贷款用途管理，监管制度提出了哪些要求？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监管对个人贷款与流动资金贷款的管理要求有哪些差异与共性？请完整归纳。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金融资产管理公司的业务范围与监管要求包含哪些方面？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G-14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非银行金融机构的行政许可事项包括哪些类别？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G-20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我国对金融机构市场准入的监管架构包含哪些层次？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3.2 跨文档对比（15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400"/>
        <w:gridCol w:w="700"/>
        <w:gridCol w:w="900"/>
        <w:gridCol w:w="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gold 要点数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《商业银行法》与《银行业监督管理法》在监管职责划分上有何差异？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《外资银行管理条例》与其《实施细则》在准入条件上的规定有何分工？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《中国人民银行法》与《商业银行法》在监管对象与手段上有何区别？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内资商业银行与外资银行在设立条件上的监管要求有何差异？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《农村中小银行机构行政许可事项实施办法》与《非银行金融机构行政许可事项实施办法》在许可事项上的异同？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政策性银行监管（以中国农业发展银行为例）与商业银行监管在制度设计上有何差异？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银行卡清算机构与商业银行在监管要求上的差异体现在哪些方面？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我国对中资银行与外资银行在报告义务上的要求有何差异？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流动资金贷款与固定资产贷款在受托支付要求上有何差异？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个人贷款与流动资金贷款在贷后管理要求上有何差异？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信贷业务与同业业务在风险分类要求上的差异？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C-09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《保险法》与《保险保障基金管理办法》在基金相关规定上的分工如何？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保险公司与商业银行在资本监管要求上有何差异？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金融资产管理公司与银行机构在业务准入上的差异？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C-15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涉及恐怖活动资产冻结与一般账户冻结在程序要求上有何差异？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3.3 分布与趋势（10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400"/>
        <w:gridCol w:w="700"/>
        <w:gridCol w:w="900"/>
        <w:gridCol w:w="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gold 要点数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知识库中涉及「行政许可」的监管文件主要分布在哪些制度层级？请归纳其分布特征。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知识库中对「信息披露」的强调程度如何？覆盖了哪些类型的机构？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从制度演进看，外资银行监管条例的修订主要体现在哪些方面？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知识库中罚款、警告等处罚类条款主要分布在哪些文件中？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现行监管制度中，报告义务的频次要求有哪些不同档次？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知识库中信贷类监管文件对「受托支付」的提及集中在哪些业务类型？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T-10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知识库中「贷后管理」相关要求主要出现在哪几类制度文件中？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保险监管相关文件中，关于资金运用与关于偿付能力的要求分布如何？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保险保障基金相关条款在知识库中的分布情况如何（哪些文件涉及）？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T-08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知识库中非银行金融机构相关文件涵盖哪些机构类型？请按类型归纳。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3.4 多跳串联（35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400"/>
        <w:gridCol w:w="700"/>
        <w:gridCol w:w="900"/>
        <w:gridCol w:w="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gold 要点数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《保险法》要求保险公司缴纳保险保障基金，配套的《保险保障基金管理办法》对基金的统筹使用情形是如何规定的？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《保险法》规定保险保障基金的筹集、管理和使用办法由谁制定？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《保险法》中「未按照规定缴纳保险保障基金」属于哪一类违法行为，对应哪些处置措施？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保险公司资金运用比例限制，与保险保障基金的运用规定有何区别与联系？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《商业银行法》规定的违法行为，其在《银行业监督管理法》中的处罚衔接是如何规定的？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设立外资银行的注册资本要求，在《外资银行管理条例实施细则》中是如何进一步细化的？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《中国人民银行法》赋予人民银行的检查监督权，在《银行业监督管理法》中是否有对应表述？两者差异是什么？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农村中小银行机构设立需取得行政许可，其上位法依据是哪部法律？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涉及恐怖活动资产冻结的监管要求，其法律依据可追溯至哪些文件？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M-09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《银行卡清算机构管理办法》的制定依据是哪部上位法？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《中国农业发展银行监督管理办法》中关于资本充足的要求，与商业银行资本监管要求在口径上有何联系？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外资银行变更注册资本需要经过哪些程序？涉及哪些文件与条款？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商业银行在证券交易所参与债券交易需满足哪些条件？依据哪个文件？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《支付结算系统危机处置预案》中，参与机构在发生系统危机时的报告路径是什么？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《银行业监督管理法》授权的监管措施，在具体业务规章中如何落地（以银行卡清算机构为例）？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外资银行经营人民币业务的准入条件，涉及《外资银行管理条例》与实施细则的哪些条款？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农村中小银行机构的市场退出，涉及哪些许可事项与上位法条款？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商业银行资本管理办法对资本充足率的要求，与《银行业监督管理法》的监管措施如何联动？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国别风险管理的监管要求，与商业银行资本监管中的国别风险权重有何关联？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银行业金融机构的报告义务，在《银行业监督管理法》与具体业务规章中的要求如何分层？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贷款风险分类的监管要求，在贷后管理相关规定中如何落实？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受托支付的适用条件，在流动资金贷款与固定资产贷款规定中分别如何表述？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M-19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授信集中度超限的处置，在监管制度中对应哪些整改要求？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贷款用途违规使用，对应的罚则条款出现在哪些文件中？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个人贷款的资金用途限制，与《商业银行法》关于信贷业务的规定如何衔接？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信贷资产转让的监管要求，其上位法依据是什么？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贷款展期的条件与审批要求，涉及哪些条款？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不良贷款处置的监管要求，与资本充足率监管有何关联？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信贷业务中的关联交易管理，涉及哪些监管文件与条款？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《保险保障基金管理办法》中基金的筹集比例，与《保险法》相关规定如何衔接？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金融资产管理公司的设立许可，依据哪部规章？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非银行金融机构的行政许可事项，其上位法依据是什么？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M-29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外资银行并表监管要求，涉及哪些文件与条款？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涉及恐怖活动资产冻结的机构义务，与非银行金融机构的合规要求如何衔接？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M-35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非银行金融机构终止业务需履行的程序，涉及哪些许可事项与上位法条款？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3.5 否定与排除（20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400"/>
        <w:gridCol w:w="700"/>
        <w:gridCol w:w="900"/>
        <w:gridCol w:w="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题目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知识库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gold 要点数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哪些情形不属于《商业银行法》规定的商业银行经营范围？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外资银行不得经营的业务有哪些？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哪些机构不属于《银行业监督管理法》的监管对象？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哪些事项不属于农村中小银行机构需申请行政许可的范围？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哪些情形不适用《支付结算系统危机处置预案》？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哪些资产不属于涉及恐怖活动资产冻结的范围？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哪些主体不适用《外国中央银行财产司法强制措施豁免法》的豁免规定？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哪些业务不属于银行卡清算机构的业务范围？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N-09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哪些情形不属于《外资银行管理条例》所称的外资银行？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哪些行为不属于《中国人民银行法》规定的违法行为？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监管(银行)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N-11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哪些贷款不属于受托支付方式的适用范围？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哪些情形不属于贷款风险分类中的「不良」？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哪些用途不属于流动资金贷款的合法用途？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哪些主体不属于个人贷款业务的适格借款人？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哪些情形不属于信贷资产转让的允许范围？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监管(信贷)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N-16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哪些情形不属于保险保障基金的统筹使用范围？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N-17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哪些资金运用方式不属于《保险法》允许的范围？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法律法规场景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N-18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哪些机构不属于非银行金融机构？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N-19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哪些事项不属于金融资产管理公司的业务范围？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N-20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哪些情形不属于国别风险管理的适用范围？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监管(金融机构)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待标注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4 标注规范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4.1 标注流程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题目评审（先于标注）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：100 题先经业务方评审「是否符合真实业务问法」，剔除或替换不合规题目。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此步不可跳过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——源材料复核记录显示「标准答案有问题」占 52%，说明既有题库的题目与答案质量本身就是主要误差源。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双人独立标注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：业务方 + 算法方各一人独立完成 `gold_points` 与出处标注，互不参照。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分歧仲裁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：两人标注结果差异超过 1 条要点的题目，进入三方（含提问者本人）讨论定稿。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标注复核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：定稿后由第三人做随机 20% 抽检，通过率低于 90% 则整批返回。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版本固化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：定稿后写入版本号（如 `global_eval_v1.0`）并冻结；后续任何修改需新版本号，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禁止原地改题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，否则历史结论不可比。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4.2 gold 要点规范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规则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要求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违反后果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要点数量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全局类 3~7 条，多跳类 2~4 条，否定类 2~3 条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要点过细会导致覆盖度普遍偏低，失去区分度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要点独立性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每条要点对应一个可独立判断的信息单元，不得互相包含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重复计分，覆盖度虚高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要点可判定性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两个标注人独立判断某条要点「是否被回答覆盖」的结论应一致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覆盖度指标不可复现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要点必须带来源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每条要点标注其来源文档（对应 `label_source`）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无法判断是答错还是召回到错文档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允许合理多正例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同一要点可由多个文档的片段支撑，全部列入 `acceptable_sources`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误判为未召回（源材料已记录此类误判：召回 0 的 79 题中存在「知识库中不止一处，只标注了 a」）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4.3 出处标注与 offset 语义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源材料复核记录中「坐标没对上」6 例、「知识库中不止一处，只标注了 a」的误判已实际发生。为消除歧义，规定如下：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offset 以 Unicode 码点（字符）为单位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，不是字节。中文占 1 个字符——这是与既有实现最易产生分歧的一点，必须先与既有 `指标_results.csv` 的计算口径对齐后再全量标注。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区间为左闭右开 [start, end)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，`start` 指向片段首字符，`end` 指向片段末字符的下一位。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offset 相对解析后文本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，而非原始 PDF 或 docx 字节流。因解析器版本变化会导致偏移漂移，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标注时必须记录解析器版本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必须提供自动化对齐校验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：交付一个校验脚本，输入 (文档, offset)，回读该区间并与 `label_chunk` 做包含性断言。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全部题目必须通过该校验后才可进入评测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——这是针对既有「坐标没对上」缺陷的强制执行手段。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多正例必须全部标注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：若同一问题在知识库中有多处可支撑片段，全部列入；只标一处会导致 recall 被系统性低估。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4.4 标注示例（3 例完整标注）</w:t>
      </w: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color w:val="6B7684"/>
          <w:sz w:val="21"/>
          <w:szCs w:val="21"/>
        </w:rPr>
        <w:t xml:space="preserve">下列 3 例覆盖三种 query_type，作为标注规范的具体示范。其余 97 题由业务方按同一规范补齐。</w:t>
      </w:r>
    </w:p>
    <w:p>
      <w:pPr>
        <w:pStyle w:val="Heading3"/>
        <w:spacing w:after="120" w:before="220"/>
      </w:pPr>
      <w:r>
        <w:rPr>
          <w:rFonts w:ascii="Arial" w:eastAsia="微软雅黑" w:hAnsi="Arial"/>
          <w:b/>
          <w:bCs/>
          <w:color w:val="1F4E79"/>
          <w:sz w:val="23"/>
          <w:szCs w:val="23"/>
        </w:rPr>
        <w:t xml:space="preserve">示例：M-01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question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《保险法》要求保险公司缴纳保险保障基金，配套的《保险保障基金管理办法》对基金的统筹使用情形是如何规定的？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query_type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multi_hop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难度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gold_points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1. 《保险法》规定保险公司应当缴纳保险保障基金（来源：保险法）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2. 保险保障基金应集中管理（来源：保险法）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3. 统筹使用情形之一：保险公司被撤销或者被宣告破产（来源：保险保障基金管理办法）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 统筹使用情形之二：在保险公司被撤销或者被宣告破产后，为向保单持有人、保单受让公司提供救济（来源：保险保障基金管理办法）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 统筹使用情形之三：国务院批准的其他情形（来源：保险保障基金管理办法）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acceptable_sources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保险法（相关条款） / 保险保障基金管理办法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fail_if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仅答出《保险法》的缴纳义务而未给出管理办法中的统筹使用情形（＝只完成一跳）</w:t>
            </w:r>
          </w:p>
        </w:tc>
      </w:tr>
    </w:tbl>
    <w:p>
      <w:pPr>
        <w:spacing w:after="100"/>
      </w:pPr>
    </w:p>
    <w:p>
      <w:pPr>
        <w:pStyle w:val="Heading3"/>
        <w:spacing w:after="120" w:before="220"/>
      </w:pPr>
      <w:r>
        <w:rPr>
          <w:rFonts w:ascii="Arial" w:eastAsia="微软雅黑" w:hAnsi="Arial"/>
          <w:b/>
          <w:bCs/>
          <w:color w:val="1F4E79"/>
          <w:sz w:val="23"/>
          <w:szCs w:val="23"/>
        </w:rPr>
        <w:t xml:space="preserve">示例：G-01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question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现行监管制度对商业银行资本充足率提出了哪些方面的要求？请按监管指标、风险覆盖、信息披露三个层面归纳。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query_type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难度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gold_points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1. 监管指标层面：最低资本要求、储备资本要求、逆周期资本要求等分档要求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2. 风险覆盖层面：信用风险、市场风险、操作风险等的资本计量要求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3. 风险覆盖层面：国别风险等特定风险是否纳入资本计量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 信息披露层面：资本充足率相关信息的披露义务与频次要求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 监管联动：资本充足率不达标时对应的监管措施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acceptable_sources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商业银行资本管理办法 / 银行业监督管理法 / 银行业金融机构国别风险管理办法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fail_if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只覆盖单一层面，或未给出各层面之间的层次关系（覆盖度按 5 条要点计分）</w:t>
            </w:r>
          </w:p>
        </w:tc>
      </w:tr>
    </w:tbl>
    <w:p>
      <w:pPr>
        <w:spacing w:after="100"/>
      </w:pPr>
    </w:p>
    <w:p>
      <w:pPr>
        <w:pStyle w:val="Heading3"/>
        <w:spacing w:after="120" w:before="220"/>
      </w:pPr>
      <w:r>
        <w:rPr>
          <w:rFonts w:ascii="Arial" w:eastAsia="微软雅黑" w:hAnsi="Arial"/>
          <w:b/>
          <w:bCs/>
          <w:color w:val="1F4E79"/>
          <w:sz w:val="23"/>
          <w:szCs w:val="23"/>
        </w:rPr>
        <w:t xml:space="preserve">示例：N-16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字段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question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哪些情形不属于保险保障基金的统筹使用范围？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query_type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fact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难度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gold_points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1. 统筹使用范围限于法定情形（被撤销/被宣告破产、救济保单持有人与受让公司、国务院批准的其他情形）</w:t>
            </w:r>
          </w:p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2. 不属统筹范围的情形需明确排除（如保险公司正常经营期间的常规赔付不得动用基金）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acceptable_sources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保险保障基金管理办法 / 保险法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fail_if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把法定统筹使用情形误列为「不属于」范围（方向性错误，判 0 分）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5 评测指标与计算口径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5.1 指标体系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000"/>
        <w:gridCol w:w="1200"/>
        <w:gridCol w:w="21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口径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适用题型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采集方式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事实层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答案准确率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结论与 gold 要点一致的比例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LLM-as-judge 初筛（百川4，沿用）→ 人工复核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事实层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召回命中率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 出处是否出现在返回引用中；多正例按「命中任一即算命中」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自动比对 `acceptable_sources`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全局层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要点覆盖度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被覆盖的 gold 要点数 / gold 要点总数（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全局题主指标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 / multi_hop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LLM-as-judge 初筛 → 人工复核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全局层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一票否决率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触发 `fail_if` 的题目占比（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与覆盖度并列，不可互相抵消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人工判定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归因完整率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答案中带可点开原文出处的结论占比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自动校验引用链完整性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矛盾暴露率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存在冲突材料时是否显式暴露（而非静默取一）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global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人工评审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拒答层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正确拒答率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不可答题与越界题上正确拒答的比例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否定与排除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人工判定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成本层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单题 LLM 调用次数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路由 + map + reduce 的调用总数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链路埋点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成本层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P95 端到端 / 首字延迟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含路由与多通路耗时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链路埋点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体验层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啰嗦度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单列，不计入准确率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人工主观评分（仅作体验参考）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两处刻意的口径设计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：①「要点覆盖度」与「一票否决率」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并列而非加权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——不存在「答错方向但覆盖了 4 个要点所以得 40 分」这种算法，触发 fail_if 的题目在覆盖度统计中直接判 0；②「啰嗦度」从准确率中剥离——源材料显示复核者对此分歧最大（28% 的主观评价问题），把它混入准确率会污染决策依据。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5.2 指标计算的自检要求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源材料复核记录中「评估指标计算问题」8 例，说明指标实现本身不可信。本方案要求：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任何评测指标在投入使用前，必须用已知答案构造的样例集通过自检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。自检用例至少覆盖：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全覆盖正例：答案完整覆盖全部 gold 要点 → 覆盖度必须为 100%。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零覆盖负例：答案与题目无关 → 覆盖度必须为 0%。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多正例召回：同一要点由两个文档支撑，只召回其中一个 → 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必须计为命中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（针对既有误判）。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定向错误负例：触发 `fail_if` → 覆盖度必须为 0%，且一票否决率必须计入。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边界示例：答案覆盖部分要点（如 3/5）→ 覆盖度必须为 60%，不得因四舍五入或分数口径偏差漂移。</w:t>
      </w: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color w:val="6B7684"/>
          <w:sz w:val="21"/>
          <w:szCs w:val="21"/>
        </w:rPr>
        <w:t xml:space="preserve">该自检用例集本身也是交付物，需随题库一并版本化。</w:t>
      </w: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未通过自检的指标不得用于门控判定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——否则 M0 的结论与 M4 的裁定都建立在错误的分母上，这比没有评测更危险。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6 基线测量方案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6.1 测量对象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color w:val="1A1A1A"/>
          <w:sz w:val="21"/>
          <w:szCs w:val="21"/>
        </w:rPr>
        <w:t xml:space="preserve">对 100 题各跑一遍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当前线上召回配置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，不做任何改造（不接通图谱、不改切分、不改 rerank）。测量对象为现有「关键词 + 向量」融合通路，作为门控判定的基线。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基线取值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召回通路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关键词 + 向量融合（现有线上配置）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不启用图谱通路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，即 enabled_graph = false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推理模型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线上主用模型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记录模型版本，后续所有对比必须同模型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解析器版本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当前线上版本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必须记录，因 offset 语义与解析器版本绑定（见 4.3 节）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切分策略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当前线上策略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记录 chunk 大小与重叠参数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并发与超时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线上同配置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用于成本层指标采集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6.2 执行方式</w:t>
      </w:r>
    </w:p>
    <w:p>
      <w:pPr>
        <w:pStyle w:val="ListParagraph"/>
        <w:numPr>
          <w:ilvl w:val="0"/>
          <w:numId w:val="4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离线批量执行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：复用现有离线算法服务批次跑完 100 题，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不占用在线问答资源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完整埋点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：每题记录返回的 `search_type` 分布、引用列表、单题 LLM 调用次数、首字与端到端延迟。这是「分通路归因」的数据来源，缺失则该题不计入统计。</w:t>
      </w:r>
    </w:p>
    <w:p>
      <w:pPr>
        <w:pStyle w:val="ListParagraph"/>
        <w:numPr>
          <w:ilvl w:val="0"/>
          <w:numId w:val="4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自动初筛 + 人工复核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：LLM-as-judge 输出初筛结果与覆盖度，人工复核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全量 100 题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（题量不大，全量复核比抽检更可靠，且这 100 题将成为后续所有迭代的固定回归集）。</w:t>
      </w:r>
    </w:p>
    <w:p>
      <w:pPr>
        <w:pStyle w:val="ListParagraph"/>
        <w:numPr>
          <w:ilvl w:val="0"/>
          <w:numId w:val="4"/>
        </w:numPr>
        <w:spacing w:after="60" w:line="330" w:lineRule="auto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双跑稳定性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：基线测量</w:t>
      </w: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至少执行 2 次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，两次结果差异超过 5 个百分点的题目标记为「不稳定」，需排查是随机性还是链路问题。</w:t>
      </w:r>
    </w:p>
    <w:p>
      <w:pPr>
        <w:pStyle w:val="Heading2"/>
        <w:spacing w:after="140" w:before="280"/>
      </w:pPr>
      <w:r>
        <w:rPr>
          <w:rFonts w:ascii="Arial" w:eastAsia="微软雅黑" w:hAnsi="Arial"/>
          <w:b/>
          <w:bCs/>
          <w:color w:val="123A5E"/>
          <w:sz w:val="26"/>
          <w:szCs w:val="26"/>
        </w:rPr>
        <w:t xml:space="preserve">6.3 交付产出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产出物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格式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基线测量报告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docx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各题型覆盖度、一票否决率、召回命中率、成本指标；分知识库切片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逐题结果明细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xlsx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每题的回答、引用、覆盖度、fail_if 触发情况、人工判定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指标计算自检记录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md / xlsx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5.2 节样例集的通过记录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Go / No-Go 门控表（已签字）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docx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见第 7 章，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先签字后开封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固定回归集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xlsx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100 题 + 标注 + 基线结果，作为后续迭代的回归基线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7 Go / No-Go 门控表（签字页）</w:t>
      </w:r>
    </w:p>
    <w:p>
      <w:pPr>
        <w:spacing w:after="120" w:line="340" w:lineRule="auto"/>
        <w:jc w:val="both"/>
      </w:pPr>
      <w:r>
        <w:rPr>
          <w:rFonts w:ascii="Times New Roman" w:eastAsia="宋体" w:hAnsi="Times New Roman"/>
          <w:b/>
          <w:bCs/>
          <w:color w:val="1A1A1A"/>
          <w:sz w:val="21"/>
          <w:szCs w:val="21"/>
        </w:rPr>
        <w:t xml:space="preserve">使用方式：本表在任何测量开始前填写并签字封存，M4 阶段开封对照。</w:t>
      </w:r>
      <w:r>
        <w:rPr>
          <w:rFonts w:ascii="Times New Roman" w:eastAsia="宋体" w:hAnsi="Times New Roman"/>
          <w:color w:val="1A1A1A"/>
          <w:sz w:val="21"/>
          <w:szCs w:val="21"/>
        </w:rPr>
        <w:t xml:space="preserve">次序不可颠倒——源材料已记录平台多次「优化了但无法证明收益」的先例，先测数字再定门槛必然得出「值得做」的结论。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00"/>
        <w:gridCol w:w="2100"/>
        <w:gridCol w:w="1300"/>
        <w:gridCol w:w="7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门控项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阈值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观察题型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达标动作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未达标动作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裁决人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要点覆盖度 &lt; 50%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全局主题归纳 + 跨文档对比 + 分布与趋势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进 M3 社区摘要 POC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见门控 1b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产品 + 算法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 1b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基线覆盖度 50%~70%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同上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先做轻量改造（查询改写 / 多查询扩展 / 结果聚合），复测再定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≥ 70% 则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不引入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 GraphRAG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产品 + 算法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 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HippoRAG 相对基线</w:t>
            </w: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多跳题提升 ≥ 10 个百分点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多跳串联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接通路（P1 按计划推进）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不接通路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，避免为不显著收益增加系统复杂度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算法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 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一票否决率 ≤ 5%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通路可灰度上线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不得上线，先修拒答与方向性错误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产品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 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分通路埋点完整率 = 100%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全部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统计结论有效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统计结论无效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，先补埋点再评测</w:t>
            </w:r>
          </w:p>
        </w:tc>
        <w:tc>
          <w:tcPr>
            <w:tcW w:type="dxa" w:w="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算法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确认项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基线测量执行人 / 日期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＿＿＿＿＿＿＿＿＿＿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门控表签字（产品） / 日期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＿＿＿＿＿＿＿＿＿＿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门控表签字（算法） / 日期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＿＿＿＿＿＿＿＿＿＿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封存方式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签字后并入 M0 交付包，M4 阶段开封对照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8 里程碑与分工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800"/>
        <w:gridCol w:w="1600"/>
        <w:gridCol w:w="22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任务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周期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责任方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题目评审（剔除/替换不合真实问法的题目）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业务方主导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评审通过版 100 题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双人独立标注 + 分歧仲裁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业务方 + 算法方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gold_points 与出处标注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offset 对齐校验脚本 + 全量校验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算法方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校验脚本 + 通过记录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指标计算实现 + 自检用例集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算法方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指标实现 + 5.2 节自检记录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门控表签字封存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产品 + 算法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签字页（第 7 章）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基线测量（2 次）+ 人工全量复核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3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算法方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基线报告 + 逐题明细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M0-7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基线结论评审 + 门控裁决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 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产品 + 算法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裁决纪要（回写《详细设计》14.5 / 15.2）</w:t>
            </w:r>
          </w:p>
        </w:tc>
      </w:tr>
    </w:tbl>
    <w:p>
      <w:pPr>
        <w:spacing w:after="100"/>
      </w:pPr>
    </w:p>
    <w:p>
      <w:pPr>
        <w:spacing w:after="120" w:line="320" w:lineRule="auto"/>
        <w:ind w:left="240"/>
      </w:pPr>
      <w:r>
        <w:rPr>
          <w:rFonts w:ascii="Times New Roman" w:eastAsia="宋体" w:hAnsi="Times New Roman"/>
          <w:b/>
          <w:bCs/>
          <w:color w:val="6B7684"/>
          <w:sz w:val="21"/>
          <w:szCs w:val="21"/>
        </w:rPr>
        <w:t xml:space="preserve">M0-5 必须在 M0-6 之前完成</w:t>
      </w:r>
      <w:r>
        <w:rPr>
          <w:rFonts w:ascii="Times New Roman" w:eastAsia="宋体" w:hAnsi="Times New Roman"/>
          <w:color w:val="6B7684"/>
          <w:sz w:val="21"/>
          <w:szCs w:val="21"/>
        </w:rPr>
        <w:t xml:space="preserve">，这是本方案唯一的强次序约束。总周期约 2 周（可并行部分已并行）。M0-3 与 M0-4 可与 M0-1 / M0-2 并行，不占关键路径。</w:t>
      </w:r>
    </w:p>
    <w:p>
      <w:pPr>
        <w:pStyle w:val="Heading1"/>
        <w:pBdr>
          <w:bottom w:val="single" w:color="2E75B6" w:sz="8" w:space="4"/>
        </w:pBdr>
        <w:spacing w:after="200" w:before="320"/>
      </w:pPr>
      <w:r>
        <w:rPr>
          <w:rFonts w:ascii="Arial" w:eastAsia="微软雅黑" w:hAnsi="Arial"/>
          <w:b/>
          <w:bCs/>
          <w:color w:val="0F2B46"/>
          <w:sz w:val="30"/>
          <w:szCs w:val="30"/>
        </w:rPr>
        <w:t xml:space="preserve">9 风险登记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100"/>
        <w:gridCol w:w="32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风险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影响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23A5E"/>
                <w:sz w:val="21"/>
                <w:szCs w:val="21"/>
              </w:rPr>
              <w:t xml:space="preserve">应对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标准答案本身有问题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（既有复核记录中占 52%）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覆盖度指标失真，门控裁决建立在错误分母上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题目评审前置（M0-1）+ 双人标注 + 20% 抽检 + fail_if 显式声明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offset 坐标对不上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（既有 6 例）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召回命中率被系统性低估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4.3 节统一语义 + 自动化对齐校验脚本作为准入条件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指标计算实现有误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（既有 8 例）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结论不可信，比没有评测更危险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5.2 节强制自检用例集，未通过不得用于门控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标注人力不足导致周期延长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 阻塞 M2 / M3 的决策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题目评审阶段先做等量置换，控制总量在 100 题；M0-3/M0-4 并行吸收等待时间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题目分布与业务关注度不匹配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测了不关心的题，关心的题没测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2.2 节分布表需业务方确认；可在总量不变前提下等量置换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评测集随迭代漂移，历史结论不可比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无法纵向对比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4.1 节版本固化，禁止原地改题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M0R-07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b/>
                <w:bCs/>
                <w:color w:val="1A1A1A"/>
                <w:sz w:val="21"/>
                <w:szCs w:val="21"/>
              </w:rPr>
              <w:t xml:space="preserve">先测数字后定门槛</w:t>
            </w: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（次序颠倒）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门控失效，重演「优化了但证明不了」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 w:lineRule="auto"/>
            </w:pPr>
            <w:r>
              <w:rPr>
                <w:rFonts w:ascii="Times New Roman" w:eastAsia="宋体" w:hAnsi="Times New Roman"/>
                <w:color w:val="1A1A1A"/>
                <w:sz w:val="21"/>
                <w:szCs w:val="21"/>
              </w:rPr>
              <w:t xml:space="preserve">第 7 章签字封存机制；M0-5 强制早于 M0-6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7F7F7F"/>
        <w:sz w:val="16"/>
        <w:szCs w:val="16"/>
      </w:rPr>
      <w:t xml:space="preserve">第 </w:t>
    </w:r>
    <w:r>
      <w:rPr>
        <w:rFonts w:ascii="Times New Roman" w:eastAsia="宋体" w:hAnsi="Times New Roman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7F7F7F"/>
        <w:sz w:val="16"/>
        <w:szCs w:val="16"/>
      </w:rPr>
      <w:t xml:space="preserve"> 页 / 共 </w:t>
    </w:r>
    <w:r>
      <w:rPr>
        <w:rFonts w:ascii="Times New Roman" w:eastAsia="宋体" w:hAnsi="Times New Roman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7F7F7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Arial" w:eastAsia="微软雅黑" w:hAnsi="Arial"/>
        <w:color w:val="7F7F7F"/>
        <w:sz w:val="16"/>
        <w:szCs w:val="16"/>
      </w:rPr>
      <w:t xml:space="preserve">M0 评测集与基线测量方案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75B6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eastAsia="微软雅黑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eastAsia="微软雅黑" w:hAnsi="Arial"/>
      <w:b/>
      <w:bCs/>
      <w:color w:val="123A5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eastAsia="微软雅黑" w:hAnsi="Arial"/>
      <w:b/>
      <w:bCs/>
      <w:color w:val="1F4E7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eastAsia="微软雅黑" w:hAnsi="Arial"/>
      <w:b/>
      <w:bCs/>
      <w:color w:val="0F2B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eastAsia="微软雅黑" w:hAnsi="Arial"/>
      <w:b/>
      <w:bCs/>
      <w:color w:val="123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eastAsia="微软雅黑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 评测集与基线测量方案</dc:title>
  <dc:creator>产品经理 / 架构师</dc:creator>
  <dc:description>全局总结类与多跳评测集设计 · 标注规范 · Go / No-Go 门控</dc:description>
  <cp:lastModifiedBy>Un-named</cp:lastModifiedBy>
  <cp:revision>1</cp:revision>
  <dcterms:created xsi:type="dcterms:W3CDTF">2026-10-14T14:46:43.419Z</dcterms:created>
  <dcterms:modified xsi:type="dcterms:W3CDTF">2026-10-14T14:46:43.420Z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