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pBdr>
          <w:bottom w:val="single" w:color="2E75B6" w:sz="12" w:space="10"/>
        </w:pBdr>
        <w:spacing w:after="160"/>
        <w:jc w:val="center"/>
      </w:pPr>
      <w:r>
        <w:rPr>
          <w:rFonts w:ascii="Arial" w:eastAsia="微软雅黑" w:hAnsi="Arial"/>
          <w:b/>
          <w:bCs/>
          <w:color w:val="0F2B46"/>
          <w:sz w:val="48"/>
          <w:szCs w:val="48"/>
        </w:rPr>
        <w:t xml:space="preserve">M1 实体类型体系与归一化方案</w:t>
      </w:r>
    </w:p>
    <w:p>
      <w:pPr>
        <w:spacing w:after="700" w:before="240"/>
        <w:jc w:val="center"/>
      </w:pPr>
      <w:r>
        <w:rPr>
          <w:rFonts w:ascii="Arial" w:eastAsia="微软雅黑" w:hAnsi="Arial"/>
          <w:color w:val="40536B"/>
          <w:sz w:val="26"/>
          <w:szCs w:val="26"/>
        </w:rPr>
        <w:t xml:space="preserve">类型体系 v1.0 · 自动类型推断 · 别名合并与审计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RAG-ALG-GRAG-M1-001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版本 / 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V1.0 / 待评审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上游依据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《GraphRAG 引入技术方案》3.2 节、M1 里程碑；D-01 裁定后无条件执行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交付物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类型体系定义、实体别名表、合并审计日志、分裂率验收报告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覆盖范围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图服务实体抽取链路（prompts / graph_extract / graph_fun_tool）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数据源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贺亮-大模型RAG产品（本地规范位置，145 份素材）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Arial" w:eastAsia="微软雅黑" w:hAnsi="Arial"/>
          <w:b/>
          <w:bCs/>
          <w:color w:val="0F2B46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1 方案定位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1.1 为什么这是最优先事项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《详细设计》4.5.3 节与《GraphRAG 引入技术方案》3.2 节均把实体类型体系判定为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图谱能力的最大瓶颈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。源材料中图服务文档的原话是：「现在实体抽取需提供实体类型，这个是在抽取前配置的，手动整理，如果不添加将启用默认」。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这句话包含两个独立缺陷，需要分别处置：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4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缺陷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现状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直接后果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本文档处置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类型体系不可扩展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实体类型在抽取前手工整理，新增知识库无人整理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新知识库只能落到「默认类型」，类型约束失效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第 2 章：版本化的类型体系 v1.0 + 第 3 章自动推断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「默认类型」是一口黑洞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不添加类型即启用默认，所有实体落入同一类型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实体分裂无法被类型约束拦截；别名合并的「同类型」前置条件失效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2.5 节：默认类型收窄为「未分类」，并强制进入待人工队列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同一实体被赋予不同类型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不同标注人对同一实体给出不同类型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实体分裂，社区被人为割裂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第 4 章：归一化与别名合并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为什么它必须先于 GraphRAG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：社区检测对图的连通性极其敏感。若「国家金融监督管理总局」与「金融监管总局」是两个节点，社区会被人为割裂，摘要质量随之下降。更严重的是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效果归因会被污染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——POC 测出来的差异分不清是社区摘要的贡献还是实体分裂的噪声。因此 M1 是 M3 的强制前置（《GraphRAG 引入技术方案》GR-02）。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1.2 与既有实现的关系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2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既有资产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现状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本方案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实体抽取链路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图服务 prompts（实体抽取 + query 解析）、graph_extract.py、graph_fun_tool.py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复用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，在抽取 prompt 中注入类型体系与推断结果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实体 / 关系存储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Milvus graph_base 库：每知识库实体表 + 三元组表（name / title / file_id / chunk_pk_list / description / data_type）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复用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，`type` 字段取值改为类型码（2.3 节），并新增别名指向字段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图存储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Nebula 图空间（前缀 g_），entity 节点含 name / title / file_id / type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复用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，type 同步改为类型码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默认类型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不添加则启用默认（单一类型）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改造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：收窄为「未分类」并强制人工兜底（2.5 节）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2 实体类型体系 v1.0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2.1 设计原则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领域化分层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：类型按「领域 → 大类 → 细类」组织。首版只覆盖金融监管域（与四个监管知识库对齐），其他领域（化工、医疗等）预留扩展位，不预先铺开。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可判定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：任一类型必须能被两条判据之一判定——要么有明确的命名模式，要么能由实体 description 语义判定。无法判定的类型不进入体系。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可版本化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：类型体系整体带版本号，任何变更需重新索引（Milvus schema 不可变更，「先删后增」是既有约定）。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可扩展不破坏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：新增细类不得改变已有类型码的语义；类型码一经发布不可复用。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参与性标注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：每个类型必须显式声明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是否参与社区检测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（2.3 节末列），这是社区质量的关键开关。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2.2 体系结构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6 大类、27 个细类。类型码形如 `PTY-REG`，前缀为大类缩写：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300"/>
        <w:gridCol w:w="1000"/>
        <w:gridCol w:w="27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大类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缩写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含义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细类数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是否参与社区检测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主体类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监管与被监管的机构、人员、客户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是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（情境除外）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规范类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法律法规、规章、条款、罚则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业务品种、贷款类型、业务行为与环节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度量类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监管指标、限额、金额、期限、频次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RSK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风险类别、风险事件、处置措施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情境类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时间、地域、表格附件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否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（见 2.3 节说明）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「情境类不参与社区检测」是本节最重要的设计决定。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 时间（2024 年、施行之日）与地域（境外、中国香港）如果参与社区划分，会把图按时间和地域切碎，产生「2024 年的社区」「境外相关社区」这类无业务意义的划分，直接损害摘要可用性。G「分布与趋势」类题目需要时间信息时，应当通过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查询期过滤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而非索引期切分来满足。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2.3 类型定义表（v1.0）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600"/>
        <w:gridCol w:w="2200"/>
        <w:gridCol w:w="1600"/>
        <w:gridCol w:w="7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类型码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定义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正例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反例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参与社区检测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PTY-REG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监管机构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依法对金融机构实施监督管理的机关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国家金融监督管理总局、中国人民银行、中国证监会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中国工商银行（是被监管者）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PTY-TGT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被监管机构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受监管的银行及非银行金融机构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商业银行、农村中小银行机构、外资银行、金融资产管理公司、银行卡清算机构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国家金融监督管理总局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PTY-PER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从业人员与责任人员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机构从业人员及承担责任的个人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董事、监事、高级管理人员、直接责任人员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机构名称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PTY-CUS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客户与投资者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金融业务的交易对手方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存款人、借款人、保单持有人、投资者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银行本身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PTY-OTH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其他主体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为金融机构提供服务或承担专业职能的第三方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会计师事务所、第三方支付机构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监管机构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NOR-LAW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全国人大及其常委会制定的规范性文件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中国人民银行法、商业银行法、银行业监督管理法、保险法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外资银行管理条例（行政法规）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NOR-REG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行政法规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国务院制定的规范性文件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外资银行管理条例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商业银行资本管理办法（部门规章）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NOR-RULE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部门规章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金融监管部门制定的规章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商业银行资本管理办法、保险保障基金管理办法、农村中小银行机构行政许可事项实施办法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各类通知、公告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NOR-NORM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规范性文件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通知、公告、指引、办法等非规章类规范性文件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关于…的通知、支付结算系统危机处置预案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商业银行法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NOR-CLAUSE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条款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文件中的条款级引用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第一百条、第三条第二款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文件名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NOR-PEN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罚则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违法行为对应的处罚措施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罚款、警告、责令改正、吊销许可证、市场禁入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合规要求（非处罚）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NOR-DEF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定义性条款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文件中对术语作出界定的条款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本办法所称非银行金融机构包括…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具体行为要求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BIZ-PRD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业务品种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金融机构经营的业务种类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存款、贷款、理财、银行卡清算、债券交易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业务流程环节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BIZ-LOAN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贷款类型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信贷业务的细分品种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流动资金贷款、固定资产贷款、个人贷款、不良贷款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存款业务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BIZ-ACT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业务行为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需要申请、审批、备案或报告的行为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设立、变更、终止、转让、展期、受托支付、报告、审批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静态业务品种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BIZ-CHN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业务环节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业务流程中的阶段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贷前调查、贷时审查、贷后管理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监管指标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MEA-IDX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监管指标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用于衡量机构审慎经营水平的指标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资本充足率、不良贷款率、授信集中度、杠杆率、流动性覆盖率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注册资本（属限额）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MEA-LIM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限额与比例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制度规定的数量边界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单一客户贷款余额比例、注册资本最低限额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监管指标名称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MEA-AMT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金额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具体金额数值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注册资本 10 亿元、罚款 50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比例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MEA-TRM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期限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制度规定的时限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贷款期限、整改期限、报告时限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频次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MEA-FRQ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频次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制度规定的报告或检查频次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按月、按季、按年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具体日期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是（权重下调）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RSK-TYP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风险类别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风险分类维度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信用风险、市场风险、操作风险、国别风险、流动性风险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风险事件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RSK-EVT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风险事件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触发处置的特定情形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支付结算系统危机、被撤销、被宣告破产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风险类别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RSK-MSR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处置措施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对风险事件采取的措施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接管、托管、撤销、破产清算、资产冻结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处罚措施（属 NOR-PEN）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CTX-TIM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时间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时间点或时间段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2024 年、施行之日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期限（MEA-TRM）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CTX-GEO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地域与国家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地理与国别信息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境外、中国香港、境内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机构名称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CTX-TAB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表格与附件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文件内的表格、附表、附件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附表一、附件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正文条款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否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2.4 类型体系的版本化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项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规定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版本标识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`type_system_version`，首版为 `fin_reg_v1.0`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存储位置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配置文件（纳入版本管理），随知识库配置一起落库，便于回溯当时使用版本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变更规则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新增细类：版本号 +0.1；修改已有类型语义或删除类型：版本号 +1.0，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必须全量重新索引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索引绑定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每个知识库记录其索引时使用的 `type_system_version`；跨版本比较图谱效果时必须显式声明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约束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禁止原地修改类型定义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——同一版本号下的类型语义必须保持不变，否则历史评测结论不可比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2.5 「默认类型」的改造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既有行为「不添加将启用默认」是当前最主要的问题来源：它让所有未配置类型的实体落入同一个桶，从而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使「同类型」这一别名合并的前置条件永远为真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，等于关闭了类型约束这道防线。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0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改造项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既有行为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新行为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默认类型语义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单一默认类型，可被大量实体共用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收窄为 `UNCLASSIFIED`（未分类），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仅作占位，不作为可比较的类型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类型约束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未分类实体之间允许任意合并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`UNCLASSIFIED` 参与归一化时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不得仅凭同类型判定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，必须走 LLM 判定通道（4.3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人工兜底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无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`UNCLASSIFIED` 实体进入待人工队列，按频次降序排列；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高频未分类实体优先处置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监控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无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`UNCLASSIFIED` 占比作为图谱健康度指标之一，纳入日常监控（目标 &lt; 10%）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3 实体类型自动推断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3.1 三级推断链路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抽取前为每个待抽实体确定类型，采用三级链路，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前一级未命中才进入下一级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，兼顾成本与准确率：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000"/>
        <w:gridCol w:w="1400"/>
        <w:gridCol w:w="19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级别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成本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覆盖预期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置信度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L1 领域标签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按知识库的领域标签（金融监管 / 银行 / 信贷）加载候选类型子集，缩小取值范围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—（仅缩小候选集）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L2 规则模式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按实体名的命名模式匹配（3.2 节模式表）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约 60~70%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命中即高置信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L3 LLM 分类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给定实体名 + description + 候选类型集，输出类型与置信度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有成本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剩余 30~40%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≥ 0.7 采纳；&lt; 0.7 → UNCLASSIFIED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L2 规则模式的优先级高于 L3 LLM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，这是刻意的成本设计：监管语料的实体命名高度规范（大量以「银行」「公司」「总局」「办法」「条例」结尾），规则命中率高且完全免费。L3 只用于兜底，成本因此被压到可接受范围——按 15 万实体的规模估算，L3 实际调用量约 4.5~6 万次，而非 15 万次。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3.2 规则模式表（L2）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39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匹配模式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判定类型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以「总局」「委员会」「人民银行」「监管局」结尾或包含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PTY-REG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国家金融监督管理总局、中国证券监督管理委员会、中国人民银行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以「银行」「公司」「机构」「中心」「清算机构」结尾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PTY-TGT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商业银行、金融资产管理公司、银行卡清算机构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包含「董事」「监事」「高级管理人员」「责任人」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PTY-PER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董事、高级管理人员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包含「存款人」「借款人」「保单持有人」「投资者」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PTY-CUS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存款人、保单持有人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以「法」结尾且不含「办法」「细则」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NOR-LAW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中国人民银行法、保险法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以「条例」结尾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NOR-REG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外资银行管理条例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以「办法」结尾（含「管理办法」「实施办法」）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NOR-RULE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商业银行资本管理办法、保险保障基金管理办法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以「通知」「公告」「指引」「预案」「细则」结尾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NOR-NORM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关于…的通知、支付结算系统危机处置预案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以「第…条」「第…款」「第…项」开头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NOR-CLAUSE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第一百条、第三条第二款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包含「罚款」「警告」「责令改正」「吊销」「禁入」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NOR-PEN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罚款、吊销许可证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以「率」「比例」「指标」结尾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MEA-IDX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资本充足率、不良贷款率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以「贷款」结尾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BIZ-LOAN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流动资金贷款、固定资产贷款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包含「管理」「调查」「审查」「审批」「报告」等动词性结尾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BIZ-ACT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贷后管理、受托支付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包含「风险」结尾（非具体事件）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RSK-TYP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信用风险、国别风险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为年份或含「年」「月」「日」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CTX-TIM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2024 年、施行之日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包含「境内」「境外」「中国香港」等地域词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CTX-GEO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境外、境内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color w:val="6B7684"/>
          <w:sz w:val="21"/>
          <w:szCs w:val="21"/>
        </w:rPr>
        <w:t xml:space="preserve">模式表需按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实际抽取结果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迭代校准：上线后统计各模式的命中率与误判率，误判率高的模式下沉到 L3 LLM 判定。模式表本身也纳入版本管理。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3.3 LLM 分类的约束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候选集限定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：prompt 中只给出 L1 筛选后的候选类型（通常 5~10 个），不给全量 27 个细类，降低误判。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必须给出依据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：要求模型输出「判定依据」（命中的关键词或语义特征），便于人工抽检与模式表反哺。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置信度门槛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：置信度 ≥ 0.7 采纳；0.5~0.7 采纳但标记为「低置信」；&lt; 0.5 判为 `UNCLASSIFIED`。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禁止多类型输出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：要求单类型输出。若模型确实无法判定，输出 `UNCLASSIFIED` 而非并存多类型。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批量与限流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：batch_size = 20 个实体 / 请求；与社区摘要任务共享离线 GPU 队列，且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优先级低于在线问答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4 实体归一化与别名合并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4.1 五步流程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0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判定阈值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失败处理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① 文本规范化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去空格 / 全角半角统一 / 去括号补充说明 / 简称展开（国家金融监督管理总局 ← 金融监管总局）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确定性规则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规则未命中进入下一步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② 别名发现（候选生成）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Milvus 实体向量表内 top-K 近邻检索（K=10）+ 同类型约束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余弦相似度 ≥ 0.92 进入候选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候选为空则保留为独立实体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③ 别名判定（确认）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LLM 二分类：给定两个实体名 + 各自 description + 所属文件名，判定是否同一实体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置信度 ≥ 0.8 合并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0.6~0.8 记入待人工确认队列；&lt; 0.6 判为不同实体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④ 类型一致性检查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对判定为同一实体的两方做类型一致性检查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类型不一致即触发类型再判定（3.3 节）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仍不一致则保留多类型并标记冲突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⑤ 合并执行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保留 canonical 名（出现频次最高或首次出现），其余记入别名表；三元组重指向 canonical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合并前留存映射表以支持回滚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步骤②的「同类型约束」是成本控制的关键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：先用免费的向量近邻把候选对从 O(n²) 压到 O(n·K)，再用类型约束进一步过滤，最后才对少量候选调用 LLM。按 15 万实体估算，LLM 判定调用量约 3000~8000 次，而非百万级。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4.2 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57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取值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依据 / 调优方式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近邻检索 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K 过大引入噪声与成本，过小漏召回；按别名召回复核率调优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候选相似度阈值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0.92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起始值；以「人工构造 100 对真实别名」的召回率为准调优（目标 ≥ 90%）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LLM 合并阈值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0.8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0.6~0.8 区间进人工队列，用人工判定结果反推阈值是否合理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同类型约束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开启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例外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：`UNCLASSIFIED` 之间不适用（2.5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别名展开口径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仅对「总局 → 国家金融监督管理总局」这类行政简称做规则展开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避免过度展开导致误合并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误合并容忍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≤ 2%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误合并比漏合并危害更大（错误会扩散到所有关联三元组）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4.3 合并的不可逆性与回滚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合并会改写三元组指向（把别名实体替换为 canonical 实体），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这是一次不可逆的图变更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。因此：合并前必须完整留存映射表（canonical ← alias 的每一条），支持按批次回滚；回滚需重新索引受影响的图空间。</w:t>
      </w: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先小范围试跑再全量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：建议先在单一知识库（建议「监管(银行)」）上跑一轮归一化，人工抽检 200 个合并对的正确率后再全量执行。误合并的修复成本远高于漏合并——漏合并只是少省了一点冗余，误合并会让两个不同实体的所有关系混在一起，且这类错误在问答中极难被发现。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5 交付资产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5.1 实体别名表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57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类型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canonical_name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规范名（合并后保留的名称）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alias_name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类型码（如 PTY-REG）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merge_method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enum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rule / vector+llm / manual，记录合并方式以支持质量分析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float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合并置信度（规则合并为 1.0）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knowledge_base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所属知识库；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别名表按知识库独立维护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，不跨库合并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type_system_version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生成时使用的类型体系版本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created_at / batch_id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timestamp / varchar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支持按批次回滚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别名表按知识库独立维护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：这是刻意的保守设计。跨知识库合并会引入难以排查的串扰（例如「商业银行」在信贷知识库与银行知识库中可能指代不同的具体条款集合），且违反权限隔离要求。跨库的实体对齐留待后续按需评估。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5.2 合并审计日志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batch_id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合并批次标识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alias_entity_pk / canonical_entity_pk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被合并与保留的实体主键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affected_triples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受影响的三元组数量与主键列表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affected_chunks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受影响的 chunk 数量（经 chunk_pk_list 统计）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operator / method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执行人（自动为 system）与合并方式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rolled_back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是否已回滚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timestamp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执行时间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5.3 存储与接口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项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设计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存储位置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关系库（OpenGauss）：别名表 + 审计日志两张表；按知识库分租户隔离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接口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`GET /graph/entity/alias?kb={kb}` 查询别名表；`POST /graph/entity/merge` 手工合并/拆分（供人工队列使用）；`POST /graph/entity/rollback?batch_id=` 按批次回滚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与 Nebula 的关系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别名表为关系库资产；Nebula 中只保留 canonical 节点，不保留别名节点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与 Milvus 的关系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别名实体向量记录归档而非删除，便于回滚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6 验收标准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6.1 核心指标：实体分裂率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项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定义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抽样 N 个「真实实体」，统计其中在图中被表示为多个节点的比例。分裂率 = 被拆分的真实实体数 / 抽样真实实体数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抽样方法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分层抽样 200 个：按类型（6 大类）× 频次档（高/中/低）分层，保证高频实体被充分覆盖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先测基线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必须先在归一化之前测一次现状分裂率并记录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——否则无法证明归一化有效，也无法判断当前图谱质量的真实起点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出口条件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归一化后分裂率 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≤ 5%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（M1 出口条件，未达标不得进入 M3）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辅助指标 1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别名表召回率 ≥ 90%（用人工构造的 100 对真实别名检验）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辅助指标 2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误合并率 ≤ 2%（抽样合并对人工判定）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辅助指标 3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`UNCLASSIFIED` 占比 &lt; 10%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「先测基线」这一条是刻意强调的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：平台已有的教训是大量能力被标记为「未开始」而实际已实现（《详细设计》14.4 节），根因之一就是缺少改造前的度量。归一化如果不测基线，最终只能得出「感觉好了一些」这类无法写进验收报告的结论。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7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2000"/>
        <w:gridCol w:w="21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序号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周期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交付物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出口条件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类型体系 v1.0 定稿（本文档第 2 章评审）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类型体系定义（fin_reg_v1.0）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业务方确认类型覆盖无遗漏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测量现状分裂率（基线）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基线报告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200 个实体完成人工判定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L2 规则模式表实现 + 命中率统计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模式表 + 统计报告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L2 命中率 ≥ 60%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L3 LLM 分类接入 + prompt 调优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分类服务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抽检准确率 ≥ 85%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别名发现与合并（先在「监管(银行)」试跑）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别名表 + 审计日志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试跑批次误合并率 ≤ 2%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全量归一化执行 + 复测分裂率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验收报告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分裂率 ≤ 5%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UNCLASSIFIED 待人工队列清理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清理记录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UNCLASSIFIED 占比 &lt; 10%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color w:val="6B7684"/>
          <w:sz w:val="21"/>
          <w:szCs w:val="21"/>
        </w:rPr>
        <w:t xml:space="preserve">M1-2 与 M1-1 可并行；M1-7 可与 M1-6 部分并行。总周期约 2~3 周，与 M0 可并行执行（两者无依赖）。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8 风险登记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33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影响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应对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误合并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（把两个不同实体合并为一个）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比漏合并危害更大：错误扩散到所有关联三元组，且问答中极难被发现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4.3 节：单库试跑 + 200 对人工抽检 + 完整映射表支持回滚；误合并率 ≤ 2% 作为出口条件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类型体系与实际语料不匹配（类型缺失或冗余）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大量实体落入 UNCLASSIFIED，类型约束失效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M1-1 由业务方确认；M1-4 后按 UNCLASSIFIED 分布反哺类型体系（升版本号 +0.1）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L2 规则模式误判率高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类型错误传导到社区质量与别名合并约束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上线后按模式统计误判率；高误判模式下沉至 L3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简化展开过度（如把无关简称视为同一实体）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误合并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4.2 节：别名展开口径限定为行政简称规则展开，不做泛化缩写推理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跨知识库同名实体被误对齐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知识库间串扰，违反权限隔离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5.1 节：别名表按知识库独立维护，不跨库合并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未测基线即开始改造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无法证明归一化有效，验收无依据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6.1 节强制先测基线；M1-2 排在改造之前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M1R-07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归一化后需要全量重建索引，与在线服务争抢资源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在线问答延迟劣化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离线执行并限流；重建限流与错峰（与既有 CON-10 风险同型）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本文档与 M0、GraphRAG 方案的关系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：M0（评测集与基线）与 M1（类型体系与归一化）是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无条件执行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的两项前置，均不依赖 GraphRAG 决策。M1 完成后，其实体分裂率数据将成为 M3 社区摘要 POC 的入口条件（GR-02）。M1 的产出的别名表同时被《GraphRAG 引入技术方案》3.2 节与 4.3 节的 Local Search 实体链接复用。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7F7F7F"/>
        <w:sz w:val="16"/>
        <w:szCs w:val="16"/>
      </w:rPr>
      <w:t xml:space="preserve">第 </w:t>
    </w:r>
    <w:r>
      <w:rPr>
        <w:rFonts w:ascii="Times New Roman" w:eastAsia="宋体" w:hAnsi="Times New Roman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7F7F7F"/>
        <w:sz w:val="16"/>
        <w:szCs w:val="16"/>
      </w:rPr>
      <w:t xml:space="preserve"> 页 / 共 </w:t>
    </w:r>
    <w:r>
      <w:rPr>
        <w:rFonts w:ascii="Times New Roman" w:eastAsia="宋体" w:hAnsi="Times New Roman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7F7F7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Arial" w:eastAsia="微软雅黑" w:hAnsi="Arial"/>
        <w:color w:val="7F7F7F"/>
        <w:sz w:val="16"/>
        <w:szCs w:val="16"/>
      </w:rPr>
      <w:t xml:space="preserve">M1 实体类型体系与归一化方案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75B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eastAsia="微软雅黑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eastAsia="微软雅黑" w:hAnsi="Arial"/>
      <w:b/>
      <w:bCs/>
      <w:color w:val="123A5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eastAsia="微软雅黑" w:hAnsi="Arial"/>
      <w:b/>
      <w:bCs/>
      <w:color w:val="1F4E7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eastAsia="微软雅黑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eastAsia="微软雅黑" w:hAnsi="Arial"/>
      <w:b/>
      <w:bCs/>
      <w:color w:val="123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eastAsia="微软雅黑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实体类型体系与归一化方案</dc:title>
  <dc:creator>产品经理 / 架构师</dc:creator>
  <dc:description>类型体系 v1.0 · 自动类型推断 · 别名合并与审计</dc:description>
  <cp:lastModifiedBy>Un-named</cp:lastModifiedBy>
  <cp:revision>1</cp:revision>
  <dcterms:created xsi:type="dcterms:W3CDTF">2026-10-14T14:46:43.621Z</dcterms:created>
  <dcterms:modified xsi:type="dcterms:W3CDTF">2026-10-14T14:46:43.621Z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