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启明计划于2025年3月启动，覆盖三个业务方向。</w:t>
      </w:r>
    </w:p>
    <w:p>
      <w:r>
        <w:t>年度进展按季度报送一次，由计划管理岗汇总后提交。</w:t>
      </w:r>
    </w:p>
    <w:p>
      <w:r>
        <w:t>季度末需同步更新一次进展说明，逾期未报按提醒处理。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