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本文件为流程留档，说明内部审计的抽样与归档要求。</w:t>
      </w:r>
    </w:p>
    <w:p>
      <w:r>
        <w:t>审计抽样按年度计划执行，样本覆盖采购、费用、资产三类凭证。</w:t>
      </w:r>
    </w:p>
    <w:p>
      <w:r>
        <w:t>凭证装订按月归集，编号连续，缺号需附情况说明。</w:t>
      </w:r>
    </w:p>
    <w:p>
      <w:r>
        <w:t>归档保存期限按制度执行，借阅需登记，归还后复核完整性。</w:t>
      </w:r>
    </w:p>
    <w:p>
      <w:r>
        <w:t>季度抽查由内控岗组织，抽查结论以书面形式反馈至被查单位。</w:t>
      </w:r>
    </w:p>
    <w:p>
      <w:r>
        <w:t>整改事项按台账跟踪，闭环后归档；未闭环的按月提示一次。</w:t>
      </w:r>
    </w:p>
    <w:p>
      <w:r>
        <w:t>上述流程与业务口径无关，仅作留档样例，便于比对编号规则。</w:t>
      </w:r>
    </w:p>
    <w:p>
      <w:r>
        <w:t>装备制造事业部承担启明计划的年度执行与交付验收。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