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财务口径说明</w:t>
      </w:r>
    </w:p>
    <w:p/>
    <w:p>
      <w:r>
        <w:t>本年度报表按季度编制，收入确认以交付验收单为凭据。</w:t>
      </w:r>
    </w:p>
    <w:p>
      <w:r>
        <w:t>成本按项目归集，跨期费用按权责发生制分摊。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