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0"/>
        </w:rPr>
        <w:t>MAUMart — Deployment Readiness Assessment</w:t>
      </w:r>
    </w:p>
    <w:p>
      <w:pPr>
        <w:spacing w:after="200"/>
      </w:pPr>
      <w:r>
        <w:rPr>
          <w:b w:val="0"/>
          <w:i/>
        </w:rPr>
        <w:t>CSC 720 marketplace application (Flet client, FastAPI backend)  ·  Assessed 1 October 2026</w:t>
      </w:r>
    </w:p>
    <w:p>
      <w:pPr>
        <w:keepNext/>
        <w:spacing w:before="240" w:after="80"/>
      </w:pPr>
      <w:r>
        <w:rPr>
          <w:b/>
          <w:color w:val="1F3864"/>
          <w:sz w:val="28"/>
        </w:rPr>
        <w:t>1. Verdict</w:t>
      </w:r>
    </w:p>
    <w:tbl>
      <w:tblPr>
        <w:tblStyle w:val="TableGrid"/>
        <w:tblW w:type="auto" w:w="0"/>
        <w:tblLook w:firstColumn="1" w:firstRow="1" w:lastColumn="0" w:lastRow="0" w:noHBand="0" w:noVBand="1" w:val="04A0"/>
      </w:tblPr>
      <w:tblGrid>
        <w:gridCol w:w="9638"/>
      </w:tblGrid>
      <w:tr>
        <w:tc>
          <w:tcPr>
            <w:tcW w:type="dxa" w:w="9638"/>
            <w:shd w:val="clear" w:color="auto" w:fill="F4CCCC"/>
          </w:tcPr>
          <w:p>
            <w:pPr>
              <w:spacing w:after="80"/>
            </w:pPr>
            <w:r/>
            <w:r>
              <w:rPr>
                <w:b/>
              </w:rPr>
              <w:t xml:space="preserve">Not ready for deployment to real users, and not efficient at realistic scale. </w:t>
            </w:r>
            <w:r>
              <w:t>The application is a functionally complete, well-tested prototype. Measurement found three defects that make real use unsafe: it oversells stock and charges every buyer; the recommendation endpoint takes about 7 seconds at 5,000 orders and stops responding under 10 concurrent users; and live payments cannot work as written. By my estimate, fixing the overselling, the recommendation endpoint and the browse endpoint is about two days of work; building real payments is another three to five. After the first group, a supervised campus pilot is reasonable. A public launch handling real money is not, for the reasons in Section 5.</w:t>
            </w:r>
          </w:p>
        </w:tc>
      </w:tr>
    </w:tbl>
    <w:p>
      <w:pPr>
        <w:spacing w:after="40"/>
      </w:pPr>
    </w:p>
    <w:p>
      <w:pPr>
        <w:keepNext/>
        <w:spacing w:before="240" w:after="80"/>
      </w:pPr>
      <w:r>
        <w:rPr>
          <w:b/>
          <w:color w:val="1F3864"/>
          <w:sz w:val="28"/>
        </w:rPr>
        <w:t>2. What was measured</w:t>
      </w:r>
    </w:p>
    <w:p>
      <w:pPr>
        <w:spacing w:after="120"/>
      </w:pPr>
      <w:r>
        <w:rPr>
          <w:b w:val="0"/>
          <w:i/>
        </w:rPr>
        <w:t>Single CPU core shared with the load generator, SQLite, one uvicorn worker, synthetic data (500 listings, 5,006 orders, 12,497 order items). Absolute latencies are pessimistic; the query counts and the pass/fail findings do not depend on hardware.</w:t>
      </w:r>
    </w:p>
    <w:tbl>
      <w:tblPr>
        <w:tblStyle w:val="TableGrid"/>
        <w:tblW w:type="auto" w:w="0"/>
        <w:jc w:val="center"/>
        <w:tblLayout w:type="fixed"/>
        <w:tblLook w:firstColumn="1" w:firstRow="1" w:lastColumn="0" w:lastRow="0" w:noHBand="0" w:noVBand="1" w:val="04A0"/>
        <w:tblLayout w:type="fixed"/>
      </w:tblPr>
      <w:tblGrid>
        <w:gridCol w:w="2381"/>
        <w:gridCol w:w="3005"/>
        <w:gridCol w:w="4252"/>
      </w:tblGrid>
      <w:tr>
        <w:trPr>
          <w:cantSplit/>
        </w:trPr>
        <w:tc>
          <w:tcPr>
            <w:tcW w:type="dxa" w:w="2381"/>
            <w:shd w:val="clear" w:color="auto" w:fill="1F3864"/>
          </w:tcPr>
          <w:p>
            <w:r/>
            <w:r>
              <w:rPr>
                <w:b/>
                <w:color w:val="FFFFFF"/>
                <w:sz w:val="19"/>
              </w:rPr>
              <w:t>Test</w:t>
            </w:r>
          </w:p>
        </w:tc>
        <w:tc>
          <w:tcPr>
            <w:tcW w:type="dxa" w:w="3005"/>
            <w:shd w:val="clear" w:color="auto" w:fill="1F3864"/>
          </w:tcPr>
          <w:p>
            <w:r/>
            <w:r>
              <w:rPr>
                <w:b/>
                <w:color w:val="FFFFFF"/>
                <w:sz w:val="19"/>
              </w:rPr>
              <w:t>Conditions</w:t>
            </w:r>
          </w:p>
        </w:tc>
        <w:tc>
          <w:tcPr>
            <w:tcW w:type="dxa" w:w="4252"/>
            <w:shd w:val="clear" w:color="auto" w:fill="1F3864"/>
          </w:tcPr>
          <w:p>
            <w:r/>
            <w:r>
              <w:rPr>
                <w:b/>
                <w:color w:val="FFFFFF"/>
                <w:sz w:val="19"/>
              </w:rPr>
              <w:t>Result</w:t>
            </w:r>
          </w:p>
        </w:tc>
      </w:tr>
      <w:tr>
        <w:trPr>
          <w:cantSplit/>
        </w:trPr>
        <w:tc>
          <w:tcPr>
            <w:tcW w:type="dxa" w:w="2381"/>
          </w:tcPr>
          <w:p>
            <w:pPr>
              <w:spacing w:after="40"/>
            </w:pPr>
            <w:r/>
            <w:r>
              <w:rPr>
                <w:sz w:val="19"/>
              </w:rPr>
              <w:t>Recommendations, seed data</w:t>
            </w:r>
          </w:p>
        </w:tc>
        <w:tc>
          <w:tcPr>
            <w:tcW w:type="dxa" w:w="3005"/>
          </w:tcPr>
          <w:p>
            <w:pPr>
              <w:spacing w:after="40"/>
            </w:pPr>
            <w:r/>
            <w:r>
              <w:rPr>
                <w:sz w:val="19"/>
              </w:rPr>
              <w:t>15 listings, 1 request</w:t>
            </w:r>
          </w:p>
        </w:tc>
        <w:tc>
          <w:tcPr>
            <w:tcW w:type="dxa" w:w="4252"/>
          </w:tcPr>
          <w:p>
            <w:pPr>
              <w:spacing w:after="40"/>
            </w:pPr>
            <w:r/>
            <w:r>
              <w:rPr>
                <w:sz w:val="19"/>
              </w:rPr>
              <w:t>12 ms (fine)</w:t>
            </w:r>
          </w:p>
        </w:tc>
      </w:tr>
      <w:tr>
        <w:trPr>
          <w:cantSplit/>
        </w:trPr>
        <w:tc>
          <w:tcPr>
            <w:tcW w:type="dxa" w:w="2381"/>
          </w:tcPr>
          <w:p>
            <w:pPr>
              <w:spacing w:after="40"/>
            </w:pPr>
            <w:r/>
            <w:r>
              <w:rPr>
                <w:sz w:val="19"/>
              </w:rPr>
              <w:t>Recommendations, realistic data</w:t>
            </w:r>
          </w:p>
        </w:tc>
        <w:tc>
          <w:tcPr>
            <w:tcW w:type="dxa" w:w="3005"/>
          </w:tcPr>
          <w:p>
            <w:pPr>
              <w:spacing w:after="40"/>
            </w:pPr>
            <w:r/>
            <w:r>
              <w:rPr>
                <w:sz w:val="19"/>
              </w:rPr>
              <w:t>5,006 orders, 1 request</w:t>
            </w:r>
          </w:p>
        </w:tc>
        <w:tc>
          <w:tcPr>
            <w:tcW w:type="dxa" w:w="4252"/>
          </w:tcPr>
          <w:p>
            <w:pPr>
              <w:spacing w:after="40"/>
            </w:pPr>
            <w:r/>
            <w:r>
              <w:rPr>
                <w:sz w:val="19"/>
              </w:rPr>
              <w:t>6.8 s; 5,019 SQL queries (one per order)</w:t>
            </w:r>
          </w:p>
        </w:tc>
      </w:tr>
      <w:tr>
        <w:trPr>
          <w:cantSplit/>
        </w:trPr>
        <w:tc>
          <w:tcPr>
            <w:tcW w:type="dxa" w:w="2381"/>
          </w:tcPr>
          <w:p>
            <w:pPr>
              <w:spacing w:after="40"/>
            </w:pPr>
            <w:r/>
            <w:r>
              <w:rPr>
                <w:sz w:val="19"/>
              </w:rPr>
              <w:t>Recommendations, concurrent</w:t>
            </w:r>
          </w:p>
        </w:tc>
        <w:tc>
          <w:tcPr>
            <w:tcW w:type="dxa" w:w="3005"/>
          </w:tcPr>
          <w:p>
            <w:pPr>
              <w:spacing w:after="40"/>
            </w:pPr>
            <w:r/>
            <w:r>
              <w:rPr>
                <w:sz w:val="19"/>
              </w:rPr>
              <w:t>20 requests, 10 at a time</w:t>
            </w:r>
          </w:p>
        </w:tc>
        <w:tc>
          <w:tcPr>
            <w:tcW w:type="dxa" w:w="4252"/>
          </w:tcPr>
          <w:p>
            <w:pPr>
              <w:spacing w:after="40"/>
            </w:pPr>
            <w:r/>
            <w:r>
              <w:rPr>
                <w:sz w:val="19"/>
              </w:rPr>
              <w:t>0 of 20 completed within 60 s</w:t>
            </w:r>
          </w:p>
        </w:tc>
      </w:tr>
      <w:tr>
        <w:trPr>
          <w:cantSplit/>
        </w:trPr>
        <w:tc>
          <w:tcPr>
            <w:tcW w:type="dxa" w:w="2381"/>
          </w:tcPr>
          <w:p>
            <w:pPr>
              <w:spacing w:after="40"/>
            </w:pPr>
            <w:r/>
            <w:r>
              <w:rPr>
                <w:sz w:val="19"/>
              </w:rPr>
              <w:t>Browse /listings</w:t>
            </w:r>
          </w:p>
        </w:tc>
        <w:tc>
          <w:tcPr>
            <w:tcW w:type="dxa" w:w="3005"/>
          </w:tcPr>
          <w:p>
            <w:pPr>
              <w:spacing w:after="40"/>
            </w:pPr>
            <w:r/>
            <w:r>
              <w:rPr>
                <w:sz w:val="19"/>
              </w:rPr>
              <w:t>500 listings, 10 concurrent</w:t>
            </w:r>
          </w:p>
        </w:tc>
        <w:tc>
          <w:tcPr>
            <w:tcW w:type="dxa" w:w="4252"/>
          </w:tcPr>
          <w:p>
            <w:pPr>
              <w:spacing w:after="40"/>
            </w:pPr>
            <w:r/>
            <w:r>
              <w:rPr>
                <w:sz w:val="19"/>
              </w:rPr>
              <w:t>Median 2.37 s, p95 2.77 s, 4 req/s; 507 SQL queries; 210 KB, unpaginated</w:t>
            </w:r>
          </w:p>
        </w:tc>
      </w:tr>
      <w:tr>
        <w:trPr>
          <w:cantSplit/>
        </w:trPr>
        <w:tc>
          <w:tcPr>
            <w:tcW w:type="dxa" w:w="2381"/>
          </w:tcPr>
          <w:p>
            <w:pPr>
              <w:spacing w:after="40"/>
            </w:pPr>
            <w:r/>
            <w:r>
              <w:rPr>
                <w:sz w:val="19"/>
              </w:rPr>
              <w:t>SSR storefront home</w:t>
            </w:r>
          </w:p>
        </w:tc>
        <w:tc>
          <w:tcPr>
            <w:tcW w:type="dxa" w:w="3005"/>
          </w:tcPr>
          <w:p>
            <w:pPr>
              <w:spacing w:after="40"/>
            </w:pPr>
            <w:r/>
            <w:r>
              <w:rPr>
                <w:sz w:val="19"/>
              </w:rPr>
              <w:t>500 listings, 10 concurrent</w:t>
            </w:r>
          </w:p>
        </w:tc>
        <w:tc>
          <w:tcPr>
            <w:tcW w:type="dxa" w:w="4252"/>
          </w:tcPr>
          <w:p>
            <w:pPr>
              <w:spacing w:after="40"/>
            </w:pPr>
            <w:r/>
            <w:r>
              <w:rPr>
                <w:sz w:val="19"/>
              </w:rPr>
              <w:t>Median 127 ms, 70 req/s (capped at 12 items)</w:t>
            </w:r>
          </w:p>
        </w:tc>
      </w:tr>
      <w:tr>
        <w:trPr>
          <w:cantSplit/>
        </w:trPr>
        <w:tc>
          <w:tcPr>
            <w:tcW w:type="dxa" w:w="2381"/>
          </w:tcPr>
          <w:p>
            <w:pPr>
              <w:spacing w:after="40"/>
            </w:pPr>
            <w:r/>
            <w:r>
              <w:rPr>
                <w:sz w:val="19"/>
              </w:rPr>
              <w:t>Last-unit checkout</w:t>
            </w:r>
          </w:p>
        </w:tc>
        <w:tc>
          <w:tcPr>
            <w:tcW w:type="dxa" w:w="3005"/>
          </w:tcPr>
          <w:p>
            <w:pPr>
              <w:spacing w:after="40"/>
            </w:pPr>
            <w:r/>
            <w:r>
              <w:rPr>
                <w:sz w:val="19"/>
              </w:rPr>
              <w:t>3 simultaneous buyers, 1 unit in stock, 3 trials</w:t>
            </w:r>
          </w:p>
        </w:tc>
        <w:tc>
          <w:tcPr>
            <w:tcW w:type="dxa" w:w="4252"/>
          </w:tcPr>
          <w:p>
            <w:pPr>
              <w:spacing w:after="40"/>
            </w:pPr>
            <w:r/>
            <w:r>
              <w:rPr>
                <w:sz w:val="19"/>
              </w:rPr>
              <w:t>All 3 charged (HTTP 200) in every trial; stock ended at -1 or 0</w:t>
            </w:r>
          </w:p>
        </w:tc>
      </w:tr>
      <w:tr>
        <w:trPr>
          <w:cantSplit/>
        </w:trPr>
        <w:tc>
          <w:tcPr>
            <w:tcW w:type="dxa" w:w="2381"/>
          </w:tcPr>
          <w:p>
            <w:pPr>
              <w:spacing w:after="40"/>
            </w:pPr>
            <w:r/>
            <w:r>
              <w:rPr>
                <w:sz w:val="19"/>
              </w:rPr>
              <w:t>Live payment path</w:t>
            </w:r>
          </w:p>
        </w:tc>
        <w:tc>
          <w:tcPr>
            <w:tcW w:type="dxa" w:w="3005"/>
          </w:tcPr>
          <w:p>
            <w:pPr>
              <w:spacing w:after="40"/>
            </w:pPr>
            <w:r/>
            <w:r>
              <w:rPr>
                <w:sz w:val="19"/>
              </w:rPr>
              <w:t>Paystack's documented success response, simulated</w:t>
            </w:r>
          </w:p>
        </w:tc>
        <w:tc>
          <w:tcPr>
            <w:tcW w:type="dxa" w:w="4252"/>
          </w:tcPr>
          <w:p>
            <w:pPr>
              <w:spacing w:after="40"/>
            </w:pPr>
            <w:r/>
            <w:r>
              <w:rPr>
                <w:sz w:val="19"/>
              </w:rPr>
              <w:t>charge() returns "pending"; checkout accepts only "success", so the order is marked failed and rejected (402)</w:t>
            </w:r>
          </w:p>
        </w:tc>
      </w:tr>
    </w:tbl>
    <w:p>
      <w:pPr>
        <w:spacing w:after="40"/>
      </w:pPr>
    </w:p>
    <w:p>
      <w:pPr>
        <w:keepNext/>
        <w:spacing w:before="240" w:after="80"/>
      </w:pPr>
      <w:r>
        <w:rPr>
          <w:b/>
          <w:color w:val="1F3864"/>
          <w:sz w:val="28"/>
        </w:rPr>
        <w:t>3. Readiness by area</w:t>
      </w:r>
    </w:p>
    <w:tbl>
      <w:tblPr>
        <w:tblStyle w:val="TableGrid"/>
        <w:tblW w:type="auto" w:w="0"/>
        <w:jc w:val="center"/>
        <w:tblLayout w:type="fixed"/>
        <w:tblLook w:firstColumn="1" w:firstRow="1" w:lastColumn="0" w:lastRow="0" w:noHBand="0" w:noVBand="1" w:val="04A0"/>
        <w:tblLayout w:type="fixed"/>
      </w:tblPr>
      <w:tblGrid>
        <w:gridCol w:w="2608"/>
        <w:gridCol w:w="1474"/>
        <w:gridCol w:w="5556"/>
      </w:tblGrid>
      <w:tr>
        <w:trPr>
          <w:cantSplit/>
        </w:trPr>
        <w:tc>
          <w:tcPr>
            <w:tcW w:type="dxa" w:w="2608"/>
            <w:shd w:val="clear" w:color="auto" w:fill="1F3864"/>
          </w:tcPr>
          <w:p>
            <w:r/>
            <w:r>
              <w:rPr>
                <w:b/>
                <w:color w:val="FFFFFF"/>
                <w:sz w:val="19"/>
              </w:rPr>
              <w:t>Area</w:t>
            </w:r>
          </w:p>
        </w:tc>
        <w:tc>
          <w:tcPr>
            <w:tcW w:type="dxa" w:w="1474"/>
            <w:shd w:val="clear" w:color="auto" w:fill="1F3864"/>
          </w:tcPr>
          <w:p>
            <w:r/>
            <w:r>
              <w:rPr>
                <w:b/>
                <w:color w:val="FFFFFF"/>
                <w:sz w:val="19"/>
              </w:rPr>
              <w:t>Status</w:t>
            </w:r>
          </w:p>
        </w:tc>
        <w:tc>
          <w:tcPr>
            <w:tcW w:type="dxa" w:w="5556"/>
            <w:shd w:val="clear" w:color="auto" w:fill="1F3864"/>
          </w:tcPr>
          <w:p>
            <w:r/>
            <w:r>
              <w:rPr>
                <w:b/>
                <w:color w:val="FFFFFF"/>
                <w:sz w:val="19"/>
              </w:rPr>
              <w:t>Evidence</w:t>
            </w:r>
          </w:p>
        </w:tc>
      </w:tr>
      <w:tr>
        <w:trPr>
          <w:cantSplit/>
        </w:trPr>
        <w:tc>
          <w:tcPr>
            <w:tcW w:type="dxa" w:w="2608"/>
          </w:tcPr>
          <w:p>
            <w:pPr>
              <w:spacing w:after="40"/>
            </w:pPr>
            <w:r/>
            <w:r>
              <w:rPr>
                <w:sz w:val="19"/>
              </w:rPr>
              <w:t>Core transactional flow</w:t>
            </w:r>
          </w:p>
        </w:tc>
        <w:tc>
          <w:tcPr>
            <w:tcW w:type="dxa" w:w="1474"/>
            <w:shd w:val="clear" w:color="auto" w:fill="D9EAD3"/>
          </w:tcPr>
          <w:p>
            <w:pPr>
              <w:spacing w:after="40"/>
            </w:pPr>
            <w:r/>
            <w:r>
              <w:rPr>
                <w:b/>
                <w:sz w:val="19"/>
              </w:rPr>
              <w:t>OK</w:t>
            </w:r>
          </w:p>
        </w:tc>
        <w:tc>
          <w:tcPr>
            <w:tcW w:type="dxa" w:w="5556"/>
          </w:tcPr>
          <w:p>
            <w:pPr>
              <w:spacing w:after="40"/>
            </w:pPr>
            <w:r/>
            <w:r>
              <w:rPr>
                <w:sz w:val="19"/>
              </w:rPr>
              <w:t>29 functional cases pass on SQLite and PostgreSQL; negative cases covered</w:t>
            </w:r>
          </w:p>
        </w:tc>
      </w:tr>
      <w:tr>
        <w:trPr>
          <w:cantSplit/>
        </w:trPr>
        <w:tc>
          <w:tcPr>
            <w:tcW w:type="dxa" w:w="2608"/>
          </w:tcPr>
          <w:p>
            <w:pPr>
              <w:spacing w:after="40"/>
            </w:pPr>
            <w:r/>
            <w:r>
              <w:rPr>
                <w:sz w:val="19"/>
              </w:rPr>
              <w:t>Stock integrity under concurrency</w:t>
            </w:r>
          </w:p>
        </w:tc>
        <w:tc>
          <w:tcPr>
            <w:tcW w:type="dxa" w:w="1474"/>
            <w:shd w:val="clear" w:color="auto" w:fill="F4CCCC"/>
          </w:tcPr>
          <w:p>
            <w:pPr>
              <w:spacing w:after="40"/>
            </w:pPr>
            <w:r/>
            <w:r>
              <w:rPr>
                <w:b/>
                <w:sz w:val="19"/>
              </w:rPr>
              <w:t>FAIL</w:t>
            </w:r>
          </w:p>
        </w:tc>
        <w:tc>
          <w:tcPr>
            <w:tcW w:type="dxa" w:w="5556"/>
          </w:tcPr>
          <w:p>
            <w:pPr>
              <w:spacing w:after="40"/>
            </w:pPr>
            <w:r/>
            <w:r>
              <w:rPr>
                <w:sz w:val="19"/>
              </w:rPr>
              <w:t>Overselling reproduced on SQLite; check and decrement are separate statements</w:t>
            </w:r>
          </w:p>
        </w:tc>
      </w:tr>
      <w:tr>
        <w:trPr>
          <w:cantSplit/>
        </w:trPr>
        <w:tc>
          <w:tcPr>
            <w:tcW w:type="dxa" w:w="2608"/>
          </w:tcPr>
          <w:p>
            <w:pPr>
              <w:spacing w:after="40"/>
            </w:pPr>
            <w:r/>
            <w:r>
              <w:rPr>
                <w:sz w:val="19"/>
              </w:rPr>
              <w:t>Performance at realistic scale</w:t>
            </w:r>
          </w:p>
        </w:tc>
        <w:tc>
          <w:tcPr>
            <w:tcW w:type="dxa" w:w="1474"/>
            <w:shd w:val="clear" w:color="auto" w:fill="F4CCCC"/>
          </w:tcPr>
          <w:p>
            <w:pPr>
              <w:spacing w:after="40"/>
            </w:pPr>
            <w:r/>
            <w:r>
              <w:rPr>
                <w:b/>
                <w:sz w:val="19"/>
              </w:rPr>
              <w:t>FAIL</w:t>
            </w:r>
          </w:p>
        </w:tc>
        <w:tc>
          <w:tcPr>
            <w:tcW w:type="dxa" w:w="5556"/>
          </w:tcPr>
          <w:p>
            <w:pPr>
              <w:spacing w:after="40"/>
            </w:pPr>
            <w:r/>
            <w:r>
              <w:rPr>
                <w:sz w:val="19"/>
              </w:rPr>
              <w:t>Recommendations and browse degrade as shown above (N+1 queries, no pagination)</w:t>
            </w:r>
          </w:p>
        </w:tc>
      </w:tr>
      <w:tr>
        <w:trPr>
          <w:cantSplit/>
        </w:trPr>
        <w:tc>
          <w:tcPr>
            <w:tcW w:type="dxa" w:w="2608"/>
          </w:tcPr>
          <w:p>
            <w:pPr>
              <w:spacing w:after="40"/>
            </w:pPr>
            <w:r/>
            <w:r>
              <w:rPr>
                <w:sz w:val="19"/>
              </w:rPr>
              <w:t>Payments</w:t>
            </w:r>
          </w:p>
        </w:tc>
        <w:tc>
          <w:tcPr>
            <w:tcW w:type="dxa" w:w="1474"/>
            <w:shd w:val="clear" w:color="auto" w:fill="F4CCCC"/>
          </w:tcPr>
          <w:p>
            <w:pPr>
              <w:spacing w:after="40"/>
            </w:pPr>
            <w:r/>
            <w:r>
              <w:rPr>
                <w:b/>
                <w:sz w:val="19"/>
              </w:rPr>
              <w:t>FAIL</w:t>
            </w:r>
          </w:p>
        </w:tc>
        <w:tc>
          <w:tcPr>
            <w:tcW w:type="dxa" w:w="5556"/>
          </w:tcPr>
          <w:p>
            <w:pPr>
              <w:spacing w:after="40"/>
            </w:pPr>
            <w:r/>
            <w:r>
              <w:rPr>
                <w:sz w:val="19"/>
              </w:rPr>
              <w:t>Mock only. Live mode rejects every payment; no webhook route; signature verifier tested but unused. With the mock in production, anyone can "pay" without money moving</w:t>
            </w:r>
          </w:p>
        </w:tc>
      </w:tr>
      <w:tr>
        <w:trPr>
          <w:cantSplit/>
        </w:trPr>
        <w:tc>
          <w:tcPr>
            <w:tcW w:type="dxa" w:w="2608"/>
          </w:tcPr>
          <w:p>
            <w:pPr>
              <w:spacing w:after="40"/>
            </w:pPr>
            <w:r/>
            <w:r>
              <w:rPr>
                <w:sz w:val="19"/>
              </w:rPr>
              <w:t>Horizontal scaling</w:t>
            </w:r>
          </w:p>
        </w:tc>
        <w:tc>
          <w:tcPr>
            <w:tcW w:type="dxa" w:w="1474"/>
            <w:shd w:val="clear" w:color="auto" w:fill="F4CCCC"/>
          </w:tcPr>
          <w:p>
            <w:pPr>
              <w:spacing w:after="40"/>
            </w:pPr>
            <w:r/>
            <w:r>
              <w:rPr>
                <w:b/>
                <w:sz w:val="19"/>
              </w:rPr>
              <w:t>NOT READY</w:t>
            </w:r>
          </w:p>
        </w:tc>
        <w:tc>
          <w:tcPr>
            <w:tcW w:type="dxa" w:w="5556"/>
          </w:tcPr>
          <w:p>
            <w:pPr>
              <w:spacing w:after="40"/>
            </w:pPr>
            <w:r/>
            <w:r>
              <w:rPr>
                <w:sz w:val="19"/>
              </w:rPr>
              <w:t>Sessions, rate limits and idempotency records are in-process; two instances would disagree</w:t>
            </w:r>
          </w:p>
        </w:tc>
      </w:tr>
      <w:tr>
        <w:trPr>
          <w:cantSplit/>
        </w:trPr>
        <w:tc>
          <w:tcPr>
            <w:tcW w:type="dxa" w:w="2608"/>
          </w:tcPr>
          <w:p>
            <w:pPr>
              <w:spacing w:after="40"/>
            </w:pPr>
            <w:r/>
            <w:r>
              <w:rPr>
                <w:sz w:val="19"/>
              </w:rPr>
              <w:t>Security controls</w:t>
            </w:r>
          </w:p>
        </w:tc>
        <w:tc>
          <w:tcPr>
            <w:tcW w:type="dxa" w:w="1474"/>
            <w:shd w:val="clear" w:color="auto" w:fill="FFF2CC"/>
          </w:tcPr>
          <w:p>
            <w:pPr>
              <w:spacing w:after="40"/>
            </w:pPr>
            <w:r/>
            <w:r>
              <w:rPr>
                <w:b/>
                <w:sz w:val="19"/>
              </w:rPr>
              <w:t>PARTIAL</w:t>
            </w:r>
          </w:p>
        </w:tc>
        <w:tc>
          <w:tcPr>
            <w:tcW w:type="dxa" w:w="5556"/>
          </w:tcPr>
          <w:p>
            <w:pPr>
              <w:spacing w:after="40"/>
            </w:pPr>
            <w:r/>
            <w:r>
              <w:rPr>
                <w:sz w:val="19"/>
              </w:rPr>
              <w:t>bcrypt, expiry, rate limits, CORS, headers, ORM, dependency scan. No penetration test, no admin audit log, no lockout or 2FA</w:t>
            </w:r>
          </w:p>
        </w:tc>
      </w:tr>
      <w:tr>
        <w:trPr>
          <w:cantSplit/>
        </w:trPr>
        <w:tc>
          <w:tcPr>
            <w:tcW w:type="dxa" w:w="2608"/>
          </w:tcPr>
          <w:p>
            <w:pPr>
              <w:spacing w:after="40"/>
            </w:pPr>
            <w:r/>
            <w:r>
              <w:rPr>
                <w:sz w:val="19"/>
              </w:rPr>
              <w:t>Notifications</w:t>
            </w:r>
          </w:p>
        </w:tc>
        <w:tc>
          <w:tcPr>
            <w:tcW w:type="dxa" w:w="1474"/>
            <w:shd w:val="clear" w:color="auto" w:fill="FFF2CC"/>
          </w:tcPr>
          <w:p>
            <w:pPr>
              <w:spacing w:after="40"/>
            </w:pPr>
            <w:r/>
            <w:r>
              <w:rPr>
                <w:b/>
                <w:sz w:val="19"/>
              </w:rPr>
              <w:t>UNVERIFIED</w:t>
            </w:r>
          </w:p>
        </w:tc>
        <w:tc>
          <w:tcPr>
            <w:tcW w:type="dxa" w:w="5556"/>
          </w:tcPr>
          <w:p>
            <w:pPr>
              <w:spacing w:after="40"/>
            </w:pPr>
            <w:r/>
            <w:r>
              <w:rPr>
                <w:sz w:val="19"/>
              </w:rPr>
              <w:t>Console backend by default; SMTP verified only against a local test server</w:t>
            </w:r>
          </w:p>
        </w:tc>
      </w:tr>
      <w:tr>
        <w:trPr>
          <w:cantSplit/>
        </w:trPr>
        <w:tc>
          <w:tcPr>
            <w:tcW w:type="dxa" w:w="2608"/>
          </w:tcPr>
          <w:p>
            <w:pPr>
              <w:spacing w:after="40"/>
            </w:pPr>
            <w:r/>
            <w:r>
              <w:rPr>
                <w:sz w:val="19"/>
              </w:rPr>
              <w:t>Legal and compliance</w:t>
            </w:r>
          </w:p>
        </w:tc>
        <w:tc>
          <w:tcPr>
            <w:tcW w:type="dxa" w:w="1474"/>
            <w:shd w:val="clear" w:color="auto" w:fill="FFF2CC"/>
          </w:tcPr>
          <w:p>
            <w:pPr>
              <w:spacing w:after="40"/>
            </w:pPr>
            <w:r/>
            <w:r>
              <w:rPr>
                <w:b/>
                <w:sz w:val="19"/>
              </w:rPr>
              <w:t>DRAFT</w:t>
            </w:r>
          </w:p>
        </w:tc>
        <w:tc>
          <w:tcPr>
            <w:tcW w:type="dxa" w:w="5556"/>
          </w:tcPr>
          <w:p>
            <w:pPr>
              <w:spacing w:after="40"/>
            </w:pPr>
            <w:r/>
            <w:r>
              <w:rPr>
                <w:sz w:val="19"/>
              </w:rPr>
              <w:t>Four policy documents with unresolved placeholders; no legal review; no DPIA</w:t>
            </w:r>
          </w:p>
        </w:tc>
      </w:tr>
      <w:tr>
        <w:trPr>
          <w:cantSplit/>
        </w:trPr>
        <w:tc>
          <w:tcPr>
            <w:tcW w:type="dxa" w:w="2608"/>
          </w:tcPr>
          <w:p>
            <w:pPr>
              <w:spacing w:after="40"/>
            </w:pPr>
            <w:r/>
            <w:r>
              <w:rPr>
                <w:sz w:val="19"/>
              </w:rPr>
              <w:t>Deployment and CI config</w:t>
            </w:r>
          </w:p>
        </w:tc>
        <w:tc>
          <w:tcPr>
            <w:tcW w:type="dxa" w:w="1474"/>
            <w:shd w:val="clear" w:color="auto" w:fill="FFF2CC"/>
          </w:tcPr>
          <w:p>
            <w:pPr>
              <w:spacing w:after="40"/>
            </w:pPr>
            <w:r/>
            <w:r>
              <w:rPr>
                <w:b/>
                <w:sz w:val="19"/>
              </w:rPr>
              <w:t>UNVERIFIED</w:t>
            </w:r>
          </w:p>
        </w:tc>
        <w:tc>
          <w:tcPr>
            <w:tcW w:type="dxa" w:w="5556"/>
          </w:tcPr>
          <w:p>
            <w:pPr>
              <w:spacing w:after="40"/>
            </w:pPr>
            <w:r/>
            <w:r>
              <w:rPr>
                <w:sz w:val="19"/>
              </w:rPr>
              <w:t>Dockerfiles, Compose and CI written, never executed</w:t>
            </w:r>
          </w:p>
        </w:tc>
      </w:tr>
      <w:tr>
        <w:trPr>
          <w:cantSplit/>
        </w:trPr>
        <w:tc>
          <w:tcPr>
            <w:tcW w:type="dxa" w:w="2608"/>
          </w:tcPr>
          <w:p>
            <w:pPr>
              <w:spacing w:after="40"/>
            </w:pPr>
            <w:r/>
            <w:r>
              <w:rPr>
                <w:sz w:val="19"/>
              </w:rPr>
              <w:t>Observability</w:t>
            </w:r>
          </w:p>
        </w:tc>
        <w:tc>
          <w:tcPr>
            <w:tcW w:type="dxa" w:w="1474"/>
            <w:shd w:val="clear" w:color="auto" w:fill="FFF2CC"/>
          </w:tcPr>
          <w:p>
            <w:pPr>
              <w:spacing w:after="40"/>
            </w:pPr>
            <w:r/>
            <w:r>
              <w:rPr>
                <w:b/>
                <w:sz w:val="19"/>
              </w:rPr>
              <w:t>PARTIAL</w:t>
            </w:r>
          </w:p>
        </w:tc>
        <w:tc>
          <w:tcPr>
            <w:tcW w:type="dxa" w:w="5556"/>
          </w:tcPr>
          <w:p>
            <w:pPr>
              <w:spacing w:after="40"/>
            </w:pPr>
            <w:r/>
            <w:r>
              <w:rPr>
                <w:sz w:val="19"/>
              </w:rPr>
              <w:t>JSON request logs exist; no metrics, alerting or tracing</w:t>
            </w:r>
          </w:p>
        </w:tc>
      </w:tr>
      <w:tr>
        <w:trPr>
          <w:cantSplit/>
        </w:trPr>
        <w:tc>
          <w:tcPr>
            <w:tcW w:type="dxa" w:w="2608"/>
          </w:tcPr>
          <w:p>
            <w:pPr>
              <w:spacing w:after="40"/>
            </w:pPr>
            <w:r/>
            <w:r>
              <w:rPr>
                <w:sz w:val="19"/>
              </w:rPr>
              <w:t>Backup and recovery</w:t>
            </w:r>
          </w:p>
        </w:tc>
        <w:tc>
          <w:tcPr>
            <w:tcW w:type="dxa" w:w="1474"/>
            <w:shd w:val="clear" w:color="auto" w:fill="FFF2CC"/>
          </w:tcPr>
          <w:p>
            <w:pPr>
              <w:spacing w:after="40"/>
            </w:pPr>
            <w:r/>
            <w:r>
              <w:rPr>
                <w:b/>
                <w:sz w:val="19"/>
              </w:rPr>
              <w:t>PARTIAL</w:t>
            </w:r>
          </w:p>
        </w:tc>
        <w:tc>
          <w:tcPr>
            <w:tcW w:type="dxa" w:w="5556"/>
          </w:tcPr>
          <w:p>
            <w:pPr>
              <w:spacing w:after="40"/>
            </w:pPr>
            <w:r/>
            <w:r>
              <w:rPr>
                <w:sz w:val="19"/>
              </w:rPr>
              <w:t>Backup/restore cycle tested once; nothing scheduled or monitored</w:t>
            </w:r>
          </w:p>
        </w:tc>
      </w:tr>
      <w:tr>
        <w:trPr>
          <w:cantSplit/>
        </w:trPr>
        <w:tc>
          <w:tcPr>
            <w:tcW w:type="dxa" w:w="2608"/>
          </w:tcPr>
          <w:p>
            <w:pPr>
              <w:spacing w:after="40"/>
            </w:pPr>
            <w:r/>
            <w:r>
              <w:rPr>
                <w:sz w:val="19"/>
              </w:rPr>
              <w:t>Accessibility</w:t>
            </w:r>
          </w:p>
        </w:tc>
        <w:tc>
          <w:tcPr>
            <w:tcW w:type="dxa" w:w="1474"/>
            <w:shd w:val="clear" w:color="auto" w:fill="FFF2CC"/>
          </w:tcPr>
          <w:p>
            <w:pPr>
              <w:spacing w:after="40"/>
            </w:pPr>
            <w:r/>
            <w:r>
              <w:rPr>
                <w:b/>
                <w:sz w:val="19"/>
              </w:rPr>
              <w:t>PARTIAL</w:t>
            </w:r>
          </w:p>
        </w:tc>
        <w:tc>
          <w:tcPr>
            <w:tcW w:type="dxa" w:w="5556"/>
          </w:tcPr>
          <w:p>
            <w:pPr>
              <w:spacing w:after="40"/>
            </w:pPr>
            <w:r/>
            <w:r>
              <w:rPr>
                <w:sz w:val="19"/>
              </w:rPr>
              <w:t>SSR storefront passes static checks; Flet dashboards untested; no assistive-technology testing</w:t>
            </w:r>
          </w:p>
        </w:tc>
      </w:tr>
      <w:tr>
        <w:trPr>
          <w:cantSplit/>
        </w:trPr>
        <w:tc>
          <w:tcPr>
            <w:tcW w:type="dxa" w:w="2608"/>
          </w:tcPr>
          <w:p>
            <w:pPr>
              <w:spacing w:after="40"/>
            </w:pPr>
            <w:r/>
            <w:r>
              <w:rPr>
                <w:sz w:val="19"/>
              </w:rPr>
              <w:t>Requirements validity</w:t>
            </w:r>
          </w:p>
        </w:tc>
        <w:tc>
          <w:tcPr>
            <w:tcW w:type="dxa" w:w="1474"/>
            <w:shd w:val="clear" w:color="auto" w:fill="FFF2CC"/>
          </w:tcPr>
          <w:p>
            <w:pPr>
              <w:spacing w:after="40"/>
            </w:pPr>
            <w:r/>
            <w:r>
              <w:rPr>
                <w:b/>
                <w:sz w:val="19"/>
              </w:rPr>
              <w:t>UNVERIFIED</w:t>
            </w:r>
          </w:p>
        </w:tc>
        <w:tc>
          <w:tcPr>
            <w:tcW w:type="dxa" w:w="5556"/>
          </w:tcPr>
          <w:p>
            <w:pPr>
              <w:spacing w:after="40"/>
            </w:pPr>
            <w:r/>
            <w:r>
              <w:rPr>
                <w:sz w:val="19"/>
              </w:rPr>
              <w:t>Elicitation instruments written, never run; requirements rest on inference</w:t>
            </w:r>
          </w:p>
        </w:tc>
      </w:tr>
    </w:tbl>
    <w:p>
      <w:pPr>
        <w:spacing w:after="40"/>
      </w:pPr>
    </w:p>
    <w:p>
      <w:pPr>
        <w:keepNext/>
        <w:spacing w:before="240" w:after="80"/>
      </w:pPr>
      <w:r>
        <w:rPr>
          <w:b/>
          <w:color w:val="1F3864"/>
          <w:sz w:val="28"/>
        </w:rPr>
        <w:t>4. What must change, in priority order</w:t>
      </w:r>
    </w:p>
    <w:p>
      <w:pPr>
        <w:spacing w:after="120"/>
      </w:pPr>
      <w:r>
        <w:rPr>
          <w:b w:val="0"/>
          <w:i/>
        </w:rPr>
        <w:t>Effort figures are my estimates, not measurements. Each item has an acceptance test so "fixed" is something you can check.</w:t>
      </w:r>
    </w:p>
    <w:tbl>
      <w:tblPr>
        <w:tblStyle w:val="TableGrid"/>
        <w:tblW w:type="auto" w:w="0"/>
        <w:jc w:val="center"/>
        <w:tblLayout w:type="fixed"/>
        <w:tblLook w:firstColumn="1" w:firstRow="1" w:lastColumn="0" w:lastRow="0" w:noHBand="0" w:noVBand="1" w:val="04A0"/>
        <w:tblLayout w:type="fixed"/>
      </w:tblPr>
      <w:tblGrid>
        <w:gridCol w:w="794"/>
        <w:gridCol w:w="4082"/>
        <w:gridCol w:w="1077"/>
        <w:gridCol w:w="3685"/>
      </w:tblGrid>
      <w:tr>
        <w:trPr>
          <w:cantSplit/>
        </w:trPr>
        <w:tc>
          <w:tcPr>
            <w:tcW w:type="dxa" w:w="794"/>
            <w:shd w:val="clear" w:color="auto" w:fill="1F3864"/>
          </w:tcPr>
          <w:p>
            <w:r/>
            <w:r>
              <w:rPr>
                <w:b/>
                <w:color w:val="FFFFFF"/>
                <w:sz w:val="19"/>
              </w:rPr>
              <w:t>#</w:t>
            </w:r>
          </w:p>
        </w:tc>
        <w:tc>
          <w:tcPr>
            <w:tcW w:type="dxa" w:w="4082"/>
            <w:shd w:val="clear" w:color="auto" w:fill="1F3864"/>
          </w:tcPr>
          <w:p>
            <w:r/>
            <w:r>
              <w:rPr>
                <w:b/>
                <w:color w:val="FFFFFF"/>
                <w:sz w:val="19"/>
              </w:rPr>
              <w:t>Fix</w:t>
            </w:r>
          </w:p>
        </w:tc>
        <w:tc>
          <w:tcPr>
            <w:tcW w:type="dxa" w:w="1077"/>
            <w:shd w:val="clear" w:color="auto" w:fill="1F3864"/>
          </w:tcPr>
          <w:p>
            <w:r/>
            <w:r>
              <w:rPr>
                <w:b/>
                <w:color w:val="FFFFFF"/>
                <w:sz w:val="19"/>
              </w:rPr>
              <w:t>Est.</w:t>
            </w:r>
          </w:p>
        </w:tc>
        <w:tc>
          <w:tcPr>
            <w:tcW w:type="dxa" w:w="3685"/>
            <w:shd w:val="clear" w:color="auto" w:fill="1F3864"/>
          </w:tcPr>
          <w:p>
            <w:r/>
            <w:r>
              <w:rPr>
                <w:b/>
                <w:color w:val="FFFFFF"/>
                <w:sz w:val="19"/>
              </w:rPr>
              <w:t>Acceptance test</w:t>
            </w:r>
          </w:p>
        </w:tc>
      </w:tr>
      <w:tr>
        <w:trPr>
          <w:cantSplit/>
        </w:trPr>
        <w:tc>
          <w:tcPr>
            <w:tcW w:type="dxa" w:w="794"/>
          </w:tcPr>
          <w:p>
            <w:pPr>
              <w:spacing w:after="40"/>
            </w:pPr>
            <w:r/>
            <w:r>
              <w:rPr>
                <w:sz w:val="19"/>
              </w:rPr>
              <w:t>P0-1</w:t>
            </w:r>
          </w:p>
        </w:tc>
        <w:tc>
          <w:tcPr>
            <w:tcW w:type="dxa" w:w="4082"/>
          </w:tcPr>
          <w:p>
            <w:pPr>
              <w:spacing w:after="40"/>
            </w:pPr>
            <w:r/>
            <w:r>
              <w:rPr>
                <w:sz w:val="19"/>
              </w:rPr>
              <w:t>Make the stock decrement atomic (UPDATE ... WHERE quantity &gt;= n, zero rows means insufficient stock) and reserve before charging, not after</w:t>
            </w:r>
          </w:p>
        </w:tc>
        <w:tc>
          <w:tcPr>
            <w:tcW w:type="dxa" w:w="1077"/>
          </w:tcPr>
          <w:p>
            <w:pPr>
              <w:spacing w:after="40"/>
            </w:pPr>
            <w:r/>
            <w:r>
              <w:rPr>
                <w:sz w:val="19"/>
              </w:rPr>
              <w:t>0.5 day</w:t>
            </w:r>
          </w:p>
        </w:tc>
        <w:tc>
          <w:tcPr>
            <w:tcW w:type="dxa" w:w="3685"/>
          </w:tcPr>
          <w:p>
            <w:pPr>
              <w:spacing w:after="40"/>
            </w:pPr>
            <w:r/>
            <w:r>
              <w:rPr>
                <w:sz w:val="19"/>
              </w:rPr>
              <w:t>Race test with 3 simultaneous buyers for 1 unit: exactly 1 succeeds, 2 get 400, stock is 0, exactly 1 charge</w:t>
            </w:r>
          </w:p>
        </w:tc>
      </w:tr>
      <w:tr>
        <w:trPr>
          <w:cantSplit/>
        </w:trPr>
        <w:tc>
          <w:tcPr>
            <w:tcW w:type="dxa" w:w="794"/>
          </w:tcPr>
          <w:p>
            <w:pPr>
              <w:spacing w:after="40"/>
            </w:pPr>
            <w:r/>
            <w:r>
              <w:rPr>
                <w:sz w:val="19"/>
              </w:rPr>
              <w:t>P0-2</w:t>
            </w:r>
          </w:p>
        </w:tc>
        <w:tc>
          <w:tcPr>
            <w:tcW w:type="dxa" w:w="4082"/>
          </w:tcPr>
          <w:p>
            <w:pPr>
              <w:spacing w:after="40"/>
            </w:pPr>
            <w:r/>
            <w:r>
              <w:rPr>
                <w:sz w:val="19"/>
              </w:rPr>
              <w:t>Precompute the item-item matrix offline (or cache per user with a TTL); remove per-request work proportional to total orders</w:t>
            </w:r>
          </w:p>
        </w:tc>
        <w:tc>
          <w:tcPr>
            <w:tcW w:type="dxa" w:w="1077"/>
          </w:tcPr>
          <w:p>
            <w:pPr>
              <w:spacing w:after="40"/>
            </w:pPr>
            <w:r/>
            <w:r>
              <w:rPr>
                <w:sz w:val="19"/>
              </w:rPr>
              <w:t>1 day</w:t>
            </w:r>
          </w:p>
        </w:tc>
        <w:tc>
          <w:tcPr>
            <w:tcW w:type="dxa" w:w="3685"/>
          </w:tcPr>
          <w:p>
            <w:pPr>
              <w:spacing w:after="40"/>
            </w:pPr>
            <w:r/>
            <w:r>
              <w:rPr>
                <w:sz w:val="19"/>
              </w:rPr>
              <w:t>p95 under 300 ms with 5,000 orders and 10 concurrent users</w:t>
            </w:r>
          </w:p>
        </w:tc>
      </w:tr>
      <w:tr>
        <w:trPr>
          <w:cantSplit/>
        </w:trPr>
        <w:tc>
          <w:tcPr>
            <w:tcW w:type="dxa" w:w="794"/>
          </w:tcPr>
          <w:p>
            <w:pPr>
              <w:spacing w:after="40"/>
            </w:pPr>
            <w:r/>
            <w:r>
              <w:rPr>
                <w:sz w:val="19"/>
              </w:rPr>
              <w:t>P0-3</w:t>
            </w:r>
          </w:p>
        </w:tc>
        <w:tc>
          <w:tcPr>
            <w:tcW w:type="dxa" w:w="4082"/>
          </w:tcPr>
          <w:p>
            <w:pPr>
              <w:spacing w:after="40"/>
            </w:pPr>
            <w:r/>
            <w:r>
              <w:rPr>
                <w:sz w:val="19"/>
              </w:rPr>
              <w:t>Paginate /listings and the storefront category and search pages; eager-load photos and vendor</w:t>
            </w:r>
          </w:p>
        </w:tc>
        <w:tc>
          <w:tcPr>
            <w:tcW w:type="dxa" w:w="1077"/>
          </w:tcPr>
          <w:p>
            <w:pPr>
              <w:spacing w:after="40"/>
            </w:pPr>
            <w:r/>
            <w:r>
              <w:rPr>
                <w:sz w:val="19"/>
              </w:rPr>
              <w:t>0.5 day</w:t>
            </w:r>
          </w:p>
        </w:tc>
        <w:tc>
          <w:tcPr>
            <w:tcW w:type="dxa" w:w="3685"/>
          </w:tcPr>
          <w:p>
            <w:pPr>
              <w:spacing w:after="40"/>
            </w:pPr>
            <w:r/>
            <w:r>
              <w:rPr>
                <w:sz w:val="19"/>
              </w:rPr>
              <w:t>Page of 50 items in 5 queries or fewer</w:t>
            </w:r>
          </w:p>
        </w:tc>
      </w:tr>
      <w:tr>
        <w:trPr>
          <w:cantSplit/>
        </w:trPr>
        <w:tc>
          <w:tcPr>
            <w:tcW w:type="dxa" w:w="794"/>
          </w:tcPr>
          <w:p>
            <w:pPr>
              <w:spacing w:after="40"/>
            </w:pPr>
            <w:r/>
            <w:r>
              <w:rPr>
                <w:sz w:val="19"/>
              </w:rPr>
              <w:t>P1-4</w:t>
            </w:r>
          </w:p>
        </w:tc>
        <w:tc>
          <w:tcPr>
            <w:tcW w:type="dxa" w:w="4082"/>
          </w:tcPr>
          <w:p>
            <w:pPr>
              <w:spacing w:after="40"/>
            </w:pPr>
            <w:r/>
            <w:r>
              <w:rPr>
                <w:sz w:val="19"/>
              </w:rPr>
              <w:t>Move sessions, rate-limit counters and idempotency records to Redis (or signed tokens with a denylist)</w:t>
            </w:r>
          </w:p>
        </w:tc>
        <w:tc>
          <w:tcPr>
            <w:tcW w:type="dxa" w:w="1077"/>
          </w:tcPr>
          <w:p>
            <w:pPr>
              <w:spacing w:after="40"/>
            </w:pPr>
            <w:r/>
            <w:r>
              <w:rPr>
                <w:sz w:val="19"/>
              </w:rPr>
              <w:t>1 day</w:t>
            </w:r>
          </w:p>
        </w:tc>
        <w:tc>
          <w:tcPr>
            <w:tcW w:type="dxa" w:w="3685"/>
          </w:tcPr>
          <w:p>
            <w:pPr>
              <w:spacing w:after="40"/>
            </w:pPr>
            <w:r/>
            <w:r>
              <w:rPr>
                <w:sz w:val="19"/>
              </w:rPr>
              <w:t>Two instances behind a balancer: login on one, authenticated request on the other</w:t>
            </w:r>
          </w:p>
        </w:tc>
      </w:tr>
      <w:tr>
        <w:trPr>
          <w:cantSplit/>
        </w:trPr>
        <w:tc>
          <w:tcPr>
            <w:tcW w:type="dxa" w:w="794"/>
          </w:tcPr>
          <w:p>
            <w:pPr>
              <w:spacing w:after="40"/>
            </w:pPr>
            <w:r/>
            <w:r>
              <w:rPr>
                <w:sz w:val="19"/>
              </w:rPr>
              <w:t>P1-5</w:t>
            </w:r>
          </w:p>
        </w:tc>
        <w:tc>
          <w:tcPr>
            <w:tcW w:type="dxa" w:w="4082"/>
          </w:tcPr>
          <w:p>
            <w:pPr>
              <w:spacing w:after="40"/>
            </w:pPr>
            <w:r/>
            <w:r>
              <w:rPr>
                <w:sz w:val="19"/>
              </w:rPr>
              <w:t>Build the real payment flow: redirect step, pending-order state, signature-verified webhook route, verify-endpoint fallback, idempotent confirmation</w:t>
            </w:r>
          </w:p>
        </w:tc>
        <w:tc>
          <w:tcPr>
            <w:tcW w:type="dxa" w:w="1077"/>
          </w:tcPr>
          <w:p>
            <w:pPr>
              <w:spacing w:after="40"/>
            </w:pPr>
            <w:r/>
            <w:r>
              <w:rPr>
                <w:sz w:val="19"/>
              </w:rPr>
              <w:t>3 to 5 days</w:t>
            </w:r>
          </w:p>
        </w:tc>
        <w:tc>
          <w:tcPr>
            <w:tcW w:type="dxa" w:w="3685"/>
          </w:tcPr>
          <w:p>
            <w:pPr>
              <w:spacing w:after="40"/>
            </w:pPr>
            <w:r/>
            <w:r>
              <w:rPr>
                <w:sz w:val="19"/>
              </w:rPr>
              <w:t>Full payment completed in Paystack test mode from a network that can reach it; replayed webhook changes nothing</w:t>
            </w:r>
          </w:p>
        </w:tc>
      </w:tr>
      <w:tr>
        <w:trPr>
          <w:cantSplit/>
        </w:trPr>
        <w:tc>
          <w:tcPr>
            <w:tcW w:type="dxa" w:w="794"/>
          </w:tcPr>
          <w:p>
            <w:pPr>
              <w:spacing w:after="40"/>
            </w:pPr>
            <w:r/>
            <w:r>
              <w:rPr>
                <w:sz w:val="19"/>
              </w:rPr>
              <w:t>P1-6</w:t>
            </w:r>
          </w:p>
        </w:tc>
        <w:tc>
          <w:tcPr>
            <w:tcW w:type="dxa" w:w="4082"/>
          </w:tcPr>
          <w:p>
            <w:pPr>
              <w:spacing w:after="40"/>
            </w:pPr>
            <w:r/>
            <w:r>
              <w:rPr>
                <w:sz w:val="19"/>
              </w:rPr>
              <w:t>Run the Docker build and the CI workflow for real; fix what breaks</w:t>
            </w:r>
          </w:p>
        </w:tc>
        <w:tc>
          <w:tcPr>
            <w:tcW w:type="dxa" w:w="1077"/>
          </w:tcPr>
          <w:p>
            <w:pPr>
              <w:spacing w:after="40"/>
            </w:pPr>
            <w:r/>
            <w:r>
              <w:rPr>
                <w:sz w:val="19"/>
              </w:rPr>
              <w:t>0.5 day</w:t>
            </w:r>
          </w:p>
        </w:tc>
        <w:tc>
          <w:tcPr>
            <w:tcW w:type="dxa" w:w="3685"/>
          </w:tcPr>
          <w:p>
            <w:pPr>
              <w:spacing w:after="40"/>
            </w:pPr>
            <w:r/>
            <w:r>
              <w:rPr>
                <w:sz w:val="19"/>
              </w:rPr>
              <w:t>Green CI run; docker compose up serves the app</w:t>
            </w:r>
          </w:p>
        </w:tc>
      </w:tr>
      <w:tr>
        <w:trPr>
          <w:cantSplit/>
        </w:trPr>
        <w:tc>
          <w:tcPr>
            <w:tcW w:type="dxa" w:w="794"/>
          </w:tcPr>
          <w:p>
            <w:pPr>
              <w:spacing w:after="40"/>
            </w:pPr>
            <w:r/>
            <w:r>
              <w:rPr>
                <w:sz w:val="19"/>
              </w:rPr>
              <w:t>P1-7</w:t>
            </w:r>
          </w:p>
        </w:tc>
        <w:tc>
          <w:tcPr>
            <w:tcW w:type="dxa" w:w="4082"/>
          </w:tcPr>
          <w:p>
            <w:pPr>
              <w:spacing w:after="40"/>
            </w:pPr>
            <w:r/>
            <w:r>
              <w:rPr>
                <w:sz w:val="19"/>
              </w:rPr>
              <w:t>Legal review of the four documents; decide what email verification gates; add an admin audit log</w:t>
            </w:r>
          </w:p>
        </w:tc>
        <w:tc>
          <w:tcPr>
            <w:tcW w:type="dxa" w:w="1077"/>
          </w:tcPr>
          <w:p>
            <w:pPr>
              <w:spacing w:after="40"/>
            </w:pPr>
            <w:r/>
            <w:r>
              <w:rPr>
                <w:sz w:val="19"/>
              </w:rPr>
              <w:t>External</w:t>
            </w:r>
          </w:p>
        </w:tc>
        <w:tc>
          <w:tcPr>
            <w:tcW w:type="dxa" w:w="3685"/>
          </w:tcPr>
          <w:p>
            <w:pPr>
              <w:spacing w:after="40"/>
            </w:pPr>
            <w:r/>
            <w:r>
              <w:rPr>
                <w:sz w:val="19"/>
              </w:rPr>
              <w:t>Signed-off documents; verification enforced where decided</w:t>
            </w:r>
          </w:p>
        </w:tc>
      </w:tr>
      <w:tr>
        <w:trPr>
          <w:cantSplit/>
        </w:trPr>
        <w:tc>
          <w:tcPr>
            <w:tcW w:type="dxa" w:w="794"/>
          </w:tcPr>
          <w:p>
            <w:pPr>
              <w:spacing w:after="40"/>
            </w:pPr>
            <w:r/>
            <w:r>
              <w:rPr>
                <w:sz w:val="19"/>
              </w:rPr>
              <w:t>P2-8</w:t>
            </w:r>
          </w:p>
        </w:tc>
        <w:tc>
          <w:tcPr>
            <w:tcW w:type="dxa" w:w="4082"/>
          </w:tcPr>
          <w:p>
            <w:pPr>
              <w:spacing w:after="40"/>
            </w:pPr>
            <w:r/>
            <w:r>
              <w:rPr>
                <w:sz w:val="19"/>
              </w:rPr>
              <w:t>Run the elicitation; load test on PostgreSQL with several workers; external penetration test; accessibility audit with assistive technology</w:t>
            </w:r>
          </w:p>
        </w:tc>
        <w:tc>
          <w:tcPr>
            <w:tcW w:type="dxa" w:w="1077"/>
          </w:tcPr>
          <w:p>
            <w:pPr>
              <w:spacing w:after="40"/>
            </w:pPr>
            <w:r/>
            <w:r>
              <w:rPr>
                <w:sz w:val="19"/>
              </w:rPr>
              <w:t>Weeks</w:t>
            </w:r>
          </w:p>
        </w:tc>
        <w:tc>
          <w:tcPr>
            <w:tcW w:type="dxa" w:w="3685"/>
          </w:tcPr>
          <w:p>
            <w:pPr>
              <w:spacing w:after="40"/>
            </w:pPr>
            <w:r/>
            <w:r>
              <w:rPr>
                <w:sz w:val="19"/>
              </w:rPr>
              <w:t>Findings recorded, requirements revised where contradicted</w:t>
            </w:r>
          </w:p>
        </w:tc>
      </w:tr>
    </w:tbl>
    <w:p>
      <w:pPr>
        <w:spacing w:after="40"/>
      </w:pPr>
    </w:p>
    <w:p>
      <w:pPr>
        <w:keepNext/>
        <w:spacing w:before="240" w:after="80"/>
      </w:pPr>
      <w:r>
        <w:rPr>
          <w:b/>
          <w:color w:val="1F3864"/>
          <w:sz w:val="28"/>
        </w:rPr>
        <w:t>5. What "ready" can realistically mean</w:t>
      </w:r>
    </w:p>
    <w:p>
      <w:pPr>
        <w:spacing w:after="80"/>
      </w:pPr>
      <w:r>
        <w:rPr>
          <w:b w:val="0"/>
          <w:i w:val="0"/>
        </w:rPr>
        <w:t>Supervised campus pilot (tens of users, one operator, you watching). Reachable after P0-1 to P0-3 (about two days by my estimate). Payments must be handled outside the app, by cash on delivery or by you confirming transfers manually, because the mock gateway marks every payment successful without moving money. Do not take real money through it.</w:t>
      </w:r>
    </w:p>
    <w:p>
      <w:pPr>
        <w:spacing w:after="80"/>
      </w:pPr>
      <w:r>
        <w:rPr>
          <w:b w:val="0"/>
          <w:i w:val="0"/>
        </w:rPr>
        <w:t>Public launch with real money. Needs P1 as well, in particular real payments, shared session state, a real deployment run, and legal sign-off. Realistically weeks of work, not days.</w:t>
      </w:r>
    </w:p>
    <w:p>
      <w:pPr>
        <w:spacing w:after="120"/>
      </w:pPr>
      <w:r>
        <w:rPr>
          <w:b w:val="0"/>
          <w:i w:val="0"/>
        </w:rPr>
        <w:t>Efficiency specifically. The transactional paths are fast (single recommendation request 12 ms on small data; storefront 127 ms median). The inefficiency is concentrated in two endpoints that do work proportional to total data volume on every request. That is a good position to be in, because it is a small, well-located problem.</w:t>
      </w:r>
    </w:p>
    <w:p>
      <w:pPr>
        <w:keepNext/>
        <w:spacing w:before="240" w:after="80"/>
      </w:pPr>
      <w:r>
        <w:rPr>
          <w:b/>
          <w:color w:val="1F3864"/>
          <w:sz w:val="28"/>
        </w:rPr>
        <w:t>6. Limits of this assessment</w:t>
      </w:r>
    </w:p>
    <w:p>
      <w:pPr>
        <w:pStyle w:val="ListBullet"/>
        <w:spacing w:after="40"/>
      </w:pPr>
      <w:r>
        <w:t>Hardware: one core shared with the load generator, so absolute latencies understate what a real server would deliver. The 507 and 5,019 query counts are engine-independent.</w:t>
      </w:r>
    </w:p>
    <w:p>
      <w:pPr>
        <w:pStyle w:val="ListBullet"/>
        <w:spacing w:after="40"/>
      </w:pPr>
      <w:r>
        <w:t>Database: all load and race tests ran on SQLite. PostgreSQL was not benchmarked, and the race on PostgreSQL is expected, not measured.</w:t>
      </w:r>
    </w:p>
    <w:p>
      <w:pPr>
        <w:pStyle w:val="ListBullet"/>
        <w:spacing w:after="40"/>
      </w:pPr>
      <w:r>
        <w:t>Data: synthetic and uniformly random, so real recommendation and catalogue access patterns will differ.</w:t>
      </w:r>
    </w:p>
    <w:p>
      <w:pPr>
        <w:pStyle w:val="ListBullet"/>
        <w:spacing w:after="40"/>
      </w:pPr>
      <w:r>
        <w:t>Concurrency: three threads is enough to prove the race exists; it says nothing about how often it occurs in real traffic.</w:t>
      </w:r>
    </w:p>
    <w:p>
      <w:pPr>
        <w:pStyle w:val="ListBullet"/>
        <w:spacing w:after="40"/>
      </w:pPr>
      <w:r>
        <w:t>Not tested at all: login throughput under bcrypt cost (rate limited), multi-instance behaviour, real network latency, mobile builds, the Flet client under load.</w:t>
      </w:r>
    </w:p>
    <w:p>
      <w:pPr>
        <w:keepNext/>
        <w:spacing w:before="240" w:after="80"/>
      </w:pPr>
      <w:r>
        <w:rPr>
          <w:b/>
          <w:color w:val="1F3864"/>
          <w:sz w:val="28"/>
        </w:rPr>
        <w:t>7. Corrections to earlier deliverables</w:t>
      </w:r>
    </w:p>
    <w:p>
      <w:pPr>
        <w:spacing w:after="60"/>
      </w:pPr>
      <w:r>
        <w:rPr>
          <w:b w:val="0"/>
          <w:i w:val="0"/>
        </w:rPr>
        <w:t>This assessment found errors in things I delivered earlier. All are now corrected in place:</w:t>
      </w:r>
    </w:p>
    <w:p>
      <w:pPr>
        <w:pStyle w:val="ListBullet"/>
        <w:spacing w:after="40"/>
      </w:pPr>
      <w:r>
        <w:t>I said SQLite's serialised writes would mask the stock race. It did not; the race reproduces on SQLite. Corrected in the implementation Q&amp;A (three paragraphs).</w:t>
      </w:r>
    </w:p>
    <w:p>
      <w:pPr>
        <w:pStyle w:val="ListBullet"/>
        <w:spacing w:after="40"/>
      </w:pPr>
      <w:r>
        <w:t>I said going live with payments only required setting MAUMART_PAYMENT_MOCK=false and supplying a key. That was false. Corrected in the payment_gateway.py docstring, the README, the course Q&amp;A bank, the implementation Q&amp;A and the report (new Section 12.13).</w:t>
      </w:r>
    </w:p>
    <w:p>
      <w:pPr>
        <w:pStyle w:val="ListBullet"/>
        <w:spacing w:after="40"/>
      </w:pPr>
      <w:r>
        <w:t>Report Section 12.12 said nothing was left unverified where verification was possible. Concurrency and load were never tested. Section 12.13 now states this.</w:t>
      </w:r>
    </w:p>
    <w:p>
      <w:pPr>
        <w:pStyle w:val="ListBullet"/>
        <w:spacing w:after="40"/>
      </w:pPr>
      <w:r>
        <w:t>I described the application tier as stateless. With in-memory sessions it is not, and the README's known-gaps list now says so.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