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7200"/>
            <w:gridSpan w:val="5"/>
          </w:tcPr>
          <w:p>
            <w:pPr>
              <w:pStyle w:val="Heading1"/>
            </w:pPr>
            <w:r>
              <w:t>Evidence Stream Summary and Interpretation</w:t>
            </w:r>
          </w:p>
        </w:tc>
        <w:tc>
          <w:tcPr>
            <w:tcW w:type="dxa" w:w="1440"/>
          </w:tcPr>
          <w:p>
            <w:pPr>
              <w:pStyle w:val="Heading1"/>
            </w:pPr>
            <w:r>
              <w:t>Evidence Integration Summary Judgement</w:t>
            </w:r>
          </w:p>
        </w:tc>
      </w:tr>
      <w:tr>
        <w:tc>
          <w:tcPr>
            <w:tcW w:type="dxa" w:w="7200"/>
            <w:gridSpan w:val="5"/>
          </w:tcPr>
          <w:p>
            <w:pPr>
              <w:pStyle w:val="Heading2"/>
            </w:pPr>
            <w:r>
              <w:t>exposed human</w:t>
            </w:r>
          </w:p>
        </w:tc>
        <w:tc>
          <w:tcPr>
            <w:tcW w:type="dxa" w:w="1440"/>
            <w:vMerge w:val="restart"/>
          </w:tcPr>
          <w:p>
            <w:pPr/>
            <w:r>
              <w:t>asdf</w:t>
            </w:r>
          </w:p>
          <w:p>
            <w:pPr/>
            <w:r/>
            <w:r>
              <w:rPr>
                <w:i/>
              </w:rPr>
              <w:br/>
              <w:t>Primary basis:</w:t>
            </w:r>
            <w:r/>
          </w:p>
          <w:p>
            <w:pPr/>
            <w:r>
              <w:t>asdf</w:t>
            </w:r>
          </w:p>
          <w:p>
            <w:pPr/>
            <w:r/>
            <w:r>
              <w:rPr>
                <w:i/>
              </w:rPr>
              <w:br/>
              <w:t>Human relevance:</w:t>
            </w:r>
            <w:r/>
          </w:p>
          <w:p>
            <w:pPr/>
            <w:r>
              <w:t>asdf</w:t>
            </w:r>
          </w:p>
          <w:p>
            <w:pPr/>
            <w:r/>
            <w:r>
              <w:rPr>
                <w:i/>
              </w:rPr>
              <w:br/>
              <w:t>Cross-stream coherence:</w:t>
            </w:r>
            <w:r/>
          </w:p>
          <w:p>
            <w:pPr/>
            <w:r>
              <w:t>asdf</w:t>
            </w:r>
          </w:p>
          <w:p>
            <w:pPr/>
            <w:r/>
            <w:r>
              <w:rPr>
                <w:i/>
              </w:rPr>
              <w:br/>
              <w:t>Susceptible populations and lifestages:</w:t>
            </w:r>
            <w:r/>
          </w:p>
          <w:p>
            <w:pPr/>
            <w:r>
              <w:t>asdf</w:t>
            </w:r>
          </w:p>
        </w:tc>
      </w:tr>
      <w:tr>
        <w:tc>
          <w:tcPr>
            <w:tcW w:type="dxa" w:w="1440"/>
          </w:tcPr>
          <w:p>
            <w:pPr/>
            <w:r/>
            <w:r>
              <w:rPr>
                <w:b/>
              </w:rPr>
              <w:t>Studies and confidence</w:t>
            </w:r>
            <w:r/>
          </w:p>
        </w:tc>
        <w:tc>
          <w:tcPr>
            <w:tcW w:type="dxa" w:w="1440"/>
          </w:tcPr>
          <w:p>
            <w:pPr/>
            <w:r/>
            <w:r>
              <w:rPr>
                <w:b/>
              </w:rPr>
              <w:t>Factors that increase certainty</w:t>
            </w:r>
            <w:r/>
          </w:p>
        </w:tc>
        <w:tc>
          <w:tcPr>
            <w:tcW w:type="dxa" w:w="1440"/>
          </w:tcPr>
          <w:p>
            <w:pPr/>
            <w:r/>
            <w:r>
              <w:rPr>
                <w:b/>
              </w:rPr>
              <w:t>Factors that decrease certainty</w:t>
            </w:r>
            <w:r/>
          </w:p>
        </w:tc>
        <w:tc>
          <w:tcPr>
            <w:tcW w:type="dxa" w:w="1440"/>
          </w:tcPr>
          <w:p>
            <w:pPr/>
            <w:r/>
            <w:r>
              <w:rPr>
                <w:b/>
              </w:rPr>
              <w:t>Summary and key findings</w:t>
            </w:r>
            <w:r/>
          </w:p>
        </w:tc>
        <w:tc>
          <w:tcPr>
            <w:tcW w:type="dxa" w:w="1440"/>
          </w:tcPr>
          <w:p>
            <w:pPr/>
            <w:r/>
            <w:r>
              <w:rPr>
                <w:b/>
              </w:rPr>
              <w:t>Evidence stream judgement</w:t>
            </w:r>
            <w:r/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1440"/>
          </w:tcPr>
          <w:p>
            <w:pPr/>
            <w:r>
              <w:t>asdf</w:t>
            </w:r>
          </w:p>
          <w:p>
            <w:pPr/>
            <w:r>
              <w:t>asdf</w:t>
            </w:r>
          </w:p>
          <w:p>
            <w:pPr/>
            <w:r>
              <w:t>asdf</w:t>
            </w:r>
          </w:p>
        </w:tc>
        <w:tc>
          <w:tcPr>
            <w:tcW w:type="dxa" w:w="1440"/>
          </w:tcPr>
          <w:p>
            <w:pPr>
              <w:pStyle w:val="ListBullet"/>
            </w:pPr>
            <w:r>
              <w:t>asdf</w:t>
            </w:r>
          </w:p>
          <w:p>
            <w:pPr>
              <w:pStyle w:val="ListBullet"/>
            </w:pPr>
            <w:r>
              <w:t>asdf</w:t>
            </w:r>
          </w:p>
        </w:tc>
        <w:tc>
          <w:tcPr>
            <w:tcW w:type="dxa" w:w="1440"/>
          </w:tcPr>
          <w:p>
            <w:pPr>
              <w:pStyle w:val="ListBullet"/>
            </w:pPr>
            <w:r>
              <w:t>asdf</w:t>
            </w:r>
          </w:p>
          <w:p>
            <w:pPr>
              <w:pStyle w:val="ListBullet"/>
            </w:pPr>
            <w:r>
              <w:t>asdf</w:t>
            </w:r>
          </w:p>
        </w:tc>
        <w:tc>
          <w:tcPr>
            <w:tcW w:type="dxa" w:w="1440"/>
          </w:tcPr>
          <w:p>
            <w:pPr/>
            <w:r>
              <w:t>asdf</w:t>
            </w:r>
          </w:p>
        </w:tc>
        <w:tc>
          <w:tcPr>
            <w:tcW w:type="dxa" w:w="1440"/>
            <w:vMerge w:val="restart"/>
          </w:tcPr>
          <w:p>
            <w:pPr/>
            <w:r>
              <w:t>asdf</w:t>
            </w:r>
          </w:p>
          <w:p>
            <w:pPr/>
            <w:r>
              <w:t>asdf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1440"/>
          </w:tcPr>
          <w:p>
            <w:pPr/>
            <w:r>
              <w:t>asdf</w:t>
            </w:r>
          </w:p>
          <w:p>
            <w:pPr/>
            <w:r>
              <w:t>asdf</w:t>
            </w:r>
          </w:p>
          <w:p>
            <w:pPr/>
            <w:r>
              <w:t>asdf</w:t>
            </w:r>
          </w:p>
        </w:tc>
        <w:tc>
          <w:tcPr>
            <w:tcW w:type="dxa" w:w="1440"/>
          </w:tcPr>
          <w:p>
            <w:pPr>
              <w:pStyle w:val="ListBullet"/>
            </w:pPr>
            <w:r>
              <w:t>asdf</w:t>
            </w:r>
          </w:p>
          <w:p>
            <w:pPr>
              <w:pStyle w:val="ListBullet"/>
            </w:pPr>
            <w:r>
              <w:t>asdf</w:t>
            </w:r>
          </w:p>
        </w:tc>
        <w:tc>
          <w:tcPr>
            <w:tcW w:type="dxa" w:w="1440"/>
          </w:tcPr>
          <w:p>
            <w:pPr>
              <w:pStyle w:val="ListBullet"/>
            </w:pPr>
            <w:r>
              <w:t>asdf</w:t>
            </w:r>
          </w:p>
          <w:p>
            <w:pPr>
              <w:pStyle w:val="ListBullet"/>
            </w:pPr>
            <w:r>
              <w:t>asdf</w:t>
            </w:r>
          </w:p>
        </w:tc>
        <w:tc>
          <w:tcPr>
            <w:tcW w:type="dxa" w:w="1440"/>
          </w:tcPr>
          <w:p>
            <w:pPr/>
            <w:r>
              <w:t>asdf</w:t>
            </w:r>
          </w:p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</w:tr>
      <w:tr>
        <w:tc>
          <w:tcPr>
            <w:tcW w:type="dxa" w:w="7200"/>
            <w:gridSpan w:val="5"/>
          </w:tcPr>
          <w:p>
            <w:pPr>
              <w:pStyle w:val="Heading2"/>
            </w:pPr>
            <w:r>
              <w:t>animal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1440"/>
          </w:tcPr>
          <w:p>
            <w:pPr/>
            <w:r/>
            <w:r>
              <w:rPr>
                <w:b/>
              </w:rPr>
              <w:t>Studies and confidence</w:t>
            </w:r>
            <w:r/>
          </w:p>
        </w:tc>
        <w:tc>
          <w:tcPr>
            <w:tcW w:type="dxa" w:w="1440"/>
          </w:tcPr>
          <w:p>
            <w:pPr/>
            <w:r/>
            <w:r>
              <w:rPr>
                <w:b/>
              </w:rPr>
              <w:t>Factors that increase certainty</w:t>
            </w:r>
            <w:r/>
          </w:p>
        </w:tc>
        <w:tc>
          <w:tcPr>
            <w:tcW w:type="dxa" w:w="1440"/>
          </w:tcPr>
          <w:p>
            <w:pPr/>
            <w:r/>
            <w:r>
              <w:rPr>
                <w:b/>
              </w:rPr>
              <w:t>Factors that decrease certainty</w:t>
            </w:r>
            <w:r/>
          </w:p>
        </w:tc>
        <w:tc>
          <w:tcPr>
            <w:tcW w:type="dxa" w:w="1440"/>
          </w:tcPr>
          <w:p>
            <w:pPr/>
            <w:r/>
            <w:r>
              <w:rPr>
                <w:b/>
              </w:rPr>
              <w:t>Summary and key findings</w:t>
            </w:r>
            <w:r/>
          </w:p>
        </w:tc>
        <w:tc>
          <w:tcPr>
            <w:tcW w:type="dxa" w:w="1440"/>
          </w:tcPr>
          <w:p>
            <w:pPr/>
            <w:r/>
            <w:r>
              <w:rPr>
                <w:b/>
              </w:rPr>
              <w:t>Evidence stream judgement</w:t>
            </w:r>
            <w:r/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1440"/>
          </w:tcPr>
          <w:p>
            <w:pPr/>
            <w:r>
              <w:t>asdf</w:t>
            </w:r>
          </w:p>
          <w:p>
            <w:pPr/>
            <w:r>
              <w:t>asdf</w:t>
            </w:r>
          </w:p>
          <w:p>
            <w:pPr/>
            <w:r>
              <w:t>asdf</w:t>
            </w:r>
          </w:p>
        </w:tc>
        <w:tc>
          <w:tcPr>
            <w:tcW w:type="dxa" w:w="1440"/>
          </w:tcPr>
          <w:p>
            <w:pPr>
              <w:pStyle w:val="ListBullet"/>
            </w:pPr>
            <w:r>
              <w:t>asdf</w:t>
            </w:r>
          </w:p>
          <w:p>
            <w:pPr>
              <w:pStyle w:val="ListBullet"/>
            </w:pPr>
            <w:r>
              <w:t>asdf</w:t>
            </w:r>
          </w:p>
        </w:tc>
        <w:tc>
          <w:tcPr>
            <w:tcW w:type="dxa" w:w="1440"/>
          </w:tcPr>
          <w:p>
            <w:pPr>
              <w:pStyle w:val="ListBullet"/>
            </w:pPr>
            <w:r>
              <w:t>asdf</w:t>
            </w:r>
          </w:p>
          <w:p>
            <w:pPr>
              <w:pStyle w:val="ListBullet"/>
            </w:pPr>
            <w:r>
              <w:t>asdf</w:t>
            </w:r>
          </w:p>
        </w:tc>
        <w:tc>
          <w:tcPr>
            <w:tcW w:type="dxa" w:w="1440"/>
          </w:tcPr>
          <w:p>
            <w:pPr/>
            <w:r>
              <w:t>asdf</w:t>
            </w:r>
          </w:p>
        </w:tc>
        <w:tc>
          <w:tcPr>
            <w:tcW w:type="dxa" w:w="1440"/>
          </w:tcPr>
          <w:p>
            <w:pPr/>
            <w:r>
              <w:t>asdf</w:t>
            </w:r>
          </w:p>
          <w:p>
            <w:pPr/>
            <w:r>
              <w:t>asdf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1440"/>
          </w:tcPr>
          <w:p>
            <w:pPr/>
            <w:r>
              <w:t>asdf</w:t>
            </w:r>
          </w:p>
          <w:p>
            <w:pPr/>
            <w:r>
              <w:t>asdf</w:t>
            </w:r>
          </w:p>
          <w:p>
            <w:pPr/>
            <w:r>
              <w:t>asdf</w:t>
            </w:r>
          </w:p>
        </w:tc>
        <w:tc>
          <w:tcPr>
            <w:tcW w:type="dxa" w:w="1440"/>
          </w:tcPr>
          <w:p>
            <w:pPr>
              <w:pStyle w:val="ListBullet"/>
            </w:pPr>
            <w:r>
              <w:t>asdf</w:t>
            </w:r>
          </w:p>
          <w:p>
            <w:pPr>
              <w:pStyle w:val="ListBullet"/>
            </w:pPr>
            <w:r>
              <w:t>asdf</w:t>
            </w:r>
          </w:p>
        </w:tc>
        <w:tc>
          <w:tcPr>
            <w:tcW w:type="dxa" w:w="1440"/>
          </w:tcPr>
          <w:p>
            <w:pPr>
              <w:pStyle w:val="ListBullet"/>
            </w:pPr>
            <w:r>
              <w:t>asdf</w:t>
            </w:r>
          </w:p>
          <w:p>
            <w:pPr>
              <w:pStyle w:val="ListBullet"/>
            </w:pPr>
            <w:r>
              <w:t>asdf</w:t>
            </w:r>
          </w:p>
        </w:tc>
        <w:tc>
          <w:tcPr>
            <w:tcW w:type="dxa" w:w="1440"/>
          </w:tcPr>
          <w:p>
            <w:pPr/>
            <w:r>
              <w:t>asdf</w:t>
            </w:r>
          </w:p>
        </w:tc>
        <w:tc>
          <w:tcPr>
            <w:tcW w:type="dxa" w:w="1440"/>
          </w:tcPr>
          <w:p>
            <w:pPr/>
            <w:r>
              <w:t>asdf</w:t>
            </w:r>
          </w:p>
          <w:p>
            <w:pPr/>
            <w:r>
              <w:t>asdf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7200"/>
            <w:gridSpan w:val="5"/>
          </w:tcPr>
          <w:p>
            <w:pPr>
              <w:pStyle w:val="Heading2"/>
            </w:pPr>
            <w:r>
              <w:t>mechanistic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1440"/>
          </w:tcPr>
          <w:p>
            <w:pPr/>
            <w:r/>
            <w:r>
              <w:rPr>
                <w:b/>
              </w:rPr>
              <w:t>Biological events or pathways</w:t>
            </w:r>
            <w:r/>
          </w:p>
        </w:tc>
        <w:tc>
          <w:tcPr>
            <w:tcW w:type="dxa" w:w="4320"/>
            <w:gridSpan w:val="3"/>
          </w:tcPr>
          <w:p>
            <w:pPr/>
            <w:r/>
            <w:r>
              <w:rPr>
                <w:b/>
              </w:rPr>
              <w:t>Summary of key findings, interpretation, and limitations</w:t>
            </w:r>
            <w:r/>
          </w:p>
        </w:tc>
        <w:tc>
          <w:tcPr>
            <w:tcW w:type="dxa" w:w="1440"/>
          </w:tcPr>
          <w:p>
            <w:pPr/>
            <w:r/>
            <w:r>
              <w:rPr>
                <w:b/>
              </w:rPr>
              <w:t>Evidence stream judgement</w:t>
            </w:r>
            <w:r/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7200"/>
            <w:gridSpan w:val="5"/>
          </w:tcPr>
          <w:p>
            <w:pPr/>
            <w:r/>
            <w:r>
              <w:rPr>
                <w:i/>
              </w:rPr>
              <w:t>No data available</w:t>
            </w:r>
            <w:r/>
          </w:p>
        </w:tc>
        <w:tc>
          <w:tcPr>
            <w:tcW w:type="dxa" w:w="1440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