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БПИ-217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Сосновский Григорий Михайлович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2023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БПИ-217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Сосновский Григорий Михайлович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2023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1111-1111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1111-1111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Симулятор деятельности</w:t>
                            </w:r>
                          </w:p>
                          <w:p w14:paraId="3C9CBA84" w14:textId="5733A88E" w:rsidR="002F6366" w:rsidRPr="00510EF3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1111-1111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Симулятор деятельности</w:t>
                      </w:r>
                    </w:p>
                    <w:p w14:paraId="3C9CBA84" w14:textId="5733A88E" w:rsidR="002F6366" w:rsidRPr="00510EF3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1111-1111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Сосновский Григорий Михайлович</w:t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>2023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Сосновский Григорий Михайлович</w:t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>2023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Сосновский Григорий Михайлович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2023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Сосновский Григорий Михайлович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2023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Национальный исследовательский университет Высшая Школа Экономики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Факультет компьютерных наук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Департамент программной инженерии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Национальный исследовательский университет Высшая Школа Экономики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Факультет компьютерных наук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Департамент программной инженерии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1111-1111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1111-1111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Симулятор деятельности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Пояснительная записка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1111-1111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Симулятор деятельности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Пояснительная записка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1111-1111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1111-1111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1111-1111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7C4C4980" w14:textId="77777777" w:rsidR="00B9751E" w:rsidRPr="008B24A4" w:rsidRDefault="00B9751E" w:rsidP="008B24A4">
      <w:pPr>
        <w:jc w:val="center"/>
        <w:rPr>
          <w:b/>
          <w:bCs/>
          <w:sz w:val="28"/>
          <w:szCs w:val="28"/>
          <w:lang w:eastAsia="ru-RU"/>
        </w:rPr>
      </w:pPr>
    </w:p>
    <w:p w14:paraId="7D645A26" w14:textId="32E71662" w:rsidR="00B9751E" w:rsidRPr="00B9751E" w:rsidRDefault="00373C4B" w:rsidP="00B9751E">
      <w:pPr>
        <w:spacing w:line="360" w:lineRule="auto"/>
        <w:ind w:left="-567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B9751E" w:rsidRPr="00B9751E">
        <w:rPr>
          <w:sz w:val="28"/>
          <w:szCs w:val="28"/>
        </w:rPr>
        <w:t>Данный программный документ представляет собой пояснительную записку к программному проекту «</w:t>
      </w:r>
      <w:r w:rsidR="00B9751E" w:rsidRPr="00B9751E">
        <w:rPr>
          <w:sz w:val="28"/>
          <w:szCs w:val="28"/>
        </w:rPr>
        <w:t xml:space="preserve">Симулятор деятельности</w:t>
      </w:r>
      <w:r w:rsidR="00B9751E" w:rsidRPr="00B9751E">
        <w:rPr>
          <w:sz w:val="28"/>
          <w:szCs w:val="28"/>
        </w:rPr>
        <w:t>».</w:t>
      </w:r>
    </w:p>
    <w:p w14:paraId="0DE3558D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[1]; </w:t>
      </w:r>
    </w:p>
    <w:p w14:paraId="1B7B1472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19.102-77 Стадии разработки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[2]; </w:t>
      </w:r>
    </w:p>
    <w:p w14:paraId="5BCC21B8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[3]; </w:t>
      </w:r>
    </w:p>
    <w:p w14:paraId="4136748C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19.104-78 Основные надписи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[4]; </w:t>
      </w:r>
    </w:p>
    <w:p w14:paraId="6121FD7E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[5]; </w:t>
      </w:r>
    </w:p>
    <w:p w14:paraId="7006B4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[6]; </w:t>
      </w:r>
    </w:p>
    <w:p w14:paraId="4C4471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lastRenderedPageBreak/>
        <w:t>ГОСТ 19.404-79 Пояснительная записка. Требования к содержанию и оформлению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[7]. </w:t>
      </w:r>
    </w:p>
    <w:p w14:paraId="78BFFC25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Изменения к Пояснительной записке оформляются согласно ГОСТ 19.603-78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>[8], ГОСТ 19.604-78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 xml:space="preserve">[9]. </w:t>
      </w:r>
    </w:p>
    <w:p w14:paraId="1AAB0FC5" w14:textId="78391551" w:rsidR="00373C4B" w:rsidRPr="00373C4B" w:rsidRDefault="00B9751E" w:rsidP="00B9751E">
      <w:pPr>
        <w:pStyle w:val="ab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9751E">
        <w:rPr>
          <w:sz w:val="28"/>
          <w:szCs w:val="28"/>
        </w:rPr>
        <w:t>Перед прочтением данного документа следует ознакомиться с терминологией, приведенной в Приложении 1.</w:t>
      </w:r>
      <w:r w:rsidR="00373C4B" w:rsidRPr="00373C4B">
        <w:rPr>
          <w:color w:val="000000" w:themeColor="text1"/>
          <w:sz w:val="28"/>
          <w:szCs w:val="28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Симулятор деятельности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Illusion of usefulness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Illusion of usefulness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32D379AB" w:rsidR="00E075B5" w:rsidRDefault="00B9751E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кумент, на основании которого ведется разработка</w:t>
      </w:r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7ADF7D6A" w14:textId="77777777" w:rsidR="00B9751E" w:rsidRPr="006152B2" w:rsidRDefault="00B9751E" w:rsidP="00B9751E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-</w:t>
      </w:r>
    </w:p>
    <w:p w14:paraId="74B4CB4A" w14:textId="762E8251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11A2C0E2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НАЗНАЧЕНИЕ </w:t>
      </w:r>
      <w:bookmarkEnd w:id="2"/>
      <w:r w:rsid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ОБЛАСТЬ ПРИМЕНЕНИЯ</w:t>
      </w:r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0858C19D" w14:textId="4D469A09" w:rsid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 программы</w:t>
      </w:r>
    </w:p>
    <w:p w14:paraId="50085D34" w14:textId="77777777" w:rsidR="00B9751E" w:rsidRPr="0093227D" w:rsidRDefault="00B9751E" w:rsidP="00B9751E">
      <w:pPr>
        <w:rPr>
          <w:lang w:eastAsia="ru-RU"/>
        </w:rPr>
      </w:pPr>
    </w:p>
    <w:p w14:paraId="6BEC846E" w14:textId="2B9A0C50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</w:p>
    <w:p w14:paraId="6BA1696B" w14:textId="77777777" w:rsidR="00B9751E" w:rsidRDefault="00B9751E" w:rsidP="00B9751E">
      <w:pPr>
        <w:rPr>
          <w:lang w:eastAsia="ru-RU"/>
        </w:rPr>
      </w:pPr>
    </w:p>
    <w:p w14:paraId="7D2CEB63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>Терроризировать людей</w:t>
      </w:r>
    </w:p>
    <w:p w14:paraId="43FC45A3" w14:textId="77777777" w:rsidR="00B9751E" w:rsidRPr="001C25FB" w:rsidRDefault="00B9751E" w:rsidP="00B9751E">
      <w:pPr>
        <w:rPr>
          <w:sz w:val="28"/>
          <w:szCs w:val="28"/>
          <w:lang w:eastAsia="ru-RU"/>
        </w:rPr>
      </w:pPr>
    </w:p>
    <w:p w14:paraId="400853EF" w14:textId="59285903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</w:p>
    <w:p w14:paraId="1A88C9E0" w14:textId="77777777" w:rsidR="00B9751E" w:rsidRPr="00572BD0" w:rsidRDefault="00B9751E" w:rsidP="00B9751E">
      <w:pPr>
        <w:spacing w:line="360" w:lineRule="auto"/>
        <w:rPr>
          <w:lang w:eastAsia="ru-RU"/>
        </w:rPr>
      </w:pPr>
    </w:p>
    <w:p w14:paraId="462D8E62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>Упрощение терроризма над людьми</w:t>
      </w:r>
    </w:p>
    <w:p w14:paraId="2146A8B9" w14:textId="77777777" w:rsidR="00B9751E" w:rsidRPr="00270C76" w:rsidRDefault="00B9751E" w:rsidP="00B9751E">
      <w:pPr>
        <w:rPr>
          <w:lang w:eastAsia="ru-RU"/>
        </w:rPr>
      </w:pPr>
    </w:p>
    <w:p w14:paraId="2EC38ED6" w14:textId="6BE97F0A" w:rsidR="00B9751E" w:rsidRP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</w:t>
      </w:r>
    </w:p>
    <w:p w14:paraId="1F4B621D" w14:textId="77777777" w:rsidR="00B9751E" w:rsidRPr="00572BD0" w:rsidRDefault="00B9751E" w:rsidP="00B9751E">
      <w:pPr>
        <w:rPr>
          <w:lang w:eastAsia="ru-RU"/>
        </w:rPr>
      </w:pPr>
    </w:p>
    <w:p w14:paraId="75D7F723" w14:textId="77777777" w:rsidR="00B9751E" w:rsidRPr="00373C4B" w:rsidRDefault="00B9751E" w:rsidP="00B9751E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>В управлении персоналом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3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4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5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 xml:space="preserve"/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6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7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8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 xml:space="preserve"/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9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0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1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2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3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4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5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16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1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18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 xml:space="preserve"/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19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0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1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2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3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4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5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26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27"/>
    </w:p>
    <w:p w14:paraId="537CFA02" w14:textId="7C8FFA49" w:rsidR="008C2252" w:rsidRDefault="008C2252" w:rsidP="008C2252">
      <w:pPr>
        <w:rPr>
          <w:lang w:eastAsia="ru-RU"/>
        </w:rPr>
      </w:pPr>
    </w:p>
    <w:p w14:paraId="436AE6EC" w14:textId="33762D70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Симулятор деятельности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7729BD41" w14:textId="7034E456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Симулятор деятельности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174E586F" w14:textId="0CE4643C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Симулятор деятельности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A34A81" w14:textId="02C1477A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Симулятор деятельности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1A6E08D6" w14:textId="637E2A69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Симулятор деятельности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28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/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29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0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1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2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356E3D91" w:rsidR="00F732DA" w:rsidRPr="003A05C1" w:rsidRDefault="003A05C1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3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0"/>
        <w:gridCol w:w="2713"/>
        <w:gridCol w:w="3585"/>
        <w:gridCol w:w="1210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30616DF3" w14:textId="77777777" w:rsidR="00AC3921" w:rsidRPr="00AC3921" w:rsidRDefault="00AC3921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22135867" w14:textId="77777777" w:rsidR="00AC3921" w:rsidRPr="00AC3921" w:rsidRDefault="00AC3921" w:rsidP="006C3F66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5648F01" w14:textId="77777777" w:rsidR="00AC3921" w:rsidRPr="00AC3921" w:rsidRDefault="00AC3921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5DEFC156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51D8D7C2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06DA0D50" w:rsidR="00AC3921" w:rsidRPr="00510EF3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63D75C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EDB2FBA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29C2B87B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2E2C0C38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ADD8966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4FECEBB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2BBE72DC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="006C3F66">
              <w:rPr>
                <w:rFonts w:cs="Times New Roman"/>
                <w:szCs w:val="24"/>
              </w:rPr>
              <w:t>1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 w:rsidR="006C3F66">
              <w:rPr>
                <w:rFonts w:cs="Times New Roman"/>
                <w:szCs w:val="24"/>
              </w:rPr>
              <w:t>1</w:t>
            </w:r>
            <w:r w:rsidR="00AC3921" w:rsidRPr="00AC3921">
              <w:rPr>
                <w:rFonts w:cs="Times New Roman"/>
                <w:szCs w:val="24"/>
              </w:rPr>
              <w:t>.</w:t>
            </w:r>
            <w:r w:rsidR="006C3F66">
              <w:rPr>
                <w:rFonts w:cs="Times New Roman"/>
                <w:szCs w:val="24"/>
              </w:rPr>
              <w:t>0001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2175"/>
        <w:gridCol w:w="4523"/>
        <w:gridCol w:w="920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71CE4BF4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1244B2D9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08DF530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110421C9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6690CC7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4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5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36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37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35219A22" w14:textId="60BEC653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/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18F9" w14:textId="77777777" w:rsidR="00283FDD" w:rsidRDefault="00283FDD" w:rsidP="00DF781E">
      <w:r>
        <w:separator/>
      </w:r>
    </w:p>
  </w:endnote>
  <w:endnote w:type="continuationSeparator" w:id="0">
    <w:p w14:paraId="732509BC" w14:textId="77777777" w:rsidR="00283FDD" w:rsidRDefault="00283FDD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1111-1111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A28F" w14:textId="77777777" w:rsidR="00283FDD" w:rsidRDefault="00283FDD" w:rsidP="00DF781E">
      <w:r>
        <w:separator/>
      </w:r>
    </w:p>
  </w:footnote>
  <w:footnote w:type="continuationSeparator" w:id="0">
    <w:p w14:paraId="5BA725A4" w14:textId="77777777" w:rsidR="00283FDD" w:rsidRDefault="00283FDD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1111-1111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4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4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3"/>
  </w:num>
  <w:num w:numId="6" w16cid:durableId="562911025">
    <w:abstractNumId w:val="11"/>
  </w:num>
  <w:num w:numId="7" w16cid:durableId="1632595529">
    <w:abstractNumId w:val="25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1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9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2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0"/>
  </w:num>
  <w:num w:numId="26" w16cid:durableId="1326393607">
    <w:abstractNumId w:val="18"/>
  </w:num>
  <w:num w:numId="27" w16cid:durableId="1027721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83FDD"/>
    <w:rsid w:val="00296791"/>
    <w:rsid w:val="002B4983"/>
    <w:rsid w:val="002B71B9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10EF3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9751E"/>
    <w:rsid w:val="00BB6246"/>
    <w:rsid w:val="00C2165F"/>
    <w:rsid w:val="00C433B6"/>
    <w:rsid w:val="00C47D76"/>
    <w:rsid w:val="00C57749"/>
    <w:rsid w:val="00C80F66"/>
    <w:rsid w:val="00CA47CA"/>
    <w:rsid w:val="00CC395D"/>
    <w:rsid w:val="00CE48FF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19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29</cp:revision>
  <cp:lastPrinted>2023-02-15T20:46:00Z</cp:lastPrinted>
  <dcterms:created xsi:type="dcterms:W3CDTF">2023-02-15T20:46:00Z</dcterms:created>
  <dcterms:modified xsi:type="dcterms:W3CDTF">2023-05-09T15:00:00Z</dcterms:modified>
  <dc:identifier/>
  <dc:language/>
</cp:coreProperties>
</file>