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4E79"/>
          <w:sz w:val="72"/>
          <w:szCs w:val="72"/>
        </w:rPr>
        <w:t xml:space="preserve">DealLens</w:t>
      </w:r>
    </w:p>
    <w:p>
      <w:pPr>
        <w:spacing w:after="80"/>
        <w:jc w:val="center"/>
      </w:pPr>
      <w:r>
        <w:rPr>
          <w:color w:val="2E75B6"/>
          <w:sz w:val="32"/>
          <w:szCs w:val="32"/>
        </w:rPr>
        <w:t xml:space="preserve">Due Diligence &amp; Business Valuation Platform</w:t>
      </w:r>
    </w:p>
    <w:p>
      <w:pPr>
        <w:spacing w:after="400"/>
        <w:jc w:val="center"/>
      </w:pPr>
      <w:r>
        <w:rPr>
          <w:i/>
          <w:iCs/>
          <w:color w:val="595959"/>
          <w:sz w:val="24"/>
          <w:szCs w:val="24"/>
        </w:rPr>
        <w:t xml:space="preserve">Concept · Architecture · Design · Product Requirements</w:t>
      </w:r>
    </w:p>
    <w:p>
      <w:pPr>
        <w:spacing w:after="40"/>
        <w:jc w:val="center"/>
      </w:pPr>
      <w:r>
        <w:rPr>
          <w:sz w:val="22"/>
          <w:szCs w:val="22"/>
        </w:rPr>
        <w:t xml:space="preserve">Product &amp; Technical Specification</w:t>
      </w:r>
    </w:p>
    <w:p>
      <w:pPr>
        <w:spacing w:after="40"/>
        <w:jc w:val="center"/>
      </w:pPr>
      <w:r>
        <w:rPr>
          <w:color w:val="595959"/>
          <w:sz w:val="22"/>
          <w:szCs w:val="22"/>
        </w:rPr>
        <w:t xml:space="preserve">Version 1.0  ·  June 2026</w:t>
      </w:r>
    </w:p>
    <w:p>
      <w:r>
        <w:br w:type="page"/>
      </w:r>
    </w:p>
    <w:p>
      <w:pPr>
        <w:spacing w:after="160"/>
      </w:pPr>
      <w:r>
        <w:rPr>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20" w:line="276"/>
      </w:pPr>
      <w:r>
        <w:t xml:space="preserve">DealLens is a workflow platform that turns the two core jobs an acquirer must perform — investigating a target (due diligence) and pricing it (valuation) — into a single, structured, repeatable process. Today these jobs are scattered across spreadsheets, email threads, document folders, and the heads of experienced dealmakers. DealLens replaces that with a guided deal workspace: a standardized due-diligence checklist that tracks evidence and risk, plus a valuation engine that normalizes earnings and runs the three industry-standard valuation approaches to produce a defensible value range.</w:t>
      </w:r>
    </w:p>
    <w:p>
      <w:pPr>
        <w:spacing w:after="120" w:line="276"/>
      </w:pPr>
      <w:r>
        <w:t xml:space="preserve">The product is designed to serve as both a multi-tenant SaaS application for the open market and a single-tenant internal tool for an investment firm that wants to standardize its own deal process. It targets four user groups — individual investors and buyers, private-equity and search-fund professionals, business brokers and advisors, and internal deal teams — through a tiered feature model.</w:t>
      </w:r>
    </w:p>
    <w:p>
      <w:pPr>
        <w:spacing w:after="120" w:line="276"/>
      </w:pPr>
      <w:r>
        <w:rPr>
          <w:b/>
          <w:bCs/>
        </w:rPr>
        <w:t xml:space="preserve">This document covers four things: </w:t>
      </w:r>
      <w:r>
        <w:t xml:space="preserve">the product Concept (why it exists and what it does), the system Architecture (how it is built), the Design (how users experience it), and a Product Requirements Document (PRD) that makes the build actionable. It is intentionally written to be readable by product, engineering, and business stakeholders alike.</w:t>
      </w:r>
    </w:p>
    <w:p>
      <w:pPr>
        <w:pBdr>
          <w:bottom w:val="single" w:color="2E75B6" w:sz="6" w:space="1"/>
        </w:pBdr>
        <w:spacing w:after="160"/>
      </w:pPr>
      <w:r>
        <w:t xml:space="preserve"/>
      </w:r>
    </w:p>
    <w:p>
      <w:pPr>
        <w:pageBreakBefore/>
        <w:spacing w:after="80"/>
      </w:pPr>
      <w:r>
        <w:rPr>
          <w:b/>
          <w:bCs/>
          <w:color w:val="2E75B6"/>
          <w:sz w:val="24"/>
          <w:szCs w:val="24"/>
        </w:rPr>
        <w:t xml:space="preserve">PART 1</w:t>
      </w:r>
    </w:p>
    <w:p>
      <w:pPr>
        <w:pStyle w:val="Heading1"/>
      </w:pPr>
      <w:r>
        <w:t xml:space="preserve">Concept</w:t>
      </w:r>
    </w:p>
    <w:p>
      <w:pPr>
        <w:pStyle w:val="Heading2"/>
      </w:pPr>
      <w:r>
        <w:t xml:space="preserve">1.1 Vision</w:t>
      </w:r>
    </w:p>
    <w:p>
      <w:pPr>
        <w:spacing w:after="120" w:line="276"/>
      </w:pPr>
      <w:r>
        <w:t xml:space="preserve">Make rigorous, professional-grade deal evaluation accessible and repeatable — so that anyone evaluating a business acquisition, from a first-time buyer to a seasoned PE associate, can investigate and value a target with the discipline of a top advisory firm, in a fraction of the time.</w:t>
      </w:r>
    </w:p>
    <w:p>
      <w:pPr>
        <w:pStyle w:val="Heading2"/>
      </w:pPr>
      <w:r>
        <w:t xml:space="preserve">1.2 The Problem</w:t>
      </w:r>
    </w:p>
    <w:p>
      <w:pPr>
        <w:spacing w:after="120" w:line="276"/>
      </w:pPr>
      <w:r>
        <w:t xml:space="preserve">Buying or investing in a business hinges on two questions: “Is this business what the seller claims?” and “What is it worth to me?” Answering them well is hard for structural reasons:</w:t>
      </w:r>
    </w:p>
    <w:p>
      <w:pPr>
        <w:pStyle w:val="ListParagraph"/>
        <w:numPr>
          <w:ilvl w:val="0"/>
          <w:numId w:val="2"/>
        </w:numPr>
        <w:spacing w:after="60" w:line="270"/>
      </w:pPr>
      <w:r>
        <w:t xml:space="preserve">Process is tribal. Experienced dealmakers carry checklists and valuation logic in their heads or in personal spreadsheets. Quality varies by individual and nothing compounds across deals.</w:t>
      </w:r>
    </w:p>
    <w:p>
      <w:pPr>
        <w:pStyle w:val="ListParagraph"/>
        <w:numPr>
          <w:ilvl w:val="0"/>
          <w:numId w:val="2"/>
        </w:numPr>
        <w:spacing w:after="60" w:line="270"/>
      </w:pPr>
      <w:r>
        <w:t xml:space="preserve">Tooling is fragmented. Diligence lives in shared drives and email; valuation lives in bespoke Excel models that are error-prone, hard to audit, and easy to fat-finger.</w:t>
      </w:r>
    </w:p>
    <w:p>
      <w:pPr>
        <w:pStyle w:val="ListParagraph"/>
        <w:numPr>
          <w:ilvl w:val="0"/>
          <w:numId w:val="2"/>
        </w:numPr>
        <w:spacing w:after="60" w:line="270"/>
      </w:pPr>
      <w:r>
        <w:t xml:space="preserve">Evidence and conclusions are disconnected. A valuation multiple or a risk rating rarely links back to the document that justifies it, which makes review, hand-off, and audit painful.</w:t>
      </w:r>
    </w:p>
    <w:p>
      <w:pPr>
        <w:pStyle w:val="ListParagraph"/>
        <w:numPr>
          <w:ilvl w:val="0"/>
          <w:numId w:val="2"/>
        </w:numPr>
        <w:spacing w:after="60" w:line="270"/>
      </w:pPr>
      <w:r>
        <w:t xml:space="preserve">Quality of earnings is the hardest, most-skipped step. Normalizing earnings (stripping owner perks and one-off items) is where value is made or lost, yet it is the least standardized part of the process.</w:t>
      </w:r>
    </w:p>
    <w:p>
      <w:pPr>
        <w:pStyle w:val="ListParagraph"/>
        <w:numPr>
          <w:ilvl w:val="0"/>
          <w:numId w:val="2"/>
        </w:numPr>
        <w:spacing w:after="60" w:line="270"/>
      </w:pPr>
      <w:r>
        <w:t xml:space="preserve">Smaller buyers are underserved. Individual buyers and search funds cannot afford a Big Four diligence team but face the same risks — customer concentration, owner dependence, messy books.</w:t>
      </w:r>
    </w:p>
    <w:p>
      <w:pPr>
        <w:pStyle w:val="Heading2"/>
      </w:pPr>
      <w:r>
        <w:t xml:space="preserve">1.3 The Solution</w:t>
      </w:r>
    </w:p>
    <w:p>
      <w:pPr>
        <w:spacing w:after="120" w:line="276"/>
      </w:pPr>
      <w:r>
        <w:t xml:space="preserve">DealLens organizes every acquisition into a Deal Workspace built around two connected engines:</w:t>
      </w:r>
    </w:p>
    <w:p>
      <w:pPr>
        <w:spacing w:after="120" w:line="276"/>
      </w:pPr>
      <w:r>
        <w:rPr>
          <w:b/>
          <w:bCs/>
        </w:rPr>
        <w:t xml:space="preserve">Due-Diligence Engine. </w:t>
      </w:r>
      <w:r>
        <w:t xml:space="preserve">A structured, category-based checklist (Financial, Commercial, Customers, Operations, People, Legal, Tax, Deal) where each item carries a status, an owner, supporting documents, notes, and a risk rating. Red flags surface automatically and roll up into a deal risk profile.</w:t>
      </w:r>
    </w:p>
    <w:p>
      <w:pPr>
        <w:spacing w:after="120" w:line="276"/>
      </w:pPr>
      <w:r>
        <w:rPr>
          <w:b/>
          <w:bCs/>
        </w:rPr>
        <w:t xml:space="preserve">Valuation Engine. </w:t>
      </w:r>
      <w:r>
        <w:t xml:space="preserve">A guided flow that normalizes reported earnings into EBITDA/SDE, then runs three approaches in parallel — income (DCF and capitalization of earnings), market (comparable multiples), and asset (net asset value) — and triangulates them into a defensible value range with sensitivity analysis.</w:t>
      </w:r>
    </w:p>
    <w:p>
      <w:pPr>
        <w:spacing w:after="120" w:line="276"/>
      </w:pPr>
      <w:r>
        <w:t xml:space="preserve">Crucially, the two engines are linked: diligence findings feed directly into valuation assumptions (e.g., a customer-concentration red flag lowers the suggested multiple), so the price reflects what diligence actually uncovered.</w:t>
      </w:r>
    </w:p>
    <w:p>
      <w:pPr>
        <w:pStyle w:val="Heading2"/>
      </w:pPr>
      <w:r>
        <w:t xml:space="preserve">1.4 Target Users &amp; Tiers</w:t>
      </w:r>
    </w:p>
    <w:p>
      <w:pPr>
        <w:spacing w:after="120" w:line="276"/>
      </w:pPr>
      <w:r>
        <w:t xml:space="preserve">DealLens serves four external segments plus internal deployments. Features are tiered so a solo buyer is not overwhelmed and a PE firm is not constrained.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User segment</w:t>
            </w:r>
          </w:p>
        </w:tc>
        <w:tc>
          <w:tcPr>
            <w:tcW w:type="dxa" w:w="4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Primary need</w:t>
            </w:r>
          </w:p>
        </w:tc>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Tier</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Individual investors / buyers</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Affordable, guided evaluation of a single small business; plain-language coaching</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Starter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Search funds / independent sponsors</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Repeatable process across a pipeline of targets; lightweight collaboration</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Professional</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PE firms / M&amp;A professionals</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Standardized methodology, audit trail, team roles, integrations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Professional / Enterprise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Business brokers / advisors</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Valuation and packaging of businesses for sale; client-ready outputs</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Professional</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Internal deal teams</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Single-tenant deployment, firm-specific templates, SSO, data residency</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Enterprise (internal)</w:t>
            </w:r>
          </w:p>
        </w:tc>
      </w:tr>
    </w:tbl>
    <w:p>
      <w:pPr>
        <w:pStyle w:val="Heading2"/>
      </w:pPr>
      <w:r>
        <w:t xml:space="preserve">1.5 Value Proposition</w:t>
      </w:r>
    </w:p>
    <w:p>
      <w:pPr>
        <w:pStyle w:val="ListParagraph"/>
        <w:numPr>
          <w:ilvl w:val="0"/>
          <w:numId w:val="2"/>
        </w:numPr>
        <w:spacing w:after="60" w:line="270"/>
      </w:pPr>
      <w:r>
        <w:rPr>
          <w:b/>
          <w:bCs/>
        </w:rPr>
        <w:t xml:space="preserve">Speed: </w:t>
      </w:r>
      <w:r>
        <w:t xml:space="preserve">collapse weeks of setup into a guided workflow with reusable templates.</w:t>
      </w:r>
    </w:p>
    <w:p>
      <w:pPr>
        <w:pStyle w:val="ListParagraph"/>
        <w:numPr>
          <w:ilvl w:val="0"/>
          <w:numId w:val="2"/>
        </w:numPr>
        <w:spacing w:after="60" w:line="270"/>
      </w:pPr>
      <w:r>
        <w:rPr>
          <w:b/>
          <w:bCs/>
        </w:rPr>
        <w:t xml:space="preserve">Rigor: </w:t>
      </w:r>
      <w:r>
        <w:t xml:space="preserve">methodology baked in — three valuation approaches, normalized earnings, and a complete diligence taxonomy.</w:t>
      </w:r>
    </w:p>
    <w:p>
      <w:pPr>
        <w:pStyle w:val="ListParagraph"/>
        <w:numPr>
          <w:ilvl w:val="0"/>
          <w:numId w:val="2"/>
        </w:numPr>
        <w:spacing w:after="60" w:line="270"/>
      </w:pPr>
      <w:r>
        <w:rPr>
          <w:b/>
          <w:bCs/>
        </w:rPr>
        <w:t xml:space="preserve">Defensibility: </w:t>
      </w:r>
      <w:r>
        <w:t xml:space="preserve">every number and rating links to its evidence, producing an audit-ready trail.</w:t>
      </w:r>
    </w:p>
    <w:p>
      <w:pPr>
        <w:pStyle w:val="ListParagraph"/>
        <w:numPr>
          <w:ilvl w:val="0"/>
          <w:numId w:val="2"/>
        </w:numPr>
        <w:spacing w:after="60" w:line="270"/>
      </w:pPr>
      <w:r>
        <w:rPr>
          <w:b/>
          <w:bCs/>
        </w:rPr>
        <w:t xml:space="preserve">Compounding: </w:t>
      </w:r>
      <w:r>
        <w:t xml:space="preserve">templates, comps, and lessons accumulate across deals instead of evaporating after each one.</w:t>
      </w:r>
    </w:p>
    <w:p>
      <w:pPr>
        <w:pStyle w:val="Heading2"/>
      </w:pPr>
      <w:r>
        <w:t xml:space="preserve">1.6 Scope</w:t>
      </w:r>
    </w:p>
    <w:p>
      <w:pPr>
        <w:spacing w:after="120" w:line="276"/>
      </w:pPr>
      <w:r>
        <w:rPr>
          <w:b/>
          <w:bCs/>
        </w:rPr>
        <w:t xml:space="preserve">In scope (v1): </w:t>
      </w:r>
      <w:r>
        <w:t xml:space="preserve">deal workspaces, the diligence checklist engine, the valuation engine (all three approaches), evidence/document management, collaboration and roles, report generation, and a comparables library.</w:t>
      </w:r>
    </w:p>
    <w:p>
      <w:pPr>
        <w:spacing w:after="120" w:line="276"/>
      </w:pPr>
      <w:r>
        <w:rPr>
          <w:b/>
          <w:bCs/>
        </w:rPr>
        <w:t xml:space="preserve">Out of scope (v1): </w:t>
      </w:r>
      <w:r>
        <w:t xml:space="preserve">executing transactions or moving money, legal contract drafting, accounting/bookkeeping, automated data-room scraping of third-party systems, and binding valuations or financial advice. DealLens informs decisions; it does not make or execute them.</w:t>
      </w:r>
    </w:p>
    <w:p>
      <w:pPr>
        <w:pStyle w:val="Heading2"/>
      </w:pPr>
      <w:r>
        <w:t xml:space="preserve">1.7 Guiding Principles</w:t>
      </w:r>
    </w:p>
    <w:p>
      <w:pPr>
        <w:pStyle w:val="ListParagraph"/>
        <w:numPr>
          <w:ilvl w:val="0"/>
          <w:numId w:val="2"/>
        </w:numPr>
        <w:spacing w:after="60" w:line="270"/>
      </w:pPr>
      <w:r>
        <w:t xml:space="preserve">Evidence over assertion — conclusions must trace to source documents.</w:t>
      </w:r>
    </w:p>
    <w:p>
      <w:pPr>
        <w:pStyle w:val="ListParagraph"/>
        <w:numPr>
          <w:ilvl w:val="0"/>
          <w:numId w:val="2"/>
        </w:numPr>
        <w:spacing w:after="60" w:line="270"/>
      </w:pPr>
      <w:r>
        <w:t xml:space="preserve">Triangulate, never single-source — show a range, not a false-precision point value.</w:t>
      </w:r>
    </w:p>
    <w:p>
      <w:pPr>
        <w:pStyle w:val="ListParagraph"/>
        <w:numPr>
          <w:ilvl w:val="0"/>
          <w:numId w:val="2"/>
        </w:numPr>
        <w:spacing w:after="60" w:line="270"/>
      </w:pPr>
      <w:r>
        <w:t xml:space="preserve">Coach the novice, get out of the expert’s way — progressive disclosure by tier.</w:t>
      </w:r>
    </w:p>
    <w:p>
      <w:pPr>
        <w:pStyle w:val="ListParagraph"/>
        <w:numPr>
          <w:ilvl w:val="0"/>
          <w:numId w:val="2"/>
        </w:numPr>
        <w:spacing w:after="60" w:line="270"/>
      </w:pPr>
      <w:r>
        <w:t xml:space="preserve">Decision-support, not advice — surface facts and ranges; the human decides.</w:t>
      </w:r>
    </w:p>
    <w:p>
      <w:pPr>
        <w:pBdr>
          <w:bottom w:val="single" w:color="2E75B6" w:sz="6" w:space="1"/>
        </w:pBdr>
        <w:spacing w:after="160"/>
      </w:pPr>
      <w:r>
        <w:t xml:space="preserve"/>
      </w:r>
    </w:p>
    <w:p>
      <w:pPr>
        <w:pageBreakBefore/>
        <w:spacing w:after="80"/>
      </w:pPr>
      <w:r>
        <w:rPr>
          <w:b/>
          <w:bCs/>
          <w:color w:val="2E75B6"/>
          <w:sz w:val="24"/>
          <w:szCs w:val="24"/>
        </w:rPr>
        <w:t xml:space="preserve">PART 2</w:t>
      </w:r>
    </w:p>
    <w:p>
      <w:pPr>
        <w:pStyle w:val="Heading1"/>
      </w:pPr>
      <w:r>
        <w:t xml:space="preserve">Architecture</w:t>
      </w:r>
    </w:p>
    <w:p>
      <w:pPr>
        <w:pStyle w:val="Heading2"/>
      </w:pPr>
      <w:r>
        <w:t xml:space="preserve">2.1 Architectural Goals</w:t>
      </w:r>
    </w:p>
    <w:p>
      <w:pPr>
        <w:pStyle w:val="ListParagraph"/>
        <w:numPr>
          <w:ilvl w:val="0"/>
          <w:numId w:val="2"/>
        </w:numPr>
        <w:spacing w:after="60" w:line="270"/>
      </w:pPr>
      <w:r>
        <w:t xml:space="preserve">Multi-tenant SaaS by default, with the same codebase deployable single-tenant for internal/Enterprise use.</w:t>
      </w:r>
    </w:p>
    <w:p>
      <w:pPr>
        <w:pStyle w:val="ListParagraph"/>
        <w:numPr>
          <w:ilvl w:val="0"/>
          <w:numId w:val="2"/>
        </w:numPr>
        <w:spacing w:after="60" w:line="270"/>
      </w:pPr>
      <w:r>
        <w:t xml:space="preserve">Strong tenant isolation and security — deals contain highly confidential financial data.</w:t>
      </w:r>
    </w:p>
    <w:p>
      <w:pPr>
        <w:pStyle w:val="ListParagraph"/>
        <w:numPr>
          <w:ilvl w:val="0"/>
          <w:numId w:val="2"/>
        </w:numPr>
        <w:spacing w:after="60" w:line="270"/>
      </w:pPr>
      <w:r>
        <w:t xml:space="preserve">Auditability — every change to a finding, assumption, or value is versioned and attributable.</w:t>
      </w:r>
    </w:p>
    <w:p>
      <w:pPr>
        <w:pStyle w:val="ListParagraph"/>
        <w:numPr>
          <w:ilvl w:val="0"/>
          <w:numId w:val="2"/>
        </w:numPr>
        <w:spacing w:after="60" w:line="270"/>
      </w:pPr>
      <w:r>
        <w:t xml:space="preserve">Modular engines — diligence and valuation are independent services that share the deal model.</w:t>
      </w:r>
    </w:p>
    <w:p>
      <w:pPr>
        <w:pStyle w:val="ListParagraph"/>
        <w:numPr>
          <w:ilvl w:val="0"/>
          <w:numId w:val="2"/>
        </w:numPr>
        <w:spacing w:after="60" w:line="270"/>
      </w:pPr>
      <w:r>
        <w:t xml:space="preserve">Extensible integrations — accounting systems, document storage, and data providers plug in without core changes.</w:t>
      </w:r>
    </w:p>
    <w:p>
      <w:pPr>
        <w:pStyle w:val="Heading2"/>
      </w:pPr>
      <w:r>
        <w:t xml:space="preserve">2.2 High-Level System View</w:t>
      </w:r>
    </w:p>
    <w:p>
      <w:pPr>
        <w:spacing w:after="120" w:line="276"/>
      </w:pPr>
      <w:r>
        <w:t xml:space="preserve">DealLens follows a modular, service-oriented architecture behind a single API gateway. A web client talks to backend services through a gateway that handles auth, rate limiting, and tenant routing.</w:t>
      </w:r>
    </w:p>
    <w:p>
      <w:pPr>
        <w:spacing w:after="120" w:line="276"/>
      </w:pPr>
      <w:r>
        <w:t xml:space="preserve">Logical layers,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Layer</w:t>
            </w:r>
          </w:p>
        </w:tc>
        <w:tc>
          <w:tcPr>
            <w:tcW w:type="dxa" w:w="4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Responsibility</w:t>
            </w:r>
          </w:p>
        </w:tc>
        <w:tc>
          <w:tcPr>
            <w:tcW w:type="dxa" w:w="3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Representative technology</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Client</w:t>
            </w:r>
          </w:p>
        </w:tc>
        <w:tc>
          <w:tcPr>
            <w:tcW w:type="dxa" w:w="4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Responsive web app (SPA); future mobile screening app</w:t>
            </w:r>
          </w:p>
        </w:tc>
        <w:tc>
          <w:tcPr>
            <w:tcW w:type="dxa" w:w="3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React / TypeScript, Next.js</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API Gateway</w:t>
            </w:r>
          </w:p>
        </w:tc>
        <w:tc>
          <w:tcPr>
            <w:tcW w:type="dxa" w:w="4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AuthN/Z, tenant routing, rate limiting, request validation</w:t>
            </w:r>
          </w:p>
        </w:tc>
        <w:tc>
          <w:tcPr>
            <w:tcW w:type="dxa" w:w="3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Node.js gateway / Kong</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Application services</w:t>
            </w:r>
          </w:p>
        </w:tc>
        <w:tc>
          <w:tcPr>
            <w:tcW w:type="dxa" w:w="4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Deal, Diligence, Valuation, Document, Reporting, Collaboration</w:t>
            </w:r>
          </w:p>
        </w:tc>
        <w:tc>
          <w:tcPr>
            <w:tcW w:type="dxa" w:w="3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Node.js / TypeScript (or Go)</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AI / assist layer</w:t>
            </w:r>
          </w:p>
        </w:tc>
        <w:tc>
          <w:tcPr>
            <w:tcW w:type="dxa" w:w="4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Earnings-normalization hints, doc extraction, narrative drafting</w:t>
            </w:r>
          </w:p>
        </w:tc>
        <w:tc>
          <w:tcPr>
            <w:tcW w:type="dxa" w:w="3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LLM service + retrieval</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Data layer</w:t>
            </w:r>
          </w:p>
        </w:tc>
        <w:tc>
          <w:tcPr>
            <w:tcW w:type="dxa" w:w="4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Relational store, document/object store, search index, cache</w:t>
            </w:r>
          </w:p>
        </w:tc>
        <w:tc>
          <w:tcPr>
            <w:tcW w:type="dxa" w:w="3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PostgreSQL, S3, OpenSearch, Redis</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Integration layer</w:t>
            </w:r>
          </w:p>
        </w:tc>
        <w:tc>
          <w:tcPr>
            <w:tcW w:type="dxa" w:w="4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Accounting, storage, comps/market data, SSO</w:t>
            </w:r>
          </w:p>
        </w:tc>
        <w:tc>
          <w:tcPr>
            <w:tcW w:type="dxa" w:w="3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Connector microservices</w:t>
            </w:r>
          </w:p>
        </w:tc>
      </w:tr>
    </w:tbl>
    <w:p>
      <w:pPr>
        <w:pStyle w:val="Heading2"/>
      </w:pPr>
      <w:r>
        <w:t xml:space="preserve">2.3 Core Services</w:t>
      </w:r>
    </w:p>
    <w:p>
      <w:pPr>
        <w:pStyle w:val="Heading3"/>
      </w:pPr>
      <w:r>
        <w:t xml:space="preserve">Deal Service</w:t>
      </w:r>
    </w:p>
    <w:p>
      <w:pPr>
        <w:spacing w:after="120" w:line="276"/>
      </w:pPr>
      <w:r>
        <w:t xml:space="preserve">Owns the Deal aggregate — the workspace that ties everything together: target company profile, stage, team membership, and references to diligence and valuation artifacts. Source of truth for permissions at the deal level.</w:t>
      </w:r>
    </w:p>
    <w:p>
      <w:pPr>
        <w:pStyle w:val="Heading3"/>
      </w:pPr>
      <w:r>
        <w:t xml:space="preserve">Diligence Service</w:t>
      </w:r>
    </w:p>
    <w:p>
      <w:pPr>
        <w:spacing w:after="120" w:line="276"/>
      </w:pPr>
      <w:r>
        <w:t xml:space="preserve">Manages checklist templates, instantiated checklists, items, statuses, risk ratings, and the linkage between items and evidence documents. Computes the rolled-up risk profile and surfaces red flags.</w:t>
      </w:r>
    </w:p>
    <w:p>
      <w:pPr>
        <w:pStyle w:val="Heading3"/>
      </w:pPr>
      <w:r>
        <w:t xml:space="preserve">Valuation Service</w:t>
      </w:r>
    </w:p>
    <w:p>
      <w:pPr>
        <w:spacing w:after="120" w:line="276"/>
      </w:pPr>
      <w:r>
        <w:t xml:space="preserve">Stores financial inputs and normalization adjustments, then runs the three valuation approaches as pure, versioned calculation functions. Every model run is immutable and reproducible, capturing inputs, assumptions, and outputs so results can be audited and compared.</w:t>
      </w:r>
    </w:p>
    <w:p>
      <w:pPr>
        <w:pStyle w:val="Heading3"/>
      </w:pPr>
      <w:r>
        <w:t xml:space="preserve">Document Service</w:t>
      </w:r>
    </w:p>
    <w:p>
      <w:pPr>
        <w:spacing w:after="120" w:line="276"/>
      </w:pPr>
      <w:r>
        <w:t xml:space="preserve">Handles upload, virus scanning, storage, and metadata for evidence files. Integrates with the AI layer to extract figures and suggest where a document belongs in the checklist.</w:t>
      </w:r>
    </w:p>
    <w:p>
      <w:pPr>
        <w:pStyle w:val="Heading3"/>
      </w:pPr>
      <w:r>
        <w:t xml:space="preserve">Reporting Service</w:t>
      </w:r>
    </w:p>
    <w:p>
      <w:pPr>
        <w:spacing w:after="120" w:line="276"/>
      </w:pPr>
      <w:r>
        <w:t xml:space="preserve">Assembles diligence summaries, valuation outputs, and risk profiles into client-ready Word/PDF/Excel deliverables using document-generation templates.</w:t>
      </w:r>
    </w:p>
    <w:p>
      <w:pPr>
        <w:pStyle w:val="Heading3"/>
      </w:pPr>
      <w:r>
        <w:t xml:space="preserve">Collaboration Service</w:t>
      </w:r>
    </w:p>
    <w:p>
      <w:pPr>
        <w:spacing w:after="120" w:line="276"/>
      </w:pPr>
      <w:r>
        <w:t xml:space="preserve">Comments, mentions, task assignment, notifications, and activity feed across the deal.</w:t>
      </w:r>
    </w:p>
    <w:p>
      <w:pPr>
        <w:pStyle w:val="Heading2"/>
      </w:pPr>
      <w:r>
        <w:t xml:space="preserve">2.4 Data Model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Entity</w:t>
            </w:r>
          </w:p>
        </w:tc>
        <w:tc>
          <w:tcPr>
            <w:tcW w:type="dxa" w:w="4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Key fields</w:t>
            </w:r>
          </w:p>
        </w:tc>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Relationships</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Tenant</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id, name, plan, deployment_type</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has many Users, Deals</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User</w:t>
            </w:r>
          </w:p>
        </w:tc>
        <w:tc>
          <w:tcPr>
            <w:tcW w:type="dxa" w:w="4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id, role, tenant_id</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belongs to Tenant; member of Deals</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Deal</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id, target_name, stage, owner_id</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has one Checklist, many Valuations</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ChecklistItem</w:t>
            </w:r>
          </w:p>
        </w:tc>
        <w:tc>
          <w:tcPr>
            <w:tcW w:type="dxa" w:w="4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id, category, status, risk_rating, notes</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belongs to Deal; has many Documents</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Document</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id, type, extracted_data, storage_key</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linked to ChecklistItems / Valuation</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FinancialInput</w:t>
            </w:r>
          </w:p>
        </w:tc>
        <w:tc>
          <w:tcPr>
            <w:tcW w:type="dxa" w:w="4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id, period, revenue, ebitda, sde</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belongs to Deal / Valuation</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Adjustment</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id, type, amount, rationale</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normalizes FinancialInput</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ValuationRun</w:t>
            </w:r>
          </w:p>
        </w:tc>
        <w:tc>
          <w:tcPr>
            <w:tcW w:type="dxa" w:w="4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id, method, assumptions, output_range</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belongs to Deal; immutable/versioned</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Comparable</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id, sector, multiple, source</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referenced by ValuationRun</w:t>
            </w:r>
          </w:p>
        </w:tc>
      </w:tr>
    </w:tbl>
    <w:p>
      <w:pPr>
        <w:pStyle w:val="Heading2"/>
      </w:pPr>
      <w:r>
        <w:t xml:space="preserve">2.5 The Valuation Engine</w:t>
      </w:r>
    </w:p>
    <w:p>
      <w:pPr>
        <w:spacing w:after="120" w:line="276"/>
      </w:pPr>
      <w:r>
        <w:t xml:space="preserve">The valuation engine is the analytical core and is implemented as deterministic, unit-tested calculation modules — never as opaque AI output. Each approach is a separate module:</w:t>
      </w:r>
    </w:p>
    <w:p>
      <w:pPr>
        <w:spacing w:after="120" w:line="276"/>
      </w:pPr>
      <w:r>
        <w:rPr>
          <w:b/>
          <w:bCs/>
        </w:rPr>
        <w:t xml:space="preserve">Normalization module. </w:t>
      </w:r>
      <w:r>
        <w:t xml:space="preserve">Takes raw financials plus a list of adjustments (owner salary add-backs, one-off items, non-recurring costs) and outputs normalized EBITDA and SDE.</w:t>
      </w:r>
    </w:p>
    <w:p>
      <w:pPr>
        <w:spacing w:after="120" w:line="276"/>
      </w:pPr>
      <w:r>
        <w:rPr>
          <w:b/>
          <w:bCs/>
        </w:rPr>
        <w:t xml:space="preserve">Income module. </w:t>
      </w:r>
      <w:r>
        <w:t xml:space="preserve">DCF (project free cash flow, terminal value, discount at WACC/required return) and capitalization-of-earnings (normalized earnings ÷ cap rate).</w:t>
      </w:r>
    </w:p>
    <w:p>
      <w:pPr>
        <w:spacing w:after="120" w:line="276"/>
      </w:pPr>
      <w:r>
        <w:rPr>
          <w:b/>
          <w:bCs/>
        </w:rPr>
        <w:t xml:space="preserve">Market module. </w:t>
      </w:r>
      <w:r>
        <w:t xml:space="preserve">Applies comparable multiples (EBITDA, SDE, or revenue) drawn from the comparables library to normalized metrics.</w:t>
      </w:r>
    </w:p>
    <w:p>
      <w:pPr>
        <w:spacing w:after="120" w:line="276"/>
      </w:pPr>
      <w:r>
        <w:rPr>
          <w:b/>
          <w:bCs/>
        </w:rPr>
        <w:t xml:space="preserve">Asset module. </w:t>
      </w:r>
      <w:r>
        <w:t xml:space="preserve">Net asset value = total assets − liabilities, used as a floor and for asset-heavy targets.</w:t>
      </w:r>
    </w:p>
    <w:p>
      <w:pPr>
        <w:spacing w:after="120" w:line="276"/>
      </w:pPr>
      <w:r>
        <w:rPr>
          <w:b/>
          <w:bCs/>
        </w:rPr>
        <w:t xml:space="preserve">Triangulation module. </w:t>
      </w:r>
      <w:r>
        <w:t xml:space="preserve">Combines approach outputs into a weighted value range with sensitivity tables, and adjusts the suggested multiple based on diligence red flags.</w:t>
      </w:r>
    </w:p>
    <w:p>
      <w:pPr>
        <w:spacing w:after="120" w:line="276"/>
      </w:pPr>
      <w:r>
        <w:t xml:space="preserve">Because each run is immutable and stores its inputs and assumptions, two valuations can be diffed and any number is fully reproducible — essential for audit and for explaining a price to a counterparty.</w:t>
      </w:r>
    </w:p>
    <w:p>
      <w:pPr>
        <w:pStyle w:val="Heading2"/>
      </w:pPr>
      <w:r>
        <w:t xml:space="preserve">2.6 The AI / Assist Layer</w:t>
      </w:r>
    </w:p>
    <w:p>
      <w:pPr>
        <w:spacing w:after="120" w:line="276"/>
      </w:pPr>
      <w:r>
        <w:t xml:space="preserve">AI accelerates judgment work but never replaces the deterministic math. Concretely it: extracts figures and tables from uploaded statements; suggests likely normalization adjustments for human approval; classifies documents into checklist categories; flags anomalies (e.g., margins inconsistent with peers); and drafts narrative summaries for reports. Every AI suggestion is presented for human confirmation and is clearly labeled as a suggestion, preserving the “decision-support, not advice” principle.</w:t>
      </w:r>
    </w:p>
    <w:p>
      <w:pPr>
        <w:pStyle w:val="Heading2"/>
      </w:pPr>
      <w:r>
        <w:t xml:space="preserve">2.7 Deployment &amp; Multi-Tenancy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600"/>
        <w:gridCol w:w="286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Mode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Tenancy</w:t>
            </w:r>
          </w:p>
        </w:tc>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Typical user</w:t>
            </w:r>
          </w:p>
        </w:tc>
        <w:tc>
          <w:tcPr>
            <w:tcW w:type="dxa" w:w="2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Notes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SaaS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Shared, row-level isolated</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Buyers, search funds, brokers</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Fastest onboarding; pooled infra</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Enterprise SaaS</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Logically isolated schema</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PE firms</w:t>
            </w:r>
          </w:p>
        </w:tc>
        <w:tc>
          <w:tcPr>
            <w:tcW w:type="dxa" w:w="2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SSO, custom templates, SLAs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Internal / single-tenant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Dedicated deployment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In-house deal teams</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Data residency, VPC, firm IP stays in-house</w:t>
            </w:r>
          </w:p>
        </w:tc>
      </w:tr>
    </w:tbl>
    <w:p>
      <w:pPr>
        <w:pStyle w:val="Heading2"/>
      </w:pPr>
      <w:r>
        <w:t xml:space="preserve">2.8 Security &amp; Compliance</w:t>
      </w:r>
    </w:p>
    <w:p>
      <w:pPr>
        <w:pStyle w:val="ListParagraph"/>
        <w:numPr>
          <w:ilvl w:val="0"/>
          <w:numId w:val="2"/>
        </w:numPr>
        <w:spacing w:after="60" w:line="270"/>
      </w:pPr>
      <w:r>
        <w:t xml:space="preserve">Encryption in transit (TLS 1.2+) and at rest (AES-256) for all deal data and documents.</w:t>
      </w:r>
    </w:p>
    <w:p>
      <w:pPr>
        <w:pStyle w:val="ListParagraph"/>
        <w:numPr>
          <w:ilvl w:val="0"/>
          <w:numId w:val="2"/>
        </w:numPr>
        <w:spacing w:after="60" w:line="270"/>
      </w:pPr>
      <w:r>
        <w:t xml:space="preserve">Role-based access control at tenant and deal level; least-privilege defaults.</w:t>
      </w:r>
    </w:p>
    <w:p>
      <w:pPr>
        <w:pStyle w:val="ListParagraph"/>
        <w:numPr>
          <w:ilvl w:val="0"/>
          <w:numId w:val="2"/>
        </w:numPr>
        <w:spacing w:after="60" w:line="270"/>
      </w:pPr>
      <w:r>
        <w:t xml:space="preserve">SSO/SAML and SCIM for Enterprise; MFA available to all tiers.</w:t>
      </w:r>
    </w:p>
    <w:p>
      <w:pPr>
        <w:pStyle w:val="ListParagraph"/>
        <w:numPr>
          <w:ilvl w:val="0"/>
          <w:numId w:val="2"/>
        </w:numPr>
        <w:spacing w:after="60" w:line="270"/>
      </w:pPr>
      <w:r>
        <w:t xml:space="preserve">Complete, immutable audit log of who changed what and when.</w:t>
      </w:r>
    </w:p>
    <w:p>
      <w:pPr>
        <w:pStyle w:val="ListParagraph"/>
        <w:numPr>
          <w:ilvl w:val="0"/>
          <w:numId w:val="2"/>
        </w:numPr>
        <w:spacing w:after="60" w:line="270"/>
      </w:pPr>
      <w:r>
        <w:t xml:space="preserve">Tenant data isolation; per-tenant encryption keys for Enterprise/internal.</w:t>
      </w:r>
    </w:p>
    <w:p>
      <w:pPr>
        <w:pStyle w:val="ListParagraph"/>
        <w:numPr>
          <w:ilvl w:val="0"/>
          <w:numId w:val="2"/>
        </w:numPr>
        <w:spacing w:after="60" w:line="270"/>
      </w:pPr>
      <w:r>
        <w:t xml:space="preserve">No execution of trades or movement of money — by design the platform cannot transact.</w:t>
      </w:r>
    </w:p>
    <w:p>
      <w:pPr>
        <w:pStyle w:val="ListParagraph"/>
        <w:numPr>
          <w:ilvl w:val="0"/>
          <w:numId w:val="2"/>
        </w:numPr>
        <w:spacing w:after="60" w:line="270"/>
      </w:pPr>
      <w:r>
        <w:t xml:space="preserve">Compliance posture targeting SOC 2 Type II; GDPR-aligned data handling and deletion.</w:t>
      </w:r>
    </w:p>
    <w:p>
      <w:pPr>
        <w:pBdr>
          <w:bottom w:val="single" w:color="2E75B6" w:sz="6" w:space="1"/>
        </w:pBdr>
        <w:spacing w:after="160"/>
      </w:pPr>
      <w:r>
        <w:t xml:space="preserve"/>
      </w:r>
    </w:p>
    <w:p>
      <w:pPr>
        <w:pageBreakBefore/>
        <w:spacing w:after="80"/>
      </w:pPr>
      <w:r>
        <w:rPr>
          <w:b/>
          <w:bCs/>
          <w:color w:val="2E75B6"/>
          <w:sz w:val="24"/>
          <w:szCs w:val="24"/>
        </w:rPr>
        <w:t xml:space="preserve">PART 3</w:t>
      </w:r>
    </w:p>
    <w:p>
      <w:pPr>
        <w:pStyle w:val="Heading1"/>
      </w:pPr>
      <w:r>
        <w:t xml:space="preserve">Design</w:t>
      </w:r>
    </w:p>
    <w:p>
      <w:pPr>
        <w:pStyle w:val="Heading2"/>
      </w:pPr>
      <w:r>
        <w:t xml:space="preserve">3.1 Design Principles</w:t>
      </w:r>
    </w:p>
    <w:p>
      <w:pPr>
        <w:pStyle w:val="ListParagraph"/>
        <w:numPr>
          <w:ilvl w:val="0"/>
          <w:numId w:val="2"/>
        </w:numPr>
        <w:spacing w:after="60" w:line="270"/>
      </w:pPr>
      <w:r>
        <w:rPr>
          <w:b/>
          <w:bCs/>
        </w:rPr>
        <w:t xml:space="preserve">Guided by default, flexible on demand. </w:t>
      </w:r>
      <w:r>
        <w:t xml:space="preserve">Walk novices step by step; let experts jump straight to the model.</w:t>
      </w:r>
    </w:p>
    <w:p>
      <w:pPr>
        <w:pStyle w:val="ListParagraph"/>
        <w:numPr>
          <w:ilvl w:val="0"/>
          <w:numId w:val="2"/>
        </w:numPr>
        <w:spacing w:after="60" w:line="270"/>
      </w:pPr>
      <w:r>
        <w:rPr>
          <w:b/>
          <w:bCs/>
        </w:rPr>
        <w:t xml:space="preserve">Progressive disclosure. </w:t>
      </w:r>
      <w:r>
        <w:t xml:space="preserve">Show the minimum needed now; reveal depth (sensitivity tables, assumptions) on request.</w:t>
      </w:r>
    </w:p>
    <w:p>
      <w:pPr>
        <w:pStyle w:val="ListParagraph"/>
        <w:numPr>
          <w:ilvl w:val="0"/>
          <w:numId w:val="2"/>
        </w:numPr>
        <w:spacing w:after="60" w:line="270"/>
      </w:pPr>
      <w:r>
        <w:rPr>
          <w:b/>
          <w:bCs/>
        </w:rPr>
        <w:t xml:space="preserve">Evidence in context. </w:t>
      </w:r>
      <w:r>
        <w:t xml:space="preserve">Every finding and number is one click from its source document.</w:t>
      </w:r>
    </w:p>
    <w:p>
      <w:pPr>
        <w:pStyle w:val="ListParagraph"/>
        <w:numPr>
          <w:ilvl w:val="0"/>
          <w:numId w:val="2"/>
        </w:numPr>
        <w:spacing w:after="60" w:line="270"/>
      </w:pPr>
      <w:r>
        <w:rPr>
          <w:b/>
          <w:bCs/>
        </w:rPr>
        <w:t xml:space="preserve">Trust through transparency. </w:t>
      </w:r>
      <w:r>
        <w:t xml:space="preserve">Always show how a value was derived; never present a black-box number.</w:t>
      </w:r>
    </w:p>
    <w:p>
      <w:pPr>
        <w:pStyle w:val="ListParagraph"/>
        <w:numPr>
          <w:ilvl w:val="0"/>
          <w:numId w:val="2"/>
        </w:numPr>
        <w:spacing w:after="60" w:line="270"/>
      </w:pPr>
      <w:r>
        <w:rPr>
          <w:b/>
          <w:bCs/>
        </w:rPr>
        <w:t xml:space="preserve">Calm, confident, financial-grade. </w:t>
      </w:r>
      <w:r>
        <w:t xml:space="preserve">Restrained palette, clear typography, generous whitespace, data legibility first.</w:t>
      </w:r>
    </w:p>
    <w:p>
      <w:pPr>
        <w:pStyle w:val="Heading2"/>
      </w:pPr>
      <w:r>
        <w:t xml:space="preserve">3.2 Information Architecture</w:t>
      </w:r>
    </w:p>
    <w:p>
      <w:pPr>
        <w:spacing w:after="120" w:line="276"/>
      </w:pPr>
      <w:r>
        <w:t xml:space="preserve">The app is organized around the Deal Workspace. Top-level navigation:</w:t>
      </w:r>
    </w:p>
    <w:p>
      <w:pPr>
        <w:pStyle w:val="ListParagraph"/>
        <w:numPr>
          <w:ilvl w:val="0"/>
          <w:numId w:val="3"/>
        </w:numPr>
        <w:spacing w:after="60" w:line="270"/>
      </w:pPr>
      <w:r>
        <w:t xml:space="preserve">Dashboard — pipeline of deals, status, and tasks waiting on the user.</w:t>
      </w:r>
    </w:p>
    <w:p>
      <w:pPr>
        <w:pStyle w:val="ListParagraph"/>
        <w:numPr>
          <w:ilvl w:val="0"/>
          <w:numId w:val="3"/>
        </w:numPr>
        <w:spacing w:after="60" w:line="270"/>
      </w:pPr>
      <w:r>
        <w:t xml:space="preserve">Deal Workspace — the hub for a single target, with tabbed sub-areas.</w:t>
      </w:r>
    </w:p>
    <w:p>
      <w:pPr>
        <w:pStyle w:val="ListParagraph"/>
        <w:numPr>
          <w:ilvl w:val="0"/>
          <w:numId w:val="3"/>
        </w:numPr>
        <w:spacing w:after="60" w:line="270"/>
      </w:pPr>
      <w:r>
        <w:t xml:space="preserve">Templates Library — reusable diligence checklists and valuation presets.</w:t>
      </w:r>
    </w:p>
    <w:p>
      <w:pPr>
        <w:pStyle w:val="ListParagraph"/>
        <w:numPr>
          <w:ilvl w:val="0"/>
          <w:numId w:val="3"/>
        </w:numPr>
        <w:spacing w:after="60" w:line="270"/>
      </w:pPr>
      <w:r>
        <w:t xml:space="preserve">Comparables Library — market multiples and precedent transactions.</w:t>
      </w:r>
    </w:p>
    <w:p>
      <w:pPr>
        <w:pStyle w:val="ListParagraph"/>
        <w:numPr>
          <w:ilvl w:val="0"/>
          <w:numId w:val="3"/>
        </w:numPr>
        <w:spacing w:after="60" w:line="270"/>
      </w:pPr>
      <w:r>
        <w:t xml:space="preserve">Reports — generated deliverables.</w:t>
      </w:r>
    </w:p>
    <w:p>
      <w:pPr>
        <w:pStyle w:val="ListParagraph"/>
        <w:numPr>
          <w:ilvl w:val="0"/>
          <w:numId w:val="3"/>
        </w:numPr>
        <w:spacing w:after="60" w:line="270"/>
      </w:pPr>
      <w:r>
        <w:t xml:space="preserve">Admin / Settings — team, roles, integrations, billing.</w:t>
      </w:r>
    </w:p>
    <w:p>
      <w:pPr>
        <w:spacing w:after="120" w:line="276"/>
      </w:pPr>
      <w:r>
        <w:t xml:space="preserve">Within a Deal Workspace, tabs are: Overview, Due Diligence, Financials, Valuation, Documents, Risk, and Report.</w:t>
      </w:r>
    </w:p>
    <w:p>
      <w:pPr>
        <w:pStyle w:val="Heading2"/>
      </w:pPr>
      <w:r>
        <w:t xml:space="preserve">3.3 Primary User Flows</w:t>
      </w:r>
    </w:p>
    <w:p>
      <w:pPr>
        <w:pStyle w:val="Heading3"/>
      </w:pPr>
      <w:r>
        <w:t xml:space="preserve">Flow A — Evaluate a new target (end to end)</w:t>
      </w:r>
    </w:p>
    <w:p>
      <w:pPr>
        <w:pStyle w:val="ListParagraph"/>
        <w:numPr>
          <w:ilvl w:val="0"/>
          <w:numId w:val="4"/>
        </w:numPr>
        <w:spacing w:after="60" w:line="270"/>
      </w:pPr>
      <w:r>
        <w:t xml:space="preserve">Create deal → enter target profile and reason for sale.</w:t>
      </w:r>
    </w:p>
    <w:p>
      <w:pPr>
        <w:pStyle w:val="ListParagraph"/>
        <w:numPr>
          <w:ilvl w:val="0"/>
          <w:numId w:val="4"/>
        </w:numPr>
        <w:spacing w:after="60" w:line="270"/>
      </w:pPr>
      <w:r>
        <w:t xml:space="preserve">Pick a diligence template by business type (general, SMB, SaaS, retail).</w:t>
      </w:r>
    </w:p>
    <w:p>
      <w:pPr>
        <w:pStyle w:val="ListParagraph"/>
        <w:numPr>
          <w:ilvl w:val="0"/>
          <w:numId w:val="4"/>
        </w:numPr>
        <w:spacing w:after="60" w:line="270"/>
      </w:pPr>
      <w:r>
        <w:t xml:space="preserve">Upload financials and documents; AI extracts figures and files them to checklist items.</w:t>
      </w:r>
    </w:p>
    <w:p>
      <w:pPr>
        <w:pStyle w:val="ListParagraph"/>
        <w:numPr>
          <w:ilvl w:val="0"/>
          <w:numId w:val="4"/>
        </w:numPr>
        <w:spacing w:after="60" w:line="270"/>
      </w:pPr>
      <w:r>
        <w:t xml:space="preserve">Work the checklist: set status, rate risk, attach evidence, leave notes.</w:t>
      </w:r>
    </w:p>
    <w:p>
      <w:pPr>
        <w:pStyle w:val="ListParagraph"/>
        <w:numPr>
          <w:ilvl w:val="0"/>
          <w:numId w:val="4"/>
        </w:numPr>
        <w:spacing w:after="60" w:line="270"/>
      </w:pPr>
      <w:r>
        <w:t xml:space="preserve">Normalize earnings: review AI-suggested add-backs; confirm EBITDA/SDE.</w:t>
      </w:r>
    </w:p>
    <w:p>
      <w:pPr>
        <w:pStyle w:val="ListParagraph"/>
        <w:numPr>
          <w:ilvl w:val="0"/>
          <w:numId w:val="4"/>
        </w:numPr>
        <w:spacing w:after="60" w:line="270"/>
      </w:pPr>
      <w:r>
        <w:t xml:space="preserve">Run valuation: the engine produces a range across the three approaches.</w:t>
      </w:r>
    </w:p>
    <w:p>
      <w:pPr>
        <w:pStyle w:val="ListParagraph"/>
        <w:numPr>
          <w:ilvl w:val="0"/>
          <w:numId w:val="4"/>
        </w:numPr>
        <w:spacing w:after="60" w:line="270"/>
      </w:pPr>
      <w:r>
        <w:t xml:space="preserve">Review risk profile; red flags adjust the suggested multiple.</w:t>
      </w:r>
    </w:p>
    <w:p>
      <w:pPr>
        <w:pStyle w:val="ListParagraph"/>
        <w:numPr>
          <w:ilvl w:val="0"/>
          <w:numId w:val="4"/>
        </w:numPr>
        <w:spacing w:after="60" w:line="270"/>
      </w:pPr>
      <w:r>
        <w:t xml:space="preserve">Generate a report and share with stakeholders.</w:t>
      </w:r>
    </w:p>
    <w:p>
      <w:pPr>
        <w:pStyle w:val="Heading3"/>
      </w:pPr>
      <w:r>
        <w:t xml:space="preserve">Flow B — Quick screen (lightweight)</w:t>
      </w:r>
    </w:p>
    <w:p>
      <w:pPr>
        <w:spacing w:after="120" w:line="276"/>
      </w:pPr>
      <w:r>
        <w:t xml:space="preserve">For early pipeline triage: enter headline financials and a couple of risk inputs, get an indicative value range and a go/no-go signal in minutes — no full checklist required. Designed for the future mobile app and for brokers and search funds screening many targets.</w:t>
      </w:r>
    </w:p>
    <w:p>
      <w:pPr>
        <w:pStyle w:val="Heading2"/>
      </w:pPr>
      <w:r>
        <w:t xml:space="preserve">3.4 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60"/>
        <w:gridCol w:w="46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Screen</w:t>
            </w:r>
          </w:p>
        </w:tc>
        <w:tc>
          <w:tcPr>
            <w:tcW w:type="dxa" w:w="3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Purpose</w:t>
            </w:r>
          </w:p>
        </w:tc>
        <w:tc>
          <w:tcPr>
            <w:tcW w:type="dxa" w:w="4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Key elements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Dashboard</w:t>
            </w:r>
          </w:p>
        </w:tc>
        <w:tc>
          <w:tcPr>
            <w:tcW w:type="dxa" w:w="3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See the pipeline at a glance</w:t>
            </w:r>
          </w:p>
        </w:tc>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Deal cards by stage, risk badges, my open tasks</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Deal Overview</w:t>
            </w:r>
          </w:p>
        </w:tc>
        <w:tc>
          <w:tcPr>
            <w:tcW w:type="dxa" w:w="3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Snapshot of one target</w:t>
            </w:r>
          </w:p>
        </w:tc>
        <w:tc>
          <w:tcPr>
            <w:tcW w:type="dxa" w:w="4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Value range, risk score, completion %, key facts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Due Diligence</w:t>
            </w:r>
          </w:p>
        </w:tc>
        <w:tc>
          <w:tcPr>
            <w:tcW w:type="dxa" w:w="3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Work the checklist</w:t>
            </w:r>
          </w:p>
        </w:tc>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Category accordion, status chips, risk ratings, evidence links</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Financials</w:t>
            </w:r>
          </w:p>
        </w:tc>
        <w:tc>
          <w:tcPr>
            <w:tcW w:type="dxa" w:w="3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Input &amp; normalize earnings</w:t>
            </w:r>
          </w:p>
        </w:tc>
        <w:tc>
          <w:tcPr>
            <w:tcW w:type="dxa" w:w="4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Statement grid, adjustment panel, EBITDA/SDE result</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Valuation</w:t>
            </w:r>
          </w:p>
        </w:tc>
        <w:tc>
          <w:tcPr>
            <w:tcW w:type="dxa" w:w="3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Run &amp; compare methods</w:t>
            </w:r>
          </w:p>
        </w:tc>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Three-method range chart, assumptions panel, sensitivity table</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Risk</w:t>
            </w:r>
          </w:p>
        </w:tc>
        <w:tc>
          <w:tcPr>
            <w:tcW w:type="dxa" w:w="3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Roll-up of red flags</w:t>
            </w:r>
          </w:p>
        </w:tc>
        <w:tc>
          <w:tcPr>
            <w:tcW w:type="dxa" w:w="4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Heat map by category, prioritized flag list</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Report</w:t>
            </w:r>
          </w:p>
        </w:tc>
        <w:tc>
          <w:tcPr>
            <w:tcW w:type="dxa" w:w="3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Produce deliverables</w:t>
            </w:r>
          </w:p>
        </w:tc>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Template picker, live preview, export to Word/PDF/Excel</w:t>
            </w:r>
          </w:p>
        </w:tc>
      </w:tr>
    </w:tbl>
    <w:p>
      <w:pPr>
        <w:pStyle w:val="Heading2"/>
      </w:pPr>
      <w:r>
        <w:t xml:space="preserve">3.5 The Valuation Screen (signature experience)</w:t>
      </w:r>
    </w:p>
    <w:p>
      <w:pPr>
        <w:spacing w:after="120" w:line="276"/>
      </w:pPr>
      <w:r>
        <w:t xml:space="preserve">The valuation screen is where the product earns trust. It centers on a single chart showing the value range from each approach (DCF, capitalization, market multiples, asset) overlaid with a triangulated recommended range. A side panel exposes every assumption — discount rate, growth, chosen multiple, cap rate — with inline editing so the chart updates live. A sensitivity table shows how the value moves as the key drivers change. Each input carries a short plain-language explainer for novice users that experts can collapse.</w:t>
      </w:r>
    </w:p>
    <w:p>
      <w:pPr>
        <w:pStyle w:val="Heading2"/>
      </w:pPr>
      <w:r>
        <w:t xml:space="preserve">3.6 Visual &amp; Interaction Design</w:t>
      </w:r>
    </w:p>
    <w:p>
      <w:pPr>
        <w:pStyle w:val="ListParagraph"/>
        <w:numPr>
          <w:ilvl w:val="0"/>
          <w:numId w:val="2"/>
        </w:numPr>
        <w:spacing w:after="60" w:line="270"/>
      </w:pPr>
      <w:r>
        <w:t xml:space="preserve">Palette: deep blue primary, neutral greys, with semantic green/amber/red reserved strictly for risk and status.</w:t>
      </w:r>
    </w:p>
    <w:p>
      <w:pPr>
        <w:pStyle w:val="ListParagraph"/>
        <w:numPr>
          <w:ilvl w:val="0"/>
          <w:numId w:val="2"/>
        </w:numPr>
        <w:spacing w:after="60" w:line="270"/>
      </w:pPr>
      <w:r>
        <w:t xml:space="preserve">Typography: a clean sans-serif; tabular figures for all financial data so numbers align.</w:t>
      </w:r>
    </w:p>
    <w:p>
      <w:pPr>
        <w:pStyle w:val="ListParagraph"/>
        <w:numPr>
          <w:ilvl w:val="0"/>
          <w:numId w:val="2"/>
        </w:numPr>
        <w:spacing w:after="60" w:line="270"/>
      </w:pPr>
      <w:r>
        <w:t xml:space="preserve">Components: status chips, risk badges, evidence-link pills, range charts, and editable assumption rows.</w:t>
      </w:r>
    </w:p>
    <w:p>
      <w:pPr>
        <w:pStyle w:val="ListParagraph"/>
        <w:numPr>
          <w:ilvl w:val="0"/>
          <w:numId w:val="2"/>
        </w:numPr>
        <w:spacing w:after="60" w:line="270"/>
      </w:pPr>
      <w:r>
        <w:t xml:space="preserve">Accessibility: WCAG 2.1 AA — color is never the only signal; full keyboard navigation; screen-reader labels on charts.</w:t>
      </w:r>
    </w:p>
    <w:p>
      <w:pPr>
        <w:pStyle w:val="ListParagraph"/>
        <w:numPr>
          <w:ilvl w:val="0"/>
          <w:numId w:val="2"/>
        </w:numPr>
        <w:spacing w:after="60" w:line="270"/>
      </w:pPr>
      <w:r>
        <w:t xml:space="preserve">Empty states coach the next action; destructive actions confirm; autosave throughout.</w:t>
      </w:r>
    </w:p>
    <w:p>
      <w:pPr>
        <w:pStyle w:val="Heading2"/>
      </w:pPr>
      <w:r>
        <w:t xml:space="preserve">3.7 Tone &amp; Content</w:t>
      </w:r>
    </w:p>
    <w:p>
      <w:pPr>
        <w:spacing w:after="120" w:line="276"/>
      </w:pPr>
      <w:r>
        <w:t xml:space="preserve">Microcopy is plain-language and educational without being condescending. Where the product shows a number it offers a “why this?” affordance that explains the method in a sentence. The product consistently frames itself as decision-support: it presents ranges, evidence, and risks, and leaves the decision — and any binding advice — to the user and their professional advisors.</w:t>
      </w:r>
    </w:p>
    <w:p>
      <w:pPr>
        <w:pBdr>
          <w:bottom w:val="single" w:color="2E75B6" w:sz="6" w:space="1"/>
        </w:pBdr>
        <w:spacing w:after="160"/>
      </w:pPr>
      <w:r>
        <w:t xml:space="preserve"/>
      </w:r>
    </w:p>
    <w:p>
      <w:pPr>
        <w:pageBreakBefore/>
        <w:spacing w:after="80"/>
      </w:pPr>
      <w:r>
        <w:rPr>
          <w:b/>
          <w:bCs/>
          <w:color w:val="2E75B6"/>
          <w:sz w:val="24"/>
          <w:szCs w:val="24"/>
        </w:rPr>
        <w:t xml:space="preserve">PART 4</w:t>
      </w:r>
    </w:p>
    <w:p>
      <w:pPr>
        <w:pStyle w:val="Heading1"/>
      </w:pPr>
      <w:r>
        <w:t xml:space="preserve">Product Requirements Document (PRD)</w:t>
      </w:r>
    </w:p>
    <w:p>
      <w:pPr>
        <w:pStyle w:val="Heading2"/>
      </w:pPr>
      <w:r>
        <w:t xml:space="preserve">4.1 Overview &amp; Goals</w:t>
      </w:r>
    </w:p>
    <w:p>
      <w:pPr>
        <w:spacing w:after="120" w:line="276"/>
      </w:pPr>
      <w:r>
        <w:rPr>
          <w:b/>
          <w:bCs/>
        </w:rPr>
        <w:t xml:space="preserve">Product: </w:t>
      </w:r>
      <w:r>
        <w:t xml:space="preserve">DealLens — a due-diligence and valuation platform delivered as multi-tenant SaaS and as a single-tenant internal tool.</w:t>
      </w:r>
    </w:p>
    <w:p>
      <w:pPr>
        <w:spacing w:after="120" w:line="276"/>
      </w:pPr>
      <w:r>
        <w:rPr>
          <w:b/>
          <w:bCs/>
        </w:rPr>
        <w:t xml:space="preserve">Problem: </w:t>
      </w:r>
      <w:r>
        <w:t xml:space="preserve">deal evaluation is tribal, fragmented across tools, and disconnects evidence from conclusions; smaller buyers are underserved.</w:t>
      </w:r>
    </w:p>
    <w:p>
      <w:pPr>
        <w:spacing w:after="120" w:line="276"/>
      </w:pPr>
      <w:r>
        <w:rPr>
          <w:b/>
          <w:bCs/>
        </w:rPr>
        <w:t xml:space="preserve">Goal: </w:t>
      </w:r>
      <w:r>
        <w:t xml:space="preserve">let any acquirer run a rigorous, evidence-linked diligence process and produce a defensible valuation range in a single workspace.</w:t>
      </w:r>
    </w:p>
    <w:p>
      <w:pPr>
        <w:pStyle w:val="Heading3"/>
      </w:pPr>
      <w:r>
        <w:t xml:space="preserve">Objectives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60"/>
        <w:gridCol w:w="26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Objective</w:t>
            </w:r>
          </w:p>
        </w:tc>
        <w:tc>
          <w:tcPr>
            <w:tcW w:type="dxa" w:w="3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Metric</w:t>
            </w:r>
          </w:p>
        </w:tc>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Target (12 mo)</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Speed up evaluation</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Median time to first valuation</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&lt; 2 hours from deal creation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Drive completeness</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Avg. diligence checklist completion at decision</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 85%</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Build trust in numbers</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Valuations exported to report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 70% of active deals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Retain users</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Monthly active deal teams retained</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 80% (Professional+)</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Land internal deployments</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Enterprise/internal tenants signed</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 10 firms</w:t>
            </w:r>
          </w:p>
        </w:tc>
      </w:tr>
    </w:tbl>
    <w:p>
      <w:pPr>
        <w:pStyle w:val="Heading2"/>
      </w:pPr>
      <w:r>
        <w:t xml:space="preserve">4.2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Persona</w:t>
            </w:r>
          </w:p>
        </w:tc>
        <w:tc>
          <w:tcPr>
            <w:tcW w:type="dxa" w:w="3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Context</w:t>
            </w:r>
          </w:p>
        </w:tc>
        <w:tc>
          <w:tcPr>
            <w:tcW w:type="dxa" w:w="3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Top jobs-to-be-done</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Maya — first-time buyer</w:t>
            </w:r>
          </w:p>
        </w:tc>
        <w:tc>
          <w:tcPr>
            <w:tcW w:type="dxa" w:w="3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Buying one small business, limited finance background</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Be guided; avoid obvious traps; know a fair price</w:t>
            </w:r>
          </w:p>
        </w:tc>
      </w:tr>
      <w:tr>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Devin — search-fund principal</w:t>
            </w:r>
          </w:p>
        </w:tc>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Screening a pipeline, small team</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Triage fast; standardize; collaborate</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Priya — PE associate</w:t>
            </w:r>
          </w:p>
        </w:tc>
        <w:tc>
          <w:tcPr>
            <w:tcW w:type="dxa" w:w="3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Structured firm process, audit needs</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Rigor, audit trail, integrations, speed</w:t>
            </w:r>
          </w:p>
        </w:tc>
      </w:tr>
      <w:tr>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Sam — business broker</w:t>
            </w:r>
          </w:p>
        </w:tc>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Valuing businesses to list/sell</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Defensible valuation; client-ready outputs</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Internal deal team</w:t>
            </w:r>
          </w:p>
        </w:tc>
        <w:tc>
          <w:tcPr>
            <w:tcW w:type="dxa" w:w="3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In-house M&amp;A at a corporate/fund</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Firm templates, SSO, data stays in-house</w:t>
            </w:r>
          </w:p>
        </w:tc>
      </w:tr>
    </w:tbl>
    <w:p>
      <w:pPr>
        <w:pStyle w:val="Heading2"/>
      </w:pPr>
      <w:r>
        <w:t xml:space="preserve">4.3 Feature Requirements</w:t>
      </w:r>
    </w:p>
    <w:p>
      <w:pPr>
        <w:spacing w:after="120" w:line="276"/>
      </w:pPr>
      <w:r>
        <w:t xml:space="preserve">Priority key: P0 = launch-critical (MVP), P1 = fast-follow, P2 =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ID</w:t>
            </w:r>
          </w:p>
        </w:tc>
        <w:tc>
          <w:tcPr>
            <w:tcW w:type="dxa" w:w="6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Feature</w:t>
            </w:r>
          </w:p>
        </w:tc>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Priority</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F1</w:t>
            </w:r>
          </w:p>
        </w:tc>
        <w:tc>
          <w:tcPr>
            <w:tcW w:type="dxa" w:w="6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Deal workspace: create/manage deals, stages, team membership</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P0</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F2</w:t>
            </w:r>
          </w:p>
        </w:tc>
        <w:tc>
          <w:tcPr>
            <w:tcW w:type="dxa" w:w="6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Diligence checklist engine with category templates by business type</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P0</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F3</w:t>
            </w:r>
          </w:p>
        </w:tc>
        <w:tc>
          <w:tcPr>
            <w:tcW w:type="dxa" w:w="6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Checklist items: status, risk rating, notes, evidence links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P0</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F4</w:t>
            </w:r>
          </w:p>
        </w:tc>
        <w:tc>
          <w:tcPr>
            <w:tcW w:type="dxa" w:w="6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Document upload, storage, and AI figure extraction</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P0</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F5</w:t>
            </w:r>
          </w:p>
        </w:tc>
        <w:tc>
          <w:tcPr>
            <w:tcW w:type="dxa" w:w="6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Financial input + earnings normalization (EBITDA/SDE)</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P0</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F6</w:t>
            </w:r>
          </w:p>
        </w:tc>
        <w:tc>
          <w:tcPr>
            <w:tcW w:type="dxa" w:w="6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Valuation engine: income, market, asset + triangulated range</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P0</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F7</w:t>
            </w:r>
          </w:p>
        </w:tc>
        <w:tc>
          <w:tcPr>
            <w:tcW w:type="dxa" w:w="6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Risk roll-up and red-flag surfacing</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P0</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F8</w:t>
            </w:r>
          </w:p>
        </w:tc>
        <w:tc>
          <w:tcPr>
            <w:tcW w:type="dxa" w:w="6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Report generation (Word/PDF/Excel)</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P0</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F9</w:t>
            </w:r>
          </w:p>
        </w:tc>
        <w:tc>
          <w:tcPr>
            <w:tcW w:type="dxa" w:w="6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Collaboration: comments, mentions, task assignment</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P1</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F10</w:t>
            </w:r>
          </w:p>
        </w:tc>
        <w:tc>
          <w:tcPr>
            <w:tcW w:type="dxa" w:w="6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Comparables library (multiples + precedent transactions)</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P1</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F11</w:t>
            </w:r>
          </w:p>
        </w:tc>
        <w:tc>
          <w:tcPr>
            <w:tcW w:type="dxa" w:w="6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AI assist: suggested adjustments, doc classification, narrative drafts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P1</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F12</w:t>
            </w:r>
          </w:p>
        </w:tc>
        <w:tc>
          <w:tcPr>
            <w:tcW w:type="dxa" w:w="6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Templates library: reusable checklists &amp; valuation presets</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P1</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F13</w:t>
            </w:r>
          </w:p>
        </w:tc>
        <w:tc>
          <w:tcPr>
            <w:tcW w:type="dxa" w:w="6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Integrations: accounting (QuickBooks/Xero), storage, SSO/SAML</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P1</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F14</w:t>
            </w:r>
          </w:p>
        </w:tc>
        <w:tc>
          <w:tcPr>
            <w:tcW w:type="dxa" w:w="6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Quick-screen mode / indicative valuation</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P2</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F15</w:t>
            </w:r>
          </w:p>
        </w:tc>
        <w:tc>
          <w:tcPr>
            <w:tcW w:type="dxa" w:w="6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Mobile screening app</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P2</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F16</w:t>
            </w:r>
          </w:p>
        </w:tc>
        <w:tc>
          <w:tcPr>
            <w:tcW w:type="dxa" w:w="6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Single-tenant / internal deployment packaging</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P2</w:t>
            </w:r>
          </w:p>
        </w:tc>
      </w:tr>
    </w:tbl>
    <w:p>
      <w:pPr>
        <w:pStyle w:val="Heading2"/>
      </w:pPr>
      <w:r>
        <w:t xml:space="preserve">4.4 Detailed Requirements — Diligence Engine (F2–F4, F7)</w:t>
      </w:r>
    </w:p>
    <w:p>
      <w:pPr>
        <w:pStyle w:val="ListParagraph"/>
        <w:numPr>
          <w:ilvl w:val="0"/>
          <w:numId w:val="2"/>
        </w:numPr>
        <w:spacing w:after="60" w:line="270"/>
      </w:pPr>
      <w:r>
        <w:t xml:space="preserve">System shall provide checklist templates for at least: general, SMB, SaaS, and retail business types.</w:t>
      </w:r>
    </w:p>
    <w:p>
      <w:pPr>
        <w:pStyle w:val="ListParagraph"/>
        <w:numPr>
          <w:ilvl w:val="0"/>
          <w:numId w:val="2"/>
        </w:numPr>
        <w:spacing w:after="60" w:line="270"/>
      </w:pPr>
      <w:r>
        <w:t xml:space="preserve">Each item shall support status (Not started / In progress / Complete / Flagged), an owner, free-text notes, and one or more linked documents.</w:t>
      </w:r>
    </w:p>
    <w:p>
      <w:pPr>
        <w:pStyle w:val="ListParagraph"/>
        <w:numPr>
          <w:ilvl w:val="0"/>
          <w:numId w:val="2"/>
        </w:numPr>
        <w:spacing w:after="60" w:line="270"/>
      </w:pPr>
      <w:r>
        <w:t xml:space="preserve">Each item shall support a risk rating (Low / Medium / High) that rolls up into a deal-level risk profile by category.</w:t>
      </w:r>
    </w:p>
    <w:p>
      <w:pPr>
        <w:pStyle w:val="ListParagraph"/>
        <w:numPr>
          <w:ilvl w:val="0"/>
          <w:numId w:val="2"/>
        </w:numPr>
        <w:spacing w:after="60" w:line="270"/>
      </w:pPr>
      <w:r>
        <w:t xml:space="preserve">System shall auto-surface configured red flags (e.g., single customer &gt; 30% of revenue, owner dependence, declining revenue).</w:t>
      </w:r>
    </w:p>
    <w:p>
      <w:pPr>
        <w:pStyle w:val="ListParagraph"/>
        <w:numPr>
          <w:ilvl w:val="0"/>
          <w:numId w:val="2"/>
        </w:numPr>
        <w:spacing w:after="60" w:line="270"/>
      </w:pPr>
      <w:r>
        <w:t xml:space="preserve">Checklist completion percentage shall be visible on the deal overview.</w:t>
      </w:r>
    </w:p>
    <w:p>
      <w:pPr>
        <w:pStyle w:val="Heading2"/>
      </w:pPr>
      <w:r>
        <w:t xml:space="preserve">4.5 Detailed Requirements — Valuation Engine (F5–F6)</w:t>
      </w:r>
    </w:p>
    <w:p>
      <w:pPr>
        <w:pStyle w:val="ListParagraph"/>
        <w:numPr>
          <w:ilvl w:val="0"/>
          <w:numId w:val="2"/>
        </w:numPr>
        <w:spacing w:after="60" w:line="270"/>
      </w:pPr>
      <w:r>
        <w:t xml:space="preserve">System shall accept 1–5 years of financial inputs and a list of normalization adjustments with rationale.</w:t>
      </w:r>
    </w:p>
    <w:p>
      <w:pPr>
        <w:pStyle w:val="ListParagraph"/>
        <w:numPr>
          <w:ilvl w:val="0"/>
          <w:numId w:val="2"/>
        </w:numPr>
        <w:spacing w:after="60" w:line="270"/>
      </w:pPr>
      <w:r>
        <w:t xml:space="preserve">System shall compute normalized EBITDA and SDE from raw inputs and adjustments.</w:t>
      </w:r>
    </w:p>
    <w:p>
      <w:pPr>
        <w:pStyle w:val="ListParagraph"/>
        <w:numPr>
          <w:ilvl w:val="0"/>
          <w:numId w:val="2"/>
        </w:numPr>
        <w:spacing w:after="60" w:line="270"/>
      </w:pPr>
      <w:r>
        <w:t xml:space="preserve">System shall run DCF, capitalization of earnings, comparable multiples, and net asset value as independent, reproducible calculations.</w:t>
      </w:r>
    </w:p>
    <w:p>
      <w:pPr>
        <w:pStyle w:val="ListParagraph"/>
        <w:numPr>
          <w:ilvl w:val="0"/>
          <w:numId w:val="2"/>
        </w:numPr>
        <w:spacing w:after="60" w:line="270"/>
      </w:pPr>
      <w:r>
        <w:t xml:space="preserve">System shall present a triangulated value range and a sensitivity table on key drivers (discount rate, growth, multiple).</w:t>
      </w:r>
    </w:p>
    <w:p>
      <w:pPr>
        <w:pStyle w:val="ListParagraph"/>
        <w:numPr>
          <w:ilvl w:val="0"/>
          <w:numId w:val="2"/>
        </w:numPr>
        <w:spacing w:after="60" w:line="270"/>
      </w:pPr>
      <w:r>
        <w:t xml:space="preserve">Each valuation run shall be immutable and versioned, storing inputs, assumptions, and outputs for audit and comparison.</w:t>
      </w:r>
    </w:p>
    <w:p>
      <w:pPr>
        <w:pStyle w:val="ListParagraph"/>
        <w:numPr>
          <w:ilvl w:val="0"/>
          <w:numId w:val="2"/>
        </w:numPr>
        <w:spacing w:after="60" w:line="270"/>
      </w:pPr>
      <w:r>
        <w:t xml:space="preserve">Diligence red flags shall be able to adjust the suggested multiple, with the adjustment shown transparently.</w:t>
      </w:r>
    </w:p>
    <w:p>
      <w:pPr>
        <w:pStyle w:val="Heading2"/>
      </w:pPr>
      <w:r>
        <w:t xml:space="preserve">4.6 Representative User Stories</w:t>
      </w:r>
    </w:p>
    <w:p>
      <w:pPr>
        <w:pStyle w:val="ListParagraph"/>
        <w:numPr>
          <w:ilvl w:val="0"/>
          <w:numId w:val="2"/>
        </w:numPr>
        <w:spacing w:after="60" w:line="270"/>
      </w:pPr>
      <w:r>
        <w:rPr>
          <w:b/>
          <w:bCs/>
        </w:rPr>
        <w:t xml:space="preserve">As a first-time buyer, </w:t>
      </w:r>
      <w:r>
        <w:t xml:space="preserve">I want a guided checklist by business type so I don’t miss critical risks.</w:t>
      </w:r>
    </w:p>
    <w:p>
      <w:pPr>
        <w:pStyle w:val="ListParagraph"/>
        <w:numPr>
          <w:ilvl w:val="0"/>
          <w:numId w:val="2"/>
        </w:numPr>
        <w:spacing w:after="60" w:line="270"/>
      </w:pPr>
      <w:r>
        <w:rPr>
          <w:b/>
          <w:bCs/>
        </w:rPr>
        <w:t xml:space="preserve">As a search-fund principal, </w:t>
      </w:r>
      <w:r>
        <w:t xml:space="preserve">I want a quick indicative valuation so I can triage targets before deep work.</w:t>
      </w:r>
    </w:p>
    <w:p>
      <w:pPr>
        <w:pStyle w:val="ListParagraph"/>
        <w:numPr>
          <w:ilvl w:val="0"/>
          <w:numId w:val="2"/>
        </w:numPr>
        <w:spacing w:after="60" w:line="270"/>
      </w:pPr>
      <w:r>
        <w:rPr>
          <w:b/>
          <w:bCs/>
        </w:rPr>
        <w:t xml:space="preserve">As a PE associate, </w:t>
      </w:r>
      <w:r>
        <w:t xml:space="preserve">I want every value to link to its evidence so my IC memo is audit-ready.</w:t>
      </w:r>
    </w:p>
    <w:p>
      <w:pPr>
        <w:pStyle w:val="ListParagraph"/>
        <w:numPr>
          <w:ilvl w:val="0"/>
          <w:numId w:val="2"/>
        </w:numPr>
        <w:spacing w:after="60" w:line="270"/>
      </w:pPr>
      <w:r>
        <w:rPr>
          <w:b/>
          <w:bCs/>
        </w:rPr>
        <w:t xml:space="preserve">As a broker, </w:t>
      </w:r>
      <w:r>
        <w:t xml:space="preserve">I want a client-ready valuation report so I can justify a listing price.</w:t>
      </w:r>
    </w:p>
    <w:p>
      <w:pPr>
        <w:pStyle w:val="ListParagraph"/>
        <w:numPr>
          <w:ilvl w:val="0"/>
          <w:numId w:val="2"/>
        </w:numPr>
        <w:spacing w:after="60" w:line="270"/>
      </w:pPr>
      <w:r>
        <w:rPr>
          <w:b/>
          <w:bCs/>
        </w:rPr>
        <w:t xml:space="preserve">As an internal deal lead, </w:t>
      </w:r>
      <w:r>
        <w:t xml:space="preserve">I want firm-specific templates and SSO so the tool fits our process and security.</w:t>
      </w:r>
    </w:p>
    <w:p>
      <w:pPr>
        <w:pStyle w:val="Heading2"/>
      </w:pPr>
      <w:r>
        <w:t xml:space="preserve">4.7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Category</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Requirement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Performance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Valuation runs return in &lt; 3s; pages load in &lt; 2s on broadband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Availability</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99.9% uptime for SaaS; defined SLA for Enterprise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Security</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Encryption in transit/at rest; RBAC; MFA; SOC 2 Type II target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Auditability</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Immutable audit log of all changes to findings, inputs, and values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Scalability</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Support thousands of concurrent deals across tenants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Accessibility</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WCAG 2.1 AA</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Compliance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GDPR-aligned data handling, export, and deletion</w:t>
            </w:r>
          </w:p>
        </w:tc>
      </w:tr>
    </w:tbl>
    <w:p>
      <w:pPr>
        <w:pStyle w:val="Heading2"/>
      </w:pPr>
      <w:r>
        <w:t xml:space="preserve">4.8 Assumptions, Constraints &amp; Risks</w:t>
      </w:r>
    </w:p>
    <w:p>
      <w:pPr>
        <w:spacing w:after="120" w:line="276"/>
      </w:pPr>
      <w:r>
        <w:rPr>
          <w:b/>
          <w:bCs/>
        </w:rPr>
        <w:t xml:space="preserve">Assumptions: </w:t>
      </w:r>
      <w:r>
        <w:t xml:space="preserve">users can supply financial statements; methodology follows standard practice (EBITDA/SDE multiples, DCF, NAV).</w:t>
      </w:r>
    </w:p>
    <w:p>
      <w:pPr>
        <w:spacing w:after="120" w:line="276"/>
      </w:pPr>
      <w:r>
        <w:rPr>
          <w:b/>
          <w:bCs/>
        </w:rPr>
        <w:t xml:space="preserve">Constraints: </w:t>
      </w:r>
      <w:r>
        <w:t xml:space="preserve">the platform must never execute trades or move money; outputs are decision-support, not financial or legal advice.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Risk</w:t>
            </w:r>
          </w:p>
        </w:tc>
        <w:tc>
          <w:tcPr>
            <w:tcW w:type="dxa" w:w="5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Mitigation</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Users over-trust a single number</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Always present ranges + assumptions; show derivation</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AI extracts figures incorrectly</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Human confirmation on every AI suggestion; show source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Garbage-in financials skew valuation</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Validation, anomaly flags, quality-of-earnings prompts</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Regulatory / advice liability</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Clear decision-support framing and disclaimers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Data sensitivity / breach</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Strong isolation, encryption, audit, single-tenant option</w:t>
            </w:r>
          </w:p>
        </w:tc>
      </w:tr>
    </w:tbl>
    <w:p>
      <w:pPr>
        <w:pStyle w:val="Heading2"/>
      </w:pPr>
      <w:r>
        <w:t xml:space="preserve">4.9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Phase</w:t>
            </w:r>
          </w:p>
        </w:tc>
        <w:tc>
          <w:tcPr>
            <w:tcW w:type="dxa" w:w="4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Scope</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Outcome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Phase 1 — MVP</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F1–F8 (workspace, diligence, financials, valuation, risk, report)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End-to-end single-deal evaluation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Phase 2 — Collaborate &amp; scale</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F9–F13 (collaboration, comps, AI assist, templates, integrations)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color w:val="000000"/>
                <w:sz w:val="20"/>
                <w:szCs w:val="20"/>
              </w:rPr>
              <w:t xml:space="preserve">Team workflows; pipeline use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Phase 3 — Reach &amp; deploy</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F14–F16 (quick-screen, mobile, internal deployment)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color w:val="000000"/>
                <w:sz w:val="20"/>
                <w:szCs w:val="20"/>
              </w:rPr>
              <w:t xml:space="preserve">Triage at scale; Enterprise/internal</w:t>
            </w:r>
          </w:p>
        </w:tc>
      </w:tr>
    </w:tbl>
    <w:p>
      <w:pPr>
        <w:pStyle w:val="Heading2"/>
      </w:pPr>
      <w:r>
        <w:t xml:space="preserve">4.10 Out of Scope &amp; Disclaimers</w:t>
      </w:r>
    </w:p>
    <w:p>
      <w:pPr>
        <w:spacing w:after="120" w:line="276"/>
      </w:pPr>
      <w:r>
        <w:t xml:space="preserve">DealLens does not execute transactions, move money, draft binding legal agreements, or provide regulated financial or legal advice. Valuations and risk assessments are decision-support outputs based on user-supplied data and standard methodologies; users are expected to engage qualified accountants, valuation specialists, and M&amp;A counsel for any actual transaction.</w:t>
      </w:r>
    </w:p>
    <w:p>
      <w:pPr>
        <w:pBdr>
          <w:bottom w:val="single" w:color="2E75B6" w:sz="6" w:space="1"/>
        </w:pBdr>
        <w:spacing w:after="160"/>
      </w:pPr>
      <w:r>
        <w:t xml:space="preserve"/>
      </w:r>
    </w:p>
    <w:p>
      <w:pPr>
        <w:spacing w:before="200"/>
        <w:jc w:val="center"/>
      </w:pPr>
      <w:r>
        <w:rPr>
          <w:i/>
          <w:iCs/>
          <w:color w:val="808080"/>
          <w:sz w:val="18"/>
          <w:szCs w:val="18"/>
        </w:rPr>
        <w:t xml:space="preserve">End of document — DealLens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Confidential — Product Specification</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b/>
        <w:bCs/>
        <w:color w:val="1F4E79"/>
        <w:sz w:val="18"/>
        <w:szCs w:val="18"/>
      </w:rPr>
      <w:t xml:space="preserve">DealLens</w:t>
    </w:r>
    <w:r>
      <w:rPr>
        <w:color w:val="808080"/>
        <w:sz w:val="16"/>
        <w:szCs w:val="16"/>
      </w:rPr>
      <w:t xml:space="preserve">	Concept · Architecture · Design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DealLens — Concept, Architecture, Design &amp; PRD</dc:title>
  <dc:creator>DealLens</dc:creator>
  <cp:lastModifiedBy>Un-named</cp:lastModifiedBy>
  <cp:revision>1</cp:revision>
  <dcterms:created xsi:type="dcterms:W3CDTF">2026-06-25T21:26:43.268Z</dcterms:created>
  <dcterms:modified xsi:type="dcterms:W3CDTF">2026-06-25T21:26:43.268Z</dcterms:modified>
</cp:coreProperties>
</file>

<file path=docProps/custom.xml><?xml version="1.0" encoding="utf-8"?>
<Properties xmlns="http://schemas.openxmlformats.org/officeDocument/2006/custom-properties" xmlns:vt="http://schemas.openxmlformats.org/officeDocument/2006/docPropsVTypes"/>
</file>