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22"/>
        </w:rPr>
        <w:t>DEALLENS</w:t>
      </w:r>
    </w:p>
    <w:p>
      <w:pPr>
        <w:pStyle w:val="Title"/>
      </w:pPr>
      <w:r>
        <w:rPr>
          <w:color w:val="1F4E79"/>
        </w:rPr>
        <w:t>Valuation Report — Northwind Logistics</w:t>
      </w:r>
    </w:p>
    <w:p>
      <w:r>
        <w:rPr>
          <w:i/>
        </w:rPr>
        <w:t>As of June 2026  ·  Prepared by DealLens</w:t>
      </w:r>
    </w:p>
    <w:p>
      <w:pPr>
        <w:pStyle w:val="Heading1"/>
      </w:pPr>
      <w:r>
        <w:t>Recommended Value Range</w:t>
      </w:r>
    </w:p>
    <w:p>
      <w:r>
        <w:rPr>
          <w:b/>
          <w:color w:val="2E75B6"/>
          <w:sz w:val="40"/>
        </w:rPr>
        <w:t>$1,921,022 – $2,618,932</w:t>
      </w:r>
    </w:p>
    <w:p>
      <w:r>
        <w:t>Midpoint $2,269,977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Normalized EBITDA</w:t>
            </w:r>
          </w:p>
        </w:tc>
        <w:tc>
          <w:tcPr>
            <w:tcW w:type="dxa" w:w="4320"/>
          </w:tcPr>
          <w:p>
            <w:r>
              <w:t>$830,000</w:t>
            </w:r>
          </w:p>
        </w:tc>
      </w:tr>
      <w:tr>
        <w:tc>
          <w:tcPr>
            <w:tcW w:type="dxa" w:w="4320"/>
          </w:tcPr>
          <w:p>
            <w:r>
              <w:t>Seller's Discretionary Earnings (SDE)</w:t>
            </w:r>
          </w:p>
        </w:tc>
        <w:tc>
          <w:tcPr>
            <w:tcW w:type="dxa" w:w="4320"/>
          </w:tcPr>
          <w:p>
            <w:r>
              <w:t>$1,010,000</w:t>
            </w:r>
          </w:p>
        </w:tc>
      </w:tr>
      <w:tr>
        <w:tc>
          <w:tcPr>
            <w:tcW w:type="dxa" w:w="4320"/>
          </w:tcPr>
          <w:p>
            <w:r>
              <w:t>Risk multiple discount</w:t>
            </w:r>
          </w:p>
        </w:tc>
        <w:tc>
          <w:tcPr>
            <w:tcW w:type="dxa" w:w="4320"/>
          </w:tcPr>
          <w:p>
            <w:r>
              <w:t>24.0%</w:t>
            </w:r>
          </w:p>
        </w:tc>
      </w:tr>
      <w:tr>
        <w:tc>
          <w:tcPr>
            <w:tcW w:type="dxa" w:w="4320"/>
          </w:tcPr>
          <w:p>
            <w:r>
              <w:t>Diligence completion</w:t>
            </w:r>
          </w:p>
        </w:tc>
        <w:tc>
          <w:tcPr>
            <w:tcW w:type="dxa" w:w="4320"/>
          </w:tcPr>
          <w:p>
            <w:r>
              <w:t>4.9%</w:t>
            </w:r>
          </w:p>
        </w:tc>
      </w:tr>
    </w:tbl>
    <w:p>
      <w:pPr>
        <w:pStyle w:val="Heading1"/>
      </w:pPr>
      <w:r>
        <w:t>Valuation Approaches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Approach</w:t>
            </w:r>
          </w:p>
        </w:tc>
        <w:tc>
          <w:tcPr>
            <w:tcW w:type="dxa" w:w="4320"/>
          </w:tcPr>
          <w:p>
            <w:r>
              <w:t>Result</w:t>
            </w:r>
          </w:p>
        </w:tc>
      </w:tr>
      <w:tr>
        <w:tc>
          <w:tcPr>
            <w:tcW w:type="dxa" w:w="4320"/>
          </w:tcPr>
          <w:p>
            <w:r>
              <w:t>Income — DCF</w:t>
            </w:r>
          </w:p>
        </w:tc>
        <w:tc>
          <w:tcPr>
            <w:tcW w:type="dxa" w:w="4320"/>
          </w:tcPr>
          <w:p>
            <w:r>
              <w:t>$2,534,890</w:t>
            </w:r>
          </w:p>
        </w:tc>
      </w:tr>
      <w:tr>
        <w:tc>
          <w:tcPr>
            <w:tcW w:type="dxa" w:w="4320"/>
          </w:tcPr>
          <w:p>
            <w:r>
              <w:t>Income — Capitalization</w:t>
            </w:r>
          </w:p>
        </w:tc>
        <w:tc>
          <w:tcPr>
            <w:tcW w:type="dxa" w:w="4320"/>
          </w:tcPr>
          <w:p>
            <w:r>
              <w:t>$3,458,333</w:t>
            </w:r>
          </w:p>
        </w:tc>
      </w:tr>
      <w:tr>
        <w:tc>
          <w:tcPr>
            <w:tcW w:type="dxa" w:w="4320"/>
          </w:tcPr>
          <w:p>
            <w:r>
              <w:t>Market — SDE 1.6264–2.4396×</w:t>
            </w:r>
          </w:p>
        </w:tc>
        <w:tc>
          <w:tcPr>
            <w:tcW w:type="dxa" w:w="4320"/>
          </w:tcPr>
          <w:p>
            <w:r>
              <w:t>$1,642,664 – $2,463,996</w:t>
            </w:r>
          </w:p>
        </w:tc>
      </w:tr>
      <w:tr>
        <w:tc>
          <w:tcPr>
            <w:tcW w:type="dxa" w:w="4320"/>
          </w:tcPr>
          <w:p>
            <w:r>
              <w:t>Asset — Net Asset Value</w:t>
            </w:r>
          </w:p>
        </w:tc>
        <w:tc>
          <w:tcPr>
            <w:tcW w:type="dxa" w:w="4320"/>
          </w:tcPr>
          <w:p>
            <w:r>
              <w:t>$1,250,000</w:t>
            </w:r>
          </w:p>
        </w:tc>
      </w:tr>
    </w:tbl>
    <w:p>
      <w:pPr>
        <w:pStyle w:val="Heading1"/>
      </w:pPr>
      <w:r>
        <w:t>Comparables Basis</w:t>
      </w:r>
    </w:p>
    <w:p>
      <w:r>
        <w:t>Sector logistics, SDE base [2.0, 3.0] → applied 2.14–3.21× (size ×1.0, growth ×1.07).</w:t>
      </w:r>
    </w:p>
    <w:p>
      <w:pPr>
        <w:pStyle w:val="Heading1"/>
      </w:pPr>
      <w:r>
        <w:t>Key Risks (Diligence Red Flags)</w:t>
      </w:r>
    </w:p>
    <w:p>
      <w:pPr>
        <w:pStyle w:val="ListBullet"/>
      </w:pPr>
      <w:r>
        <w:t>[HIGH] Customers: Customer concentration: top customer = 38% of revenue</w:t>
      </w:r>
    </w:p>
    <w:p>
      <w:pPr>
        <w:pStyle w:val="ListBullet"/>
      </w:pPr>
      <w:r>
        <w:t>[HIGH] People: Owner dependence: business relies on the current owner</w:t>
      </w:r>
    </w:p>
    <w:p>
      <w:pPr>
        <w:pStyle w:val="Heading1"/>
      </w:pPr>
      <w:r>
        <w:t>Sensitivity — DCF vs. Discount Rate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Discount rate</w:t>
            </w:r>
          </w:p>
        </w:tc>
        <w:tc>
          <w:tcPr>
            <w:tcW w:type="dxa" w:w="4320"/>
          </w:tcPr>
          <w:p>
            <w:r>
              <w:t>DCF value</w:t>
            </w:r>
          </w:p>
        </w:tc>
      </w:tr>
      <w:tr>
        <w:tc>
          <w:tcPr>
            <w:tcW w:type="dxa" w:w="4320"/>
          </w:tcPr>
          <w:p>
            <w:r>
              <w:t>24.0%</w:t>
            </w:r>
          </w:p>
        </w:tc>
        <w:tc>
          <w:tcPr>
            <w:tcW w:type="dxa" w:w="4320"/>
          </w:tcPr>
          <w:p>
            <w:r>
              <w:t>$2,772,423</w:t>
            </w:r>
          </w:p>
        </w:tc>
      </w:tr>
      <w:tr>
        <w:tc>
          <w:tcPr>
            <w:tcW w:type="dxa" w:w="4320"/>
          </w:tcPr>
          <w:p>
            <w:r>
              <w:t>25.0%</w:t>
            </w:r>
          </w:p>
        </w:tc>
        <w:tc>
          <w:tcPr>
            <w:tcW w:type="dxa" w:w="4320"/>
          </w:tcPr>
          <w:p>
            <w:r>
              <w:t>$2,648,441</w:t>
            </w:r>
          </w:p>
        </w:tc>
      </w:tr>
      <w:tr>
        <w:tc>
          <w:tcPr>
            <w:tcW w:type="dxa" w:w="4320"/>
          </w:tcPr>
          <w:p>
            <w:r>
              <w:t>26.0%</w:t>
            </w:r>
          </w:p>
        </w:tc>
        <w:tc>
          <w:tcPr>
            <w:tcW w:type="dxa" w:w="4320"/>
          </w:tcPr>
          <w:p>
            <w:r>
              <w:t>$2,534,890</w:t>
            </w:r>
          </w:p>
        </w:tc>
      </w:tr>
      <w:tr>
        <w:tc>
          <w:tcPr>
            <w:tcW w:type="dxa" w:w="4320"/>
          </w:tcPr>
          <w:p>
            <w:r>
              <w:t>27.0%</w:t>
            </w:r>
          </w:p>
        </w:tc>
        <w:tc>
          <w:tcPr>
            <w:tcW w:type="dxa" w:w="4320"/>
          </w:tcPr>
          <w:p>
            <w:r>
              <w:t>$2,430,515</w:t>
            </w:r>
          </w:p>
        </w:tc>
      </w:tr>
      <w:tr>
        <w:tc>
          <w:tcPr>
            <w:tcW w:type="dxa" w:w="4320"/>
          </w:tcPr>
          <w:p>
            <w:r>
              <w:t>28.0%</w:t>
            </w:r>
          </w:p>
        </w:tc>
        <w:tc>
          <w:tcPr>
            <w:tcW w:type="dxa" w:w="4320"/>
          </w:tcPr>
          <w:p>
            <w:r>
              <w:t>$2,334,253</w:t>
            </w:r>
          </w:p>
        </w:tc>
      </w:tr>
    </w:tbl>
    <w:p>
      <w:r>
        <w:rPr>
          <w:i/>
          <w:sz w:val="16"/>
        </w:rPr>
        <w:t>Decision-support only. Outputs are based on user-supplied data and standard methodologies; not financial, legal, or valuation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