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BA4A3" w14:textId="2052823D" w:rsidR="00F16BE8" w:rsidRPr="005E6BF5" w:rsidRDefault="002A038A" w:rsidP="00AE11E4">
      <w:pPr>
        <w:pStyle w:val="Title"/>
      </w:pPr>
      <w:r>
        <w:t>County Board of Equalization</w:t>
      </w:r>
    </w:p>
    <w:p w14:paraId="40B7B717" w14:textId="0F6D6AB5" w:rsidR="000A518B" w:rsidRPr="005E6BF5" w:rsidRDefault="000A518B" w:rsidP="000A518B">
      <w:pPr>
        <w:jc w:val="right"/>
        <w:rPr>
          <w:sz w:val="24"/>
          <w:szCs w:val="24"/>
        </w:rPr>
      </w:pPr>
      <w:r>
        <w:rPr>
          <w:b/>
          <w:bCs/>
          <w:sz w:val="24"/>
          <w:szCs w:val="24"/>
        </w:rPr>
        <w:t>Tax Year: 2026</w:t>
      </w:r>
    </w:p>
    <w:p w14:paraId="62F7B7D5" w14:textId="77777777" w:rsidR="00BD6DBD" w:rsidRDefault="000A518B" w:rsidP="000A518B">
      <w:pPr>
        <w:jc w:val="right"/>
      </w:pPr>
      <w:r>
        <w:t>Address:</w:t>
      </w:r>
    </w:p>
    <w:p w14:paraId="54545559" w14:textId="02895ED8" w:rsidR="000A518B" w:rsidRPr="00DF78D1" w:rsidRDefault="00EB33C0" w:rsidP="000A518B">
      <w:pPr>
        <w:jc w:val="right"/>
        <w:rPr>
          <w:sz w:val="28"/>
          <w:szCs w:val="28"/>
        </w:rPr>
      </w:pPr>
      <w:r>
        <w:t xml:space="preserve">R0104041 </w:t>
        <w:br/>
        <w:t>387 E 55</w:t>
      </w:r>
      <w:r>
        <w:rPr>
          <w:vertAlign w:val="superscript"/>
        </w:rPr>
        <w:t>th</w:t>
      </w:r>
      <w:r>
        <w:t xml:space="preserve"> Avenue, Denver</w:t>
        <w:br/>
        <w:t xml:space="preserve"> Adams County, CO</w:t>
      </w:r>
    </w:p>
    <w:p w14:paraId="425B118C" w14:textId="77777777" w:rsidR="00FF3C79" w:rsidRPr="00DF78D1" w:rsidRDefault="00FF3C79" w:rsidP="000A518B">
      <w:pPr>
        <w:jc w:val="right"/>
        <w:rPr>
          <w:b/>
          <w:bCs/>
          <w:sz w:val="28"/>
          <w:szCs w:val="28"/>
        </w:rPr>
      </w:pPr>
      <w:r>
        <w:rPr>
          <w:b/>
          <w:bCs/>
          <w:sz w:val="28"/>
          <w:szCs w:val="28"/>
        </w:rPr>
        <w:t>Prepared For</w:t>
      </w:r>
    </w:p>
    <w:p w14:paraId="3ABCF603" w14:textId="77777777" w:rsidR="00F72A6A" w:rsidRDefault="008B0D14" w:rsidP="00FF3C79">
      <w:pPr>
        <w:jc w:val="right"/>
        <w:rPr>
          <w:b/>
          <w:bCs/>
          <w:sz w:val="28"/>
          <w:szCs w:val="28"/>
        </w:rPr>
      </w:pPr>
      <w:r>
        <w:rPr>
          <w:b/>
          <w:bCs/>
          <w:sz w:val="28"/>
          <w:szCs w:val="28"/>
        </w:rPr>
        <w:t>Board of Assessment Appeals</w:t>
        <w:br/>
      </w:r>
      <w:r>
        <w:rPr>
          <w:sz w:val="24"/>
          <w:szCs w:val="24"/>
        </w:rPr>
        <w:t>1313 Sherman Street, Suite 518</w:t>
        <w:br/>
        <w:t>Denver, CO 80203</w:t>
      </w:r>
    </w:p>
    <w:p w14:paraId="7E3695DF" w14:textId="77777777" w:rsidR="00FF3C79" w:rsidRPr="00DF78D1" w:rsidRDefault="00FF3C79" w:rsidP="00FF3C79">
      <w:pPr>
        <w:jc w:val="right"/>
        <w:rPr>
          <w:b/>
          <w:bCs/>
          <w:sz w:val="28"/>
          <w:szCs w:val="28"/>
        </w:rPr>
      </w:pPr>
      <w:r>
        <w:rPr>
          <w:b/>
          <w:bCs/>
          <w:sz w:val="28"/>
          <w:szCs w:val="28"/>
        </w:rPr>
        <w:t>Prepared By</w:t>
      </w:r>
    </w:p>
    <w:p w14:paraId="5C9C2382" w14:textId="77777777" w:rsidR="00F4247E" w:rsidRDefault="000B4AF8" w:rsidP="00BD6DBD">
      <w:pPr>
        <w:jc w:val="right"/>
      </w:pPr>
      <w:r>
        <w:t>Shaquille Carter</w:t>
      </w:r>
    </w:p>
    <w:p w14:paraId="0F20827A" w14:textId="0113DCAB" w:rsidR="00BD6DBD" w:rsidRDefault="00F4247E" w:rsidP="00BD6DBD">
      <w:pPr>
        <w:jc w:val="right"/>
        <w:rPr>
          <w:sz w:val="24"/>
          <w:szCs w:val="24"/>
        </w:rPr>
      </w:pPr>
      <w:r>
        <w:t>Certified General Appraiser</w:t>
      </w:r>
      <w:r>
        <w:rPr>
          <w:sz w:val="24"/>
          <w:szCs w:val="24"/>
        </w:rPr>
        <w:br/>
      </w:r>
      <w:r>
        <w:t>Commercial Appraiser, Adams County Assessor</w:t>
      </w:r>
      <w:r>
        <w:rPr>
          <w:sz w:val="24"/>
          <w:szCs w:val="24"/>
        </w:rPr>
        <w:br/>
      </w:r>
    </w:p>
    <w:p w14:paraId="6D3A3C8A" w14:textId="77777777" w:rsidR="00FF3C79" w:rsidRDefault="006F7D6F" w:rsidP="006F7D6F">
      <w:pPr>
        <w:jc w:val="right"/>
        <w:rPr>
          <w:sz w:val="32"/>
          <w:szCs w:val="32"/>
        </w:rPr>
      </w:pPr>
      <w:r>
        <w:rPr>
          <w:sz w:val="24"/>
          <w:szCs w:val="24"/>
        </w:rPr>
        <w:br/>
      </w:r>
    </w:p>
    <w:p w14:paraId="6E315924" w14:textId="77777777" w:rsidR="00F16BE8" w:rsidRDefault="00F16BE8">
      <w:pPr>
        <w:rPr>
          <w:b/>
          <w:bCs/>
          <w:sz w:val="32"/>
          <w:szCs w:val="32"/>
          <w:highlight w:val="yellow"/>
        </w:rPr>
        <w:sectPr w:rsidR="00F16BE8" w:rsidSect="00F279C8">
          <w:headerReference w:type="default" r:id="rId8"/>
          <w:footerReference w:type="default" r:id="rId9"/>
          <w:headerReference w:type="first" r:id="rId10"/>
          <w:footerReference w:type="firs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7635A034" w14:textId="77777777" w:rsidR="000A518B" w:rsidRDefault="000A518B" w:rsidP="00257E5D">
      <w:pPr>
        <w:jc w:val="center"/>
        <w:rPr>
          <w:b/>
          <w:bCs/>
          <w:sz w:val="40"/>
          <w:szCs w:val="40"/>
        </w:rPr>
      </w:pPr>
      <w:r>
        <w:rPr>
          <w:b/>
          <w:bCs/>
          <w:sz w:val="40"/>
          <w:szCs w:val="40"/>
        </w:rPr>
        <w:lastRenderedPageBreak/>
        <w:t>Subject Property</w:t>
      </w:r>
    </w:p>
    <w:p w14:paraId="778D2DEB" w14:textId="329A5EBE" w:rsidR="00BD6DBD" w:rsidRDefault="00EB33C0" w:rsidP="00EB33C0">
      <w:pPr>
        <w:jc w:val="center"/>
        <w:rPr>
          <w:b/>
          <w:bCs/>
          <w:sz w:val="40"/>
          <w:szCs w:val="40"/>
        </w:rPr>
      </w:pPr>
    </w:p>
    <w:p w14:paraId="4F217D3B" w14:textId="77777777" w:rsidR="00BD6DBD" w:rsidRDefault="00BD6DBD" w:rsidP="00257E5D">
      <w:pPr>
        <w:jc w:val="center"/>
        <w:rPr>
          <w:b/>
          <w:bCs/>
          <w:sz w:val="40"/>
          <w:szCs w:val="40"/>
        </w:rPr>
      </w:pPr>
    </w:p>
    <w:p w14:paraId="0835D28A" w14:textId="77777777" w:rsidR="00EB33C0" w:rsidRDefault="00EB33C0" w:rsidP="00257E5D">
      <w:pPr>
        <w:jc w:val="center"/>
        <w:rPr>
          <w:b/>
          <w:bCs/>
          <w:sz w:val="40"/>
          <w:szCs w:val="40"/>
        </w:rPr>
      </w:pPr>
    </w:p>
    <w:p w14:paraId="486640CA" w14:textId="77777777" w:rsidR="00EB33C0" w:rsidRDefault="00EB33C0" w:rsidP="00257E5D">
      <w:pPr>
        <w:jc w:val="center"/>
        <w:rPr>
          <w:b/>
          <w:bCs/>
          <w:sz w:val="40"/>
          <w:szCs w:val="40"/>
        </w:rPr>
      </w:pPr>
    </w:p>
    <w:p w14:paraId="77408F99" w14:textId="77777777" w:rsidR="00EB33C0" w:rsidRDefault="00EB33C0" w:rsidP="00257E5D">
      <w:pPr>
        <w:jc w:val="center"/>
        <w:rPr>
          <w:b/>
          <w:bCs/>
          <w:sz w:val="40"/>
          <w:szCs w:val="40"/>
        </w:rPr>
      </w:pPr>
    </w:p>
    <w:p w14:paraId="47FCD887" w14:textId="77777777" w:rsidR="00EB33C0" w:rsidRDefault="00EB33C0" w:rsidP="00257E5D">
      <w:pPr>
        <w:jc w:val="center"/>
        <w:rPr>
          <w:b/>
          <w:bCs/>
          <w:sz w:val="40"/>
          <w:szCs w:val="40"/>
        </w:rPr>
      </w:pPr>
    </w:p>
    <w:p w14:paraId="35F25C41" w14:textId="77777777" w:rsidR="00EB33C0" w:rsidRDefault="00EB33C0" w:rsidP="00257E5D">
      <w:pPr>
        <w:jc w:val="center"/>
        <w:rPr>
          <w:b/>
          <w:bCs/>
          <w:sz w:val="40"/>
          <w:szCs w:val="40"/>
        </w:rPr>
      </w:pPr>
    </w:p>
    <w:p w14:paraId="3974D081" w14:textId="77777777" w:rsidR="00EB33C0" w:rsidRDefault="00EB33C0" w:rsidP="00257E5D">
      <w:pPr>
        <w:jc w:val="center"/>
        <w:rPr>
          <w:b/>
          <w:bCs/>
          <w:sz w:val="40"/>
          <w:szCs w:val="40"/>
        </w:rPr>
      </w:pPr>
    </w:p>
    <w:p w14:paraId="69BD5F33" w14:textId="77777777" w:rsidR="00EB33C0" w:rsidRDefault="00EB33C0" w:rsidP="00EB33C0">
      <w:pPr>
        <w:rPr>
          <w:b/>
          <w:bCs/>
          <w:sz w:val="40"/>
          <w:szCs w:val="40"/>
        </w:rPr>
      </w:pPr>
    </w:p>
    <w:p w14:paraId="2EC33CAE" w14:textId="77777777" w:rsidR="00EB33C0" w:rsidRDefault="00EB33C0" w:rsidP="00EB33C0">
      <w:pPr>
        <w:rPr>
          <w:b/>
          <w:bCs/>
          <w:sz w:val="40"/>
          <w:szCs w:val="40"/>
        </w:rPr>
      </w:pPr>
    </w:p>
    <w:p w14:paraId="3DA5B9DA" w14:textId="4C32DEC0" w:rsidR="000F092B" w:rsidRDefault="00DB42AF" w:rsidP="008F6F33">
      <w:r>
        <w:t xml:space="preserve">September 22, 2026</w:t>
      </w:r>
    </w:p>
    <w:p w14:paraId="19D7AC40" w14:textId="77777777" w:rsidR="008F6F33" w:rsidRDefault="000E3E9E" w:rsidP="008F6F33">
      <w:pPr>
        <w:spacing w:after="0"/>
      </w:pPr>
      <w:r>
        <w:t>Adams County Board of Equalization</w:t>
      </w:r>
    </w:p>
    <w:p w14:paraId="01F7D4BE" w14:textId="77777777" w:rsidR="00E52B17" w:rsidRDefault="000E3E9E" w:rsidP="008F6F33">
      <w:pPr>
        <w:spacing w:after="0"/>
      </w:pPr>
      <w:r>
        <w:t>4430 S Adams County Pkwy</w:t>
      </w:r>
    </w:p>
    <w:p w14:paraId="1BA92710" w14:textId="77777777" w:rsidR="00E52B17" w:rsidRDefault="000E3E9E" w:rsidP="008F6F33">
      <w:pPr>
        <w:spacing w:after="0"/>
      </w:pPr>
      <w:r>
        <w:t>Brighton, CO 80601</w:t>
      </w:r>
    </w:p>
    <w:p w14:paraId="434C4078" w14:textId="77777777" w:rsidR="00E52B17" w:rsidRDefault="00E52B17" w:rsidP="008F6F33">
      <w:pPr>
        <w:spacing w:after="0"/>
      </w:pPr>
    </w:p>
    <w:p w14:paraId="5F521A27" w14:textId="77777777" w:rsidR="008F6F33" w:rsidRDefault="004A244A" w:rsidP="008F6F33">
      <w:pPr>
        <w:spacing w:after="0"/>
      </w:pPr>
      <w:r>
        <w:t>To whom it may concern:</w:t>
      </w:r>
    </w:p>
    <w:p w14:paraId="6BC22CD9" w14:textId="77777777" w:rsidR="008F6F33" w:rsidRDefault="008F6F33" w:rsidP="008F6F33">
      <w:pPr>
        <w:spacing w:after="0"/>
      </w:pPr>
    </w:p>
    <w:p w14:paraId="133F6324" w14:textId="77777777" w:rsidR="008F6F33" w:rsidRPr="0024481C" w:rsidRDefault="000F092B" w:rsidP="007A6342">
      <w:pPr>
        <w:spacing w:after="0"/>
      </w:pPr>
      <w:r>
        <w:t>In compliance with your request, the following appraisal is submitted relative to the actual value as of June 30, 2024, for the subject property identified as:</w:t>
      </w:r>
    </w:p>
    <w:p w14:paraId="01CB1B8C" w14:textId="77777777" w:rsidR="008F6F33" w:rsidRPr="0024481C" w:rsidRDefault="008F6F33" w:rsidP="007A6342">
      <w:pPr>
        <w:spacing w:after="0"/>
      </w:pPr>
    </w:p>
    <w:p w14:paraId="67EC7790" w14:textId="26C93204" w:rsidR="008F6F33" w:rsidRPr="0024481C" w:rsidRDefault="008F6F33" w:rsidP="007A6342">
      <w:pPr>
        <w:spacing w:after="0"/>
      </w:pPr>
      <w:r>
        <w:t xml:space="preserve">Address: 387 E 55</w:t>
      </w:r>
      <w:r>
        <w:rPr>
          <w:vertAlign w:val="superscript"/>
        </w:rPr>
        <w:t>th</w:t>
      </w:r>
      <w:r>
        <w:t xml:space="preserve"> Avenue, Denver, CO 80216 </w:t>
      </w:r>
    </w:p>
    <w:p w14:paraId="75B3C7DF" w14:textId="311F990D" w:rsidR="008F6F33" w:rsidRDefault="000F092B" w:rsidP="007A6342">
      <w:pPr>
        <w:spacing w:after="0"/>
      </w:pPr>
      <w:r>
        <w:t xml:space="preserve">Account Number: R0104041</w:t>
      </w:r>
    </w:p>
    <w:p w14:paraId="0D07B0D3" w14:textId="77777777" w:rsidR="008F6F33" w:rsidRDefault="008F6F33" w:rsidP="007A6342">
      <w:pPr>
        <w:spacing w:after="0"/>
      </w:pPr>
    </w:p>
    <w:p w14:paraId="6981D9A5" w14:textId="176C4ED8" w:rsidR="00BE5D02" w:rsidRDefault="00BE5D02" w:rsidP="007A6342">
      <w:pPr>
        <w:spacing w:after="0"/>
      </w:pPr>
      <w:r>
        <w:t xml:space="preserve">The subject consists of a 2,800 square foot light industrial service garage originally built in 1982 on a 0.23-acre (10,019 SF) site zoned I-1. The building offers free-span warehouse space with minimal office, two 12’ x 10’ drive-in doors with drive-through capability, and a fenced yard. At the time of inspection, the subject appeared to be in average condition and was single-tenant occupied.</w:t>
      </w:r>
    </w:p>
    <w:p w14:paraId="480228EE" w14:textId="77777777" w:rsidR="00BE5D02" w:rsidRDefault="00BE5D02" w:rsidP="007A6342">
      <w:pPr>
        <w:spacing w:after="0"/>
      </w:pPr>
    </w:p>
    <w:p w14:paraId="7B173709" w14:textId="43873335" w:rsidR="008F6F33" w:rsidRDefault="008F6F33" w:rsidP="007A6342">
      <w:pPr>
        <w:spacing w:after="0"/>
      </w:pPr>
      <w:r>
        <w:t xml:space="preserve">The purpose of this restricted appraisal report is to estimate the retrospective market value of the Fee Simple estate of the subject property, for ad valorem tax assessment, for tax year 2026. The date of measurement of the physical property characteristics is January 1st of the tax year being assessed (2026). The date of value in the marketplace is as of June 30th of 2024.</w:t>
      </w:r>
    </w:p>
    <w:p w14:paraId="44A750CD" w14:textId="77777777" w:rsidR="000F092B" w:rsidRDefault="000F092B" w:rsidP="007A6342">
      <w:pPr>
        <w:spacing w:after="0"/>
      </w:pPr>
    </w:p>
    <w:p w14:paraId="61D39E1D" w14:textId="77777777" w:rsidR="000F092B" w:rsidRPr="00CF1649" w:rsidRDefault="000F092B" w:rsidP="007A6342">
      <w:pPr>
        <w:rPr>
          <w:b/>
          <w:bCs/>
        </w:rPr>
      </w:pPr>
      <w:r>
        <w:rPr>
          <w:b/>
          <w:bCs/>
        </w:rPr>
        <w:t>Per USPAP STANDARDS RULE 2-2(b): The content of a Restricted Appraisal Report must be appropriate for the intended use of the appraisal, and at a minimum:</w:t>
      </w:r>
    </w:p>
    <w:p w14:paraId="0E65AFFB" w14:textId="77777777" w:rsidR="00CF1649" w:rsidRPr="00CF1649" w:rsidRDefault="00CF1649" w:rsidP="007A6342">
      <w:pPr>
        <w:ind w:left="720"/>
        <w:rPr>
          <w:b/>
          <w:bCs/>
          <w:i/>
          <w:iCs/>
        </w:rPr>
      </w:pPr>
      <w:r>
        <w:rPr>
          <w:b/>
          <w:bCs/>
          <w:i/>
          <w:iCs/>
        </w:rPr>
        <w:t>(iii) Clearly and conspicuously state a restriction that limits use of the report to the client and the named intended user(s); &amp;</w:t>
      </w:r>
    </w:p>
    <w:p w14:paraId="6E1CE3CF" w14:textId="77777777" w:rsidR="000F092B" w:rsidRPr="00CF1649" w:rsidRDefault="00CF1649" w:rsidP="007A6342">
      <w:pPr>
        <w:ind w:left="720"/>
        <w:rPr>
          <w:b/>
          <w:bCs/>
          <w:i/>
          <w:iCs/>
        </w:rPr>
      </w:pPr>
      <w:r>
        <w:rPr>
          <w:b/>
          <w:bCs/>
          <w:i/>
          <w:iCs/>
        </w:rPr>
        <w:t xml:space="preserve">(iv): Clearly and conspicuously warn that the report may not contain supporting rationale for all of the opinions and conclusions set forth in the report. </w:t>
      </w:r>
    </w:p>
    <w:p w14:paraId="655C5BCE" w14:textId="77777777" w:rsidR="008F6F33" w:rsidRDefault="000F092B" w:rsidP="007A6342">
      <w:r>
        <w:t xml:space="preserve">In accordance with Adams County Board of County Equalization authorization, I have prepared a restricted use report meeting the </w:t>
      </w:r>
      <w:r>
        <w:rPr>
          <w:b/>
        </w:rPr>
        <w:t>USPAP requirements of a Restricted Appraisal report</w:t>
      </w:r>
      <w:r>
        <w:t xml:space="preserve"> of the above-referenced property.</w:t>
      </w:r>
    </w:p>
    <w:p w14:paraId="233AE559" w14:textId="77777777" w:rsidR="00BD244D" w:rsidRPr="00773C14" w:rsidRDefault="00BD244D" w:rsidP="007A6342">
      <w:pPr>
        <w:rPr>
          <w:b/>
          <w:bCs/>
          <w:sz w:val="24"/>
          <w:szCs w:val="24"/>
        </w:rPr>
      </w:pPr>
      <w:r>
        <w:rPr>
          <w:b/>
          <w:bCs/>
          <w:sz w:val="24"/>
          <w:szCs w:val="24"/>
        </w:rPr>
        <w:t xml:space="preserve">We note: This appraisal may not be used for mortgage or lending purposes. The intended use of this appraisal is to aid in determining ad valorem value for the subject for the purpose of taxation.  </w:t>
      </w:r>
    </w:p>
    <w:p w14:paraId="257D564F" w14:textId="77777777" w:rsidR="008F6F33" w:rsidRDefault="008F6F33" w:rsidP="007A6342">
      <w:pPr>
        <w:spacing w:after="0"/>
      </w:pPr>
      <w:r>
        <w:lastRenderedPageBreak/>
        <w:t>Discussions and explanations of the methods, variables, and the data used in arriving at the opinion of actual value will be found in the text of the appraisal report.</w:t>
      </w:r>
    </w:p>
    <w:p w14:paraId="5464D968" w14:textId="77777777" w:rsidR="00695995" w:rsidRDefault="00695995" w:rsidP="007A6342">
      <w:pPr>
        <w:spacing w:after="0"/>
      </w:pPr>
    </w:p>
    <w:p w14:paraId="4E95140F" w14:textId="041B3846" w:rsidR="00463080" w:rsidRDefault="00463080" w:rsidP="00463080">
      <w:pPr>
        <w:tabs>
          <w:tab w:val="left" w:pos="1350"/>
        </w:tabs>
      </w:pPr>
      <w:r>
        <w:t>The analyses, opinions, and conclusions were developed, and this report was prepared in conformity with the Uniform Standards of Professional Appraisal Practice (USPAP) of the Appraisal Foundation; the Code of Professional Ethics and Standards of Professional Practice of the Appraisal Institute.</w:t>
      </w:r>
    </w:p>
    <w:p w14:paraId="482F5B1D" w14:textId="77777777" w:rsidR="00463080" w:rsidRDefault="00463080" w:rsidP="00463080">
      <w:r>
        <w:t xml:space="preserve">The value opinions reported herein are subject to the definitions, assumptions, limiting conditions, and certifications contained in this report. </w:t>
      </w:r>
    </w:p>
    <w:p w14:paraId="5BC7554E" w14:textId="77777777" w:rsidR="00463080" w:rsidRPr="00162DF7" w:rsidRDefault="00463080" w:rsidP="00463080">
      <w:pPr>
        <w:rPr>
          <w:rFonts w:cs="Segoe UI"/>
        </w:rPr>
      </w:pPr>
      <w:bookmarkStart w:id="0" w:name="_Hlk109315015"/>
      <w:r>
        <w:t>The findings and conclusions are further contingent upon the following extraordinary assumptions and/or hypothetical conditions, the use of which might have affected the assignment results:</w:t>
      </w:r>
    </w:p>
    <w:bookmarkEnd w:id="0"/>
    <w:p w14:paraId="09206F26" w14:textId="77777777" w:rsidR="00463080" w:rsidRPr="003F08C9" w:rsidRDefault="00463080" w:rsidP="00463080">
      <w:pPr>
        <w:pStyle w:val="Heading20"/>
      </w:pPr>
      <w:r>
        <w:t>Extraordinary Assumptions:</w:t>
      </w:r>
    </w:p>
    <w:p w14:paraId="3C54C82A" w14:textId="6A9C2BA4" w:rsidR="00BD6DBD" w:rsidRDefault="00BD6DBD" w:rsidP="00677994">
      <w:pPr>
        <w:spacing w:after="0"/>
      </w:pPr>
      <w:r>
        <w:rPr>
          <w:rFonts w:cs="Segoe UI"/>
        </w:rPr>
        <w:t xml:space="preserve">We are providing a retrospective market value with an effective date of June 30, 2024. We are valuing the subject under the Extraordinary Assumption the subject’s overall physical condition, is in average condition similar to comparable properties of the same class and age.  If found to be false, it could alter the appraisers opinions and/</w:t>
      </w:r>
      <w:r>
        <w:t>or</w:t>
      </w:r>
      <w:r>
        <w:rPr>
          <w:rFonts w:cs="Segoe UI"/>
        </w:rPr>
        <w:t xml:space="preserve"> conclusions presented throughout this report. </w:t>
      </w:r>
    </w:p>
    <w:p w14:paraId="1B8FD86A" w14:textId="77777777" w:rsidR="00463080" w:rsidRPr="003F08C9" w:rsidRDefault="00463080" w:rsidP="00463080">
      <w:pPr>
        <w:pStyle w:val="Heading20"/>
      </w:pPr>
      <w:r>
        <w:t>Hypothetical Conditions:</w:t>
      </w:r>
    </w:p>
    <w:p w14:paraId="786E1639" w14:textId="77777777" w:rsidR="00695995" w:rsidRDefault="00463080" w:rsidP="00463080">
      <w:pPr>
        <w:spacing w:after="0"/>
      </w:pPr>
      <w:fldSimple w:instr=" DOCVARIABLE HypotheticalCondition1 \* MERGEFORMAT ">
        <w:r>
          <w:t>None.</w:t>
        </w:r>
      </w:fldSimple>
    </w:p>
    <w:p w14:paraId="32577FFE" w14:textId="77777777" w:rsidR="005D3624" w:rsidRDefault="005D3624" w:rsidP="007A6342">
      <w:pPr>
        <w:spacing w:after="0"/>
      </w:pPr>
    </w:p>
    <w:p w14:paraId="61D613B4" w14:textId="77777777" w:rsidR="001C5D6A" w:rsidRDefault="008F6F33" w:rsidP="007A6342">
      <w:pPr>
        <w:spacing w:after="0"/>
      </w:pPr>
      <w:r>
        <w:t>The indicated actual value of the subject property, based upon the material presented in this appraisal analysis, as of June 30, 2024, is estimated to be as follows:</w:t>
      </w:r>
    </w:p>
    <w:p w14:paraId="6CBED7D3" w14:textId="77777777" w:rsidR="00AF268E" w:rsidRDefault="00AF268E" w:rsidP="007A6342">
      <w:pPr>
        <w:spacing w:after="0"/>
      </w:pPr>
    </w:p>
    <w:tbl>
      <w:tblPr>
        <w:tblW w:w="7200" w:type="dxa"/>
        <w:jc w:val="center"/>
        <w:tblBorders>
          <w:top w:val="single" w:sz="4" w:space="0" w:color="BFBFBF"/>
          <w:bottom w:val="single" w:sz="4" w:space="0" w:color="BFBFBF"/>
          <w:insideH w:val="single" w:sz="2" w:space="0" w:color="D9D9D9"/>
        </w:tblBorders>
        <w:tblLayout w:type="fixed"/>
        <w:tblCellMar>
          <w:left w:w="60" w:type="dxa"/>
          <w:right w:w="60" w:type="dxa"/>
        </w:tblCellMar>
      </w:tblPr>
      <w:tblGrid>
        <w:gridCol w:w="3600"/>
        <w:gridCol w:w="1800"/>
        <w:gridCol w:w="1800"/>
      </w:tblGrid>
      <w:tr>
        <w:trPr>
          <w:cantSplit/>
        </w:trPr>
        <w:tc>
          <w:tcPr>
            <w:tcW w:w="7200" w:type="dxa"/>
            <w:gridSpan w:val="3"/>
            <w:shd w:val="clear" w:color="auto" w:fill="005710"/>
            <w:vAlign w:val="center"/>
          </w:tcPr>
          <w:p>
            <w:pPr>
              <w:spacing w:before="0" w:after="0" w:line="240" w:lineRule="auto"/>
              <w:jc w:val="center"/>
            </w:pPr>
            <w:r>
              <w:rPr>
                <w:rFonts w:ascii="Arial" w:hAnsi="Arial" w:cs="Arial"/>
                <w:b/>
                <w:color w:val="FFFFFF"/>
                <w:sz w:val="16"/>
                <w:szCs w:val="16"/>
              </w:rPr>
              <w:t xml:space="preserve">Petition Scenario</w:t>
            </w:r>
          </w:p>
        </w:tc>
      </w:tr>
      <w:tr>
        <w:trPr>
          <w:cantSplit/>
        </w:trPr>
        <w:tc>
          <w:tcPr>
            <w:tcW w:w="3600" w:type="dxa"/>
            <w:shd w:val="clear" w:color="auto" w:fill="808080"/>
            <w:vAlign w:val="center"/>
          </w:tcPr>
          <w:p>
            <w:pPr>
              <w:spacing w:before="0" w:after="0" w:line="240" w:lineRule="auto"/>
              <w:jc w:val="left"/>
            </w:pPr>
            <w:r>
              <w:rPr>
                <w:rFonts w:ascii="Arial" w:hAnsi="Arial" w:cs="Arial"/>
                <w:sz w:val="14"/>
                <w:szCs w:val="14"/>
              </w:rPr>
              <w:t xml:space="preserve"/>
            </w:r>
          </w:p>
        </w:tc>
        <w:tc>
          <w:tcPr>
            <w:tcW w:w="1800" w:type="dxa"/>
            <w:shd w:val="clear" w:color="auto" w:fill="808080"/>
            <w:vAlign w:val="center"/>
          </w:tcPr>
          <w:p>
            <w:pPr>
              <w:spacing w:before="0" w:after="0" w:line="240" w:lineRule="auto"/>
              <w:jc w:val="left"/>
            </w:pPr>
            <w:r>
              <w:rPr>
                <w:rFonts w:ascii="Arial" w:hAnsi="Arial" w:cs="Arial"/>
                <w:b/>
                <w:color w:val="FFFFFF"/>
                <w:sz w:val="14"/>
                <w:szCs w:val="14"/>
              </w:rPr>
              <w:t xml:space="preserve">$</w:t>
            </w:r>
          </w:p>
        </w:tc>
        <w:tc>
          <w:tcPr>
            <w:tcW w:w="1800" w:type="dxa"/>
            <w:shd w:val="clear" w:color="auto" w:fill="808080"/>
            <w:vAlign w:val="center"/>
          </w:tcPr>
          <w:p>
            <w:pPr>
              <w:spacing w:before="0" w:after="0" w:line="240" w:lineRule="auto"/>
              <w:jc w:val="left"/>
            </w:pPr>
            <w:r>
              <w:rPr>
                <w:rFonts w:ascii="Arial" w:hAnsi="Arial" w:cs="Arial"/>
                <w:b/>
                <w:color w:val="FFFFFF"/>
                <w:sz w:val="14"/>
                <w:szCs w:val="14"/>
              </w:rPr>
              <w:t xml:space="preserve">$/SF</w:t>
            </w:r>
          </w:p>
        </w:tc>
      </w:tr>
      <w:tr>
        <w:trPr>
          <w:cantSplit/>
        </w:trPr>
        <w:tc>
          <w:tcPr>
            <w:tcW w:w="3600" w:type="dxa"/>
            <w:vAlign w:val="center"/>
          </w:tcPr>
          <w:p>
            <w:pPr>
              <w:spacing w:before="0" w:after="0" w:line="240" w:lineRule="auto"/>
              <w:jc w:val="left"/>
            </w:pPr>
            <w:r>
              <w:rPr>
                <w:rFonts w:ascii="Arial" w:hAnsi="Arial" w:cs="Arial"/>
                <w:sz w:val="16"/>
                <w:szCs w:val="16"/>
              </w:rPr>
              <w:t xml:space="preserve">Assessor's Assigned Value</w:t>
            </w:r>
          </w:p>
        </w:tc>
        <w:tc>
          <w:tcPr>
            <w:tcW w:w="1800" w:type="dxa"/>
            <w:vAlign w:val="center"/>
          </w:tcPr>
          <w:p>
            <w:pPr>
              <w:spacing w:before="0" w:after="0" w:line="240" w:lineRule="auto"/>
              <w:jc w:val="left"/>
            </w:pPr>
            <w:r>
              <w:rPr>
                <w:rFonts w:ascii="Arial" w:hAnsi="Arial" w:cs="Arial"/>
                <w:sz w:val="16"/>
                <w:szCs w:val="16"/>
              </w:rPr>
              <w:t xml:space="preserve">$988,880</w:t>
            </w:r>
          </w:p>
        </w:tc>
        <w:tc>
          <w:tcPr>
            <w:tcW w:w="1800" w:type="dxa"/>
            <w:vAlign w:val="center"/>
          </w:tcPr>
          <w:p>
            <w:pPr>
              <w:spacing w:before="0" w:after="0" w:line="240" w:lineRule="auto"/>
              <w:jc w:val="left"/>
            </w:pPr>
            <w:r>
              <w:rPr>
                <w:rFonts w:ascii="Arial" w:hAnsi="Arial" w:cs="Arial"/>
                <w:sz w:val="16"/>
                <w:szCs w:val="16"/>
              </w:rPr>
              <w:t xml:space="preserve">$353.17</w:t>
            </w:r>
          </w:p>
        </w:tc>
      </w:tr>
      <w:tr>
        <w:trPr>
          <w:cantSplit/>
        </w:trPr>
        <w:tc>
          <w:tcPr>
            <w:tcW w:w="3600" w:type="dxa"/>
            <w:vAlign w:val="center"/>
          </w:tcPr>
          <w:p>
            <w:pPr>
              <w:spacing w:before="0" w:after="0" w:line="240" w:lineRule="auto"/>
              <w:jc w:val="left"/>
            </w:pPr>
            <w:r>
              <w:rPr>
                <w:rFonts w:ascii="Arial" w:hAnsi="Arial" w:cs="Arial"/>
                <w:sz w:val="16"/>
                <w:szCs w:val="16"/>
              </w:rPr>
              <w:t xml:space="preserve">Petitioner's Requested Value</w:t>
            </w:r>
          </w:p>
        </w:tc>
        <w:tc>
          <w:tcPr>
            <w:tcW w:w="1800" w:type="dxa"/>
            <w:vAlign w:val="center"/>
          </w:tcPr>
          <w:p>
            <w:pPr>
              <w:spacing w:before="0" w:after="0" w:line="240" w:lineRule="auto"/>
              <w:jc w:val="left"/>
            </w:pPr>
            <w:r>
              <w:rPr>
                <w:rFonts w:ascii="Arial" w:hAnsi="Arial" w:cs="Arial"/>
                <w:sz w:val="16"/>
                <w:szCs w:val="16"/>
                <w:highlight w:val="yellow"/>
              </w:rPr>
              <w:t xml:space="preserve">[pending]</w:t>
            </w:r>
          </w:p>
        </w:tc>
        <w:tc>
          <w:tcPr>
            <w:tcW w:w="1800" w:type="dxa"/>
            <w:vAlign w:val="center"/>
          </w:tcPr>
          <w:p>
            <w:pPr>
              <w:spacing w:before="0" w:after="0" w:line="240" w:lineRule="auto"/>
              <w:jc w:val="left"/>
            </w:pPr>
            <w:r>
              <w:rPr>
                <w:rFonts w:ascii="Arial" w:hAnsi="Arial" w:cs="Arial"/>
                <w:sz w:val="16"/>
                <w:szCs w:val="16"/>
                <w:highlight w:val="yellow"/>
              </w:rPr>
              <w:t xml:space="preserve">[pending]</w:t>
            </w:r>
          </w:p>
        </w:tc>
      </w:tr>
    </w:tbl>
    <w:p>
      <w:pPr>
        <w:spacing w:before="0" w:after="0"/>
      </w:pPr>
    </w:p>
    <w:p w14:paraId="40001C66" w14:textId="77777777" w:rsidR="00307D60" w:rsidRDefault="00307D60" w:rsidP="0053537C">
      <w:pPr>
        <w:spacing w:after="0"/>
        <w:jc w:val="center"/>
      </w:pPr>
    </w:p>
    <w:p w14:paraId="28EC70A5" w14:textId="77777777" w:rsidR="0053537C" w:rsidRDefault="0053537C" w:rsidP="007A6342">
      <w:pPr>
        <w:spacing w:after="0"/>
      </w:pPr>
    </w:p>
    <w:tbl>
      <w:tblPr>
        <w:tblW w:w="6000" w:type="dxa"/>
        <w:jc w:val="center"/>
        <w:tblBorders>
          <w:top w:val="single" w:sz="4" w:space="0" w:color="BFBFBF"/>
          <w:bottom w:val="single" w:sz="4" w:space="0" w:color="BFBFBF"/>
          <w:insideH w:val="single" w:sz="2" w:space="0" w:color="D9D9D9"/>
        </w:tblBorders>
        <w:tblLayout w:type="fixed"/>
        <w:tblCellMar>
          <w:left w:w="60" w:type="dxa"/>
          <w:right w:w="60" w:type="dxa"/>
        </w:tblCellMar>
      </w:tblPr>
      <w:tblGrid>
        <w:gridCol w:w="3600"/>
        <w:gridCol w:w="2400"/>
      </w:tblGrid>
      <w:tr>
        <w:trPr>
          <w:cantSplit/>
        </w:trPr>
        <w:tc>
          <w:tcPr>
            <w:tcW w:w="6000" w:type="dxa"/>
            <w:gridSpan w:val="2"/>
            <w:vAlign w:val="center"/>
          </w:tcPr>
          <w:p>
            <w:pPr>
              <w:spacing w:before="0" w:after="0" w:line="240" w:lineRule="auto"/>
              <w:jc w:val="left"/>
            </w:pPr>
            <w:r>
              <w:rPr>
                <w:rFonts w:ascii="Arial" w:hAnsi="Arial" w:cs="Arial"/>
                <w:b/>
                <w:sz w:val="16"/>
                <w:szCs w:val="16"/>
              </w:rPr>
              <w:t xml:space="preserve">Value Conclusion</w:t>
            </w:r>
          </w:p>
        </w:tc>
      </w:tr>
      <w:tr>
        <w:trPr>
          <w:cantSplit/>
        </w:trPr>
        <w:tc>
          <w:tcPr>
            <w:tcW w:w="3600" w:type="dxa"/>
            <w:shd w:val="clear" w:color="auto" w:fill="4F6228"/>
            <w:vAlign w:val="center"/>
          </w:tcPr>
          <w:p>
            <w:pPr>
              <w:spacing w:before="0" w:after="0" w:line="240" w:lineRule="auto"/>
              <w:jc w:val="left"/>
            </w:pPr>
            <w:r>
              <w:rPr>
                <w:rFonts w:ascii="Arial" w:hAnsi="Arial" w:cs="Arial"/>
                <w:b/>
                <w:color w:val="FFFFFF"/>
                <w:sz w:val="16"/>
                <w:szCs w:val="16"/>
              </w:rPr>
              <w:t xml:space="preserve">Component</w:t>
            </w:r>
          </w:p>
        </w:tc>
        <w:tc>
          <w:tcPr>
            <w:tcW w:w="2400" w:type="dxa"/>
            <w:shd w:val="clear" w:color="auto" w:fill="4F6228"/>
            <w:vAlign w:val="center"/>
          </w:tcPr>
          <w:p>
            <w:pPr>
              <w:spacing w:before="0" w:after="0" w:line="240" w:lineRule="auto"/>
              <w:jc w:val="right"/>
            </w:pPr>
            <w:r>
              <w:rPr>
                <w:rFonts w:ascii="Arial" w:hAnsi="Arial" w:cs="Arial"/>
                <w:b/>
                <w:color w:val="FFFFFF"/>
                <w:sz w:val="16"/>
                <w:szCs w:val="16"/>
              </w:rPr>
              <w:t xml:space="preserve">Retrospective</w:t>
            </w:r>
          </w:p>
        </w:tc>
      </w:tr>
      <w:tr>
        <w:trPr>
          <w:cantSplit/>
        </w:trPr>
        <w:tc>
          <w:tcPr>
            <w:tcW w:w="3600" w:type="dxa"/>
            <w:vAlign w:val="center"/>
          </w:tcPr>
          <w:p>
            <w:pPr>
              <w:spacing w:before="0" w:after="0" w:line="240" w:lineRule="auto"/>
              <w:jc w:val="left"/>
            </w:pPr>
            <w:r>
              <w:rPr>
                <w:rFonts w:ascii="Arial" w:hAnsi="Arial" w:cs="Arial"/>
                <w:sz w:val="16"/>
                <w:szCs w:val="16"/>
              </w:rPr>
              <w:t xml:space="preserve">Value Type</w:t>
            </w:r>
          </w:p>
        </w:tc>
        <w:tc>
          <w:tcPr>
            <w:tcW w:w="2400" w:type="dxa"/>
            <w:vAlign w:val="center"/>
          </w:tcPr>
          <w:p>
            <w:pPr>
              <w:spacing w:before="0" w:after="0" w:line="240" w:lineRule="auto"/>
              <w:jc w:val="right"/>
            </w:pPr>
            <w:r>
              <w:rPr>
                <w:rFonts w:ascii="Arial" w:hAnsi="Arial" w:cs="Arial"/>
                <w:sz w:val="16"/>
                <w:szCs w:val="16"/>
              </w:rPr>
              <w:t xml:space="preserve">Market Value</w:t>
            </w:r>
          </w:p>
        </w:tc>
      </w:tr>
      <w:tr>
        <w:trPr>
          <w:cantSplit/>
        </w:trPr>
        <w:tc>
          <w:tcPr>
            <w:tcW w:w="3600" w:type="dxa"/>
            <w:vAlign w:val="center"/>
          </w:tcPr>
          <w:p>
            <w:pPr>
              <w:spacing w:before="0" w:after="0" w:line="240" w:lineRule="auto"/>
              <w:jc w:val="left"/>
            </w:pPr>
            <w:r>
              <w:rPr>
                <w:rFonts w:ascii="Arial" w:hAnsi="Arial" w:cs="Arial"/>
                <w:sz w:val="16"/>
                <w:szCs w:val="16"/>
              </w:rPr>
              <w:t xml:space="preserve">Real Property Interest</w:t>
            </w:r>
          </w:p>
        </w:tc>
        <w:tc>
          <w:tcPr>
            <w:tcW w:w="2400" w:type="dxa"/>
            <w:vAlign w:val="center"/>
          </w:tcPr>
          <w:p>
            <w:pPr>
              <w:spacing w:before="0" w:after="0" w:line="240" w:lineRule="auto"/>
              <w:jc w:val="right"/>
            </w:pPr>
            <w:r>
              <w:rPr>
                <w:rFonts w:ascii="Arial" w:hAnsi="Arial" w:cs="Arial"/>
                <w:sz w:val="16"/>
                <w:szCs w:val="16"/>
              </w:rPr>
              <w:t xml:space="preserve">Fee Simple</w:t>
            </w:r>
          </w:p>
        </w:tc>
      </w:tr>
      <w:tr>
        <w:trPr>
          <w:cantSplit/>
        </w:trPr>
        <w:tc>
          <w:tcPr>
            <w:tcW w:w="3600" w:type="dxa"/>
            <w:vAlign w:val="center"/>
          </w:tcPr>
          <w:p>
            <w:pPr>
              <w:spacing w:before="0" w:after="0" w:line="240" w:lineRule="auto"/>
              <w:jc w:val="left"/>
            </w:pPr>
            <w:r>
              <w:rPr>
                <w:rFonts w:ascii="Arial" w:hAnsi="Arial" w:cs="Arial"/>
                <w:sz w:val="16"/>
                <w:szCs w:val="16"/>
              </w:rPr>
              <w:t xml:space="preserve">Effective Date of Value</w:t>
            </w:r>
          </w:p>
        </w:tc>
        <w:tc>
          <w:tcPr>
            <w:tcW w:w="2400" w:type="dxa"/>
            <w:vAlign w:val="center"/>
          </w:tcPr>
          <w:p>
            <w:pPr>
              <w:spacing w:before="0" w:after="0" w:line="240" w:lineRule="auto"/>
              <w:jc w:val="right"/>
            </w:pPr>
            <w:r>
              <w:rPr>
                <w:rFonts w:ascii="Arial" w:hAnsi="Arial" w:cs="Arial"/>
                <w:sz w:val="16"/>
                <w:szCs w:val="16"/>
              </w:rPr>
              <w:t xml:space="preserve">June 30, 2024</w:t>
            </w:r>
          </w:p>
        </w:tc>
      </w:tr>
      <w:tr>
        <w:trPr>
          <w:cantSplit/>
        </w:trPr>
        <w:tc>
          <w:tcPr>
            <w:tcW w:w="3600" w:type="dxa"/>
            <w:vAlign w:val="center"/>
          </w:tcPr>
          <w:p>
            <w:pPr>
              <w:spacing w:before="0" w:after="0" w:line="240" w:lineRule="auto"/>
              <w:jc w:val="left"/>
            </w:pPr>
            <w:r>
              <w:rPr>
                <w:rFonts w:ascii="Arial" w:hAnsi="Arial" w:cs="Arial"/>
                <w:b/>
                <w:sz w:val="16"/>
                <w:szCs w:val="16"/>
              </w:rPr>
              <w:t xml:space="preserve">Value Conclusion</w:t>
            </w:r>
          </w:p>
        </w:tc>
        <w:tc>
          <w:tcPr>
            <w:tcW w:w="2400" w:type="dxa"/>
            <w:vAlign w:val="center"/>
          </w:tcPr>
          <w:p>
            <w:pPr>
              <w:spacing w:before="0" w:after="0" w:line="240" w:lineRule="auto"/>
              <w:jc w:val="right"/>
            </w:pPr>
            <w:r>
              <w:rPr>
                <w:rFonts w:ascii="Arial" w:hAnsi="Arial" w:cs="Arial"/>
                <w:b/>
                <w:sz w:val="16"/>
                <w:szCs w:val="16"/>
                <w:highlight w:val="yellow"/>
              </w:rPr>
              <w:t xml:space="preserve">$1,070,000</w:t>
            </w:r>
          </w:p>
        </w:tc>
      </w:tr>
    </w:tbl>
    <w:p w14:paraId="2DE5922E" w14:textId="77777777" w:rsidR="0053537C" w:rsidRDefault="0053537C" w:rsidP="00AF268E">
      <w:pPr>
        <w:spacing w:after="0"/>
        <w:jc w:val="center"/>
        <w:rPr>
          <w:b/>
          <w:sz w:val="40"/>
        </w:rPr>
      </w:pPr>
    </w:p>
    <w:p w14:paraId="6FE71838" w14:textId="77777777" w:rsidR="008F6F33" w:rsidRDefault="008F6F33" w:rsidP="008F6F33">
      <w:pPr>
        <w:sectPr w:rsidR="008F6F33" w:rsidSect="00C456A4">
          <w:headerReference w:type="default" r:id="rId15"/>
          <w:footerReference w:type="firs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5DADDB60" w14:textId="3EBA39A8" w:rsidR="00177A94" w:rsidRPr="00177A94" w:rsidRDefault="005C0E63" w:rsidP="009100EA">
      <w:pPr>
        <w:pStyle w:val="Heading1"/>
      </w:pPr>
      <w:bookmarkStart w:id="1" w:name="_Toc228359485"/>
      <w:r>
        <w:lastRenderedPageBreak/>
        <w:t>Summary of Salient Facts</w:t>
      </w:r>
      <w:bookmarkEnd w:id="1"/>
      <w:r>
        <w:t xml:space="preserve"> </w:t>
      </w:r>
    </w:p>
    <w:tbl>
      <w:tblPr>
        <w:tblW w:w="9360" w:type="dxa"/>
        <w:jc w:val="center"/>
        <w:tblBorders>
          <w:top w:val="single" w:sz="4" w:space="0" w:color="BFBFBF"/>
          <w:bottom w:val="single" w:sz="4" w:space="0" w:color="BFBFBF"/>
          <w:insideH w:val="single" w:sz="2" w:space="0" w:color="D9D9D9"/>
        </w:tblBorders>
        <w:tblLayout w:type="fixed"/>
        <w:tblCellMar>
          <w:left w:w="60" w:type="dxa"/>
          <w:right w:w="60" w:type="dxa"/>
        </w:tblCellMar>
      </w:tblPr>
      <w:tblGrid>
        <w:gridCol w:w="3400"/>
        <w:gridCol w:w="5960"/>
      </w:tblGrid>
      <w:tr>
        <w:trPr>
          <w:cantSplit/>
        </w:trPr>
        <w:tc>
          <w:tcPr>
            <w:tcW w:w="9360" w:type="dxa"/>
            <w:gridSpan w:val="2"/>
            <w:shd w:val="clear" w:color="auto" w:fill="005710"/>
            <w:vAlign w:val="center"/>
          </w:tcPr>
          <w:p>
            <w:pPr>
              <w:spacing w:before="0" w:after="0" w:line="240" w:lineRule="auto"/>
              <w:jc w:val="center"/>
            </w:pPr>
            <w:r>
              <w:rPr>
                <w:rFonts w:ascii="Arial" w:hAnsi="Arial" w:cs="Arial"/>
                <w:b/>
                <w:color w:val="FFFFFF"/>
                <w:sz w:val="16"/>
                <w:szCs w:val="16"/>
              </w:rPr>
              <w:t xml:space="preserve">Summary of Salient Facts</w:t>
            </w:r>
          </w:p>
        </w:tc>
      </w:tr>
      <w:tr>
        <w:trPr>
          <w:cantSplit/>
        </w:trPr>
        <w:tc>
          <w:tcPr>
            <w:tcW w:w="9360" w:type="dxa"/>
            <w:gridSpan w:val="2"/>
            <w:shd w:val="clear" w:color="auto" w:fill="D9D9D9"/>
            <w:vAlign w:val="center"/>
          </w:tcPr>
          <w:p>
            <w:pPr>
              <w:spacing w:before="0" w:after="0" w:line="240" w:lineRule="auto"/>
              <w:jc w:val="left"/>
            </w:pPr>
            <w:r>
              <w:rPr>
                <w:rFonts w:ascii="Arial" w:hAnsi="Arial" w:cs="Arial"/>
                <w:b/>
                <w:sz w:val="15"/>
                <w:szCs w:val="15"/>
              </w:rPr>
              <w:t xml:space="preserve">Property Identification</w:t>
            </w:r>
          </w:p>
        </w:tc>
      </w:tr>
      <w:tr>
        <w:trPr>
          <w:cantSplit/>
        </w:trPr>
        <w:tc>
          <w:tcPr>
            <w:tcW w:w="3400" w:type="dxa"/>
            <w:vAlign w:val="center"/>
          </w:tcPr>
          <w:p>
            <w:pPr>
              <w:spacing w:before="0" w:after="0" w:line="240" w:lineRule="auto"/>
              <w:jc w:val="left"/>
            </w:pPr>
            <w:r>
              <w:rPr>
                <w:rFonts w:ascii="Arial" w:hAnsi="Arial" w:cs="Arial"/>
                <w:sz w:val="15"/>
                <w:szCs w:val="15"/>
              </w:rPr>
              <w:t xml:space="preserve">Account Number</w:t>
            </w:r>
          </w:p>
        </w:tc>
        <w:tc>
          <w:tcPr>
            <w:tcW w:w="5960" w:type="dxa"/>
            <w:vAlign w:val="center"/>
          </w:tcPr>
          <w:p>
            <w:pPr>
              <w:spacing w:before="0" w:after="0" w:line="240" w:lineRule="auto"/>
              <w:jc w:val="left"/>
            </w:pPr>
            <w:r>
              <w:rPr>
                <w:rFonts w:ascii="Arial" w:hAnsi="Arial" w:cs="Arial"/>
                <w:sz w:val="15"/>
                <w:szCs w:val="15"/>
              </w:rPr>
              <w:t xml:space="preserve">R0104041</w:t>
            </w:r>
          </w:p>
        </w:tc>
      </w:tr>
      <w:tr>
        <w:trPr>
          <w:cantSplit/>
        </w:trPr>
        <w:tc>
          <w:tcPr>
            <w:tcW w:w="3400" w:type="dxa"/>
            <w:vAlign w:val="center"/>
          </w:tcPr>
          <w:p>
            <w:pPr>
              <w:spacing w:before="0" w:after="0" w:line="240" w:lineRule="auto"/>
              <w:jc w:val="left"/>
            </w:pPr>
            <w:r>
              <w:rPr>
                <w:rFonts w:ascii="Arial" w:hAnsi="Arial" w:cs="Arial"/>
                <w:sz w:val="15"/>
                <w:szCs w:val="15"/>
              </w:rPr>
              <w:t xml:space="preserve">Property Address</w:t>
            </w:r>
          </w:p>
        </w:tc>
        <w:tc>
          <w:tcPr>
            <w:tcW w:w="5960" w:type="dxa"/>
            <w:vAlign w:val="center"/>
          </w:tcPr>
          <w:p>
            <w:pPr>
              <w:spacing w:before="0" w:after="0" w:line="240" w:lineRule="auto"/>
              <w:jc w:val="left"/>
            </w:pPr>
            <w:r>
              <w:rPr>
                <w:rFonts w:ascii="Arial" w:hAnsi="Arial" w:cs="Arial"/>
                <w:sz w:val="15"/>
                <w:szCs w:val="15"/>
              </w:rPr>
              <w:t xml:space="preserve">387 E 55th Avenue, Denver, CO 80216</w:t>
            </w:r>
          </w:p>
        </w:tc>
      </w:tr>
      <w:tr>
        <w:trPr>
          <w:cantSplit/>
        </w:trPr>
        <w:tc>
          <w:tcPr>
            <w:tcW w:w="3400" w:type="dxa"/>
            <w:vAlign w:val="center"/>
          </w:tcPr>
          <w:p>
            <w:pPr>
              <w:spacing w:before="0" w:after="0" w:line="240" w:lineRule="auto"/>
              <w:jc w:val="left"/>
            </w:pPr>
            <w:r>
              <w:rPr>
                <w:rFonts w:ascii="Arial" w:hAnsi="Arial" w:cs="Arial"/>
                <w:sz w:val="15"/>
                <w:szCs w:val="15"/>
              </w:rPr>
              <w:t xml:space="preserve"/>
            </w:r>
          </w:p>
        </w:tc>
        <w:tc>
          <w:tcPr>
            <w:tcW w:w="5960" w:type="dxa"/>
            <w:vAlign w:val="center"/>
          </w:tcPr>
          <w:p>
            <w:pPr>
              <w:spacing w:before="0" w:after="0" w:line="240" w:lineRule="auto"/>
              <w:jc w:val="left"/>
            </w:pPr>
            <w:r>
              <w:rPr>
                <w:rFonts w:ascii="Arial" w:hAnsi="Arial" w:cs="Arial"/>
                <w:sz w:val="15"/>
                <w:szCs w:val="15"/>
              </w:rPr>
              <w:t xml:space="preserve">Unincorporated Adams County</w:t>
            </w:r>
          </w:p>
        </w:tc>
      </w:tr>
      <w:tr>
        <w:trPr>
          <w:cantSplit/>
        </w:trPr>
        <w:tc>
          <w:tcPr>
            <w:tcW w:w="3400" w:type="dxa"/>
            <w:vAlign w:val="center"/>
          </w:tcPr>
          <w:p>
            <w:pPr>
              <w:spacing w:before="0" w:after="0" w:line="240" w:lineRule="auto"/>
              <w:jc w:val="left"/>
            </w:pPr>
            <w:r>
              <w:rPr>
                <w:rFonts w:ascii="Arial" w:hAnsi="Arial" w:cs="Arial"/>
                <w:sz w:val="15"/>
                <w:szCs w:val="15"/>
              </w:rPr>
              <w:t xml:space="preserve">Tax Parcel Number</w:t>
            </w:r>
          </w:p>
        </w:tc>
        <w:tc>
          <w:tcPr>
            <w:tcW w:w="5960" w:type="dxa"/>
            <w:vAlign w:val="center"/>
          </w:tcPr>
          <w:p>
            <w:pPr>
              <w:spacing w:before="0" w:after="0" w:line="240" w:lineRule="auto"/>
              <w:jc w:val="left"/>
            </w:pPr>
            <w:r>
              <w:rPr>
                <w:rFonts w:ascii="Arial" w:hAnsi="Arial" w:cs="Arial"/>
                <w:sz w:val="15"/>
                <w:szCs w:val="15"/>
              </w:rPr>
              <w:t xml:space="preserve">0182515104004</w:t>
            </w:r>
          </w:p>
        </w:tc>
      </w:tr>
      <w:tr>
        <w:trPr>
          <w:cantSplit/>
        </w:trPr>
        <w:tc>
          <w:tcPr>
            <w:tcW w:w="3400" w:type="dxa"/>
            <w:vAlign w:val="center"/>
          </w:tcPr>
          <w:p>
            <w:pPr>
              <w:spacing w:before="0" w:after="0" w:line="240" w:lineRule="auto"/>
              <w:jc w:val="left"/>
            </w:pPr>
            <w:r>
              <w:rPr>
                <w:rFonts w:ascii="Arial" w:hAnsi="Arial" w:cs="Arial"/>
                <w:sz w:val="15"/>
                <w:szCs w:val="15"/>
              </w:rPr>
              <w:t xml:space="preserve">Property Owner</w:t>
            </w:r>
          </w:p>
        </w:tc>
        <w:tc>
          <w:tcPr>
            <w:tcW w:w="5960" w:type="dxa"/>
            <w:vAlign w:val="center"/>
          </w:tcPr>
          <w:p>
            <w:pPr>
              <w:spacing w:before="0" w:after="0" w:line="240" w:lineRule="auto"/>
              <w:jc w:val="left"/>
            </w:pPr>
            <w:r>
              <w:rPr>
                <w:rFonts w:ascii="Arial" w:hAnsi="Arial" w:cs="Arial"/>
                <w:sz w:val="15"/>
                <w:szCs w:val="15"/>
              </w:rPr>
              <w:t xml:space="preserve">Grand Vincent Holdings LLC (50% UND INT) and Tom Cook &amp; Associates LLC (50% UND INT)</w:t>
            </w:r>
          </w:p>
        </w:tc>
      </w:tr>
      <w:tr>
        <w:trPr>
          <w:cantSplit/>
        </w:trPr>
        <w:tc>
          <w:tcPr>
            <w:tcW w:w="3400" w:type="dxa"/>
            <w:vAlign w:val="center"/>
          </w:tcPr>
          <w:p>
            <w:pPr>
              <w:spacing w:before="0" w:after="0" w:line="240" w:lineRule="auto"/>
              <w:jc w:val="left"/>
            </w:pPr>
            <w:r>
              <w:rPr>
                <w:rFonts w:ascii="Arial" w:hAnsi="Arial" w:cs="Arial"/>
                <w:sz w:val="15"/>
                <w:szCs w:val="15"/>
              </w:rPr>
              <w:t xml:space="preserve">Legal Description</w:t>
            </w:r>
          </w:p>
        </w:tc>
        <w:tc>
          <w:tcPr>
            <w:tcW w:w="5960" w:type="dxa"/>
            <w:vAlign w:val="center"/>
          </w:tcPr>
          <w:p>
            <w:pPr>
              <w:spacing w:before="0" w:after="0" w:line="240" w:lineRule="auto"/>
              <w:jc w:val="left"/>
            </w:pPr>
            <w:r>
              <w:rPr>
                <w:rFonts w:ascii="Arial" w:hAnsi="Arial" w:cs="Arial"/>
                <w:sz w:val="15"/>
                <w:szCs w:val="15"/>
              </w:rPr>
              <w:t xml:space="preserve">Part of Lot 1, Florence Wilcox Subdivision (per Assessor legal description)</w:t>
            </w:r>
          </w:p>
        </w:tc>
      </w:tr>
      <w:tr>
        <w:trPr>
          <w:cantSplit/>
        </w:trPr>
        <w:tc>
          <w:tcPr>
            <w:tcW w:w="9360" w:type="dxa"/>
            <w:gridSpan w:val="2"/>
            <w:shd w:val="clear" w:color="auto" w:fill="D9D9D9"/>
            <w:vAlign w:val="center"/>
          </w:tcPr>
          <w:p>
            <w:pPr>
              <w:spacing w:before="0" w:after="0" w:line="240" w:lineRule="auto"/>
              <w:jc w:val="left"/>
            </w:pPr>
            <w:r>
              <w:rPr>
                <w:rFonts w:ascii="Arial" w:hAnsi="Arial" w:cs="Arial"/>
                <w:b/>
                <w:sz w:val="15"/>
                <w:szCs w:val="15"/>
              </w:rPr>
              <w:t xml:space="preserve">Site</w:t>
            </w:r>
          </w:p>
        </w:tc>
      </w:tr>
      <w:tr>
        <w:trPr>
          <w:cantSplit/>
        </w:trPr>
        <w:tc>
          <w:tcPr>
            <w:tcW w:w="3400" w:type="dxa"/>
            <w:vAlign w:val="center"/>
          </w:tcPr>
          <w:p>
            <w:pPr>
              <w:spacing w:before="0" w:after="0" w:line="240" w:lineRule="auto"/>
              <w:jc w:val="left"/>
            </w:pPr>
            <w:r>
              <w:rPr>
                <w:rFonts w:ascii="Arial" w:hAnsi="Arial" w:cs="Arial"/>
                <w:sz w:val="15"/>
                <w:szCs w:val="15"/>
              </w:rPr>
              <w:t xml:space="preserve">Zoning</w:t>
            </w:r>
          </w:p>
        </w:tc>
        <w:tc>
          <w:tcPr>
            <w:tcW w:w="5960" w:type="dxa"/>
            <w:vAlign w:val="center"/>
          </w:tcPr>
          <w:p>
            <w:pPr>
              <w:spacing w:before="0" w:after="0" w:line="240" w:lineRule="auto"/>
              <w:jc w:val="left"/>
            </w:pPr>
            <w:r>
              <w:rPr>
                <w:rFonts w:ascii="Arial" w:hAnsi="Arial" w:cs="Arial"/>
                <w:sz w:val="15"/>
                <w:szCs w:val="15"/>
              </w:rPr>
              <w:t xml:space="preserve">I-1 (Adams County)</w:t>
            </w:r>
          </w:p>
        </w:tc>
      </w:tr>
      <w:tr>
        <w:trPr>
          <w:cantSplit/>
        </w:trPr>
        <w:tc>
          <w:tcPr>
            <w:tcW w:w="3400" w:type="dxa"/>
            <w:vAlign w:val="center"/>
          </w:tcPr>
          <w:p>
            <w:pPr>
              <w:spacing w:before="0" w:after="0" w:line="240" w:lineRule="auto"/>
              <w:jc w:val="left"/>
            </w:pPr>
            <w:r>
              <w:rPr>
                <w:rFonts w:ascii="Arial" w:hAnsi="Arial" w:cs="Arial"/>
                <w:sz w:val="15"/>
                <w:szCs w:val="15"/>
              </w:rPr>
              <w:t xml:space="preserve">FEMA Flood Map No.</w:t>
            </w:r>
          </w:p>
        </w:tc>
        <w:tc>
          <w:tcPr>
            <w:tcW w:w="5960" w:type="dxa"/>
            <w:vAlign w:val="center"/>
          </w:tcPr>
          <w:p>
            <w:pPr>
              <w:spacing w:before="0" w:after="0" w:line="240" w:lineRule="auto"/>
              <w:jc w:val="left"/>
            </w:pPr>
            <w:r>
              <w:rPr>
                <w:rFonts w:ascii="Arial" w:hAnsi="Arial" w:cs="Arial"/>
                <w:sz w:val="15"/>
                <w:szCs w:val="15"/>
                <w:highlight w:val="yellow"/>
              </w:rPr>
              <w:t xml:space="preserve">Confirm on FEMA FIRM</w:t>
            </w:r>
          </w:p>
        </w:tc>
      </w:tr>
      <w:tr>
        <w:trPr>
          <w:cantSplit/>
        </w:trPr>
        <w:tc>
          <w:tcPr>
            <w:tcW w:w="3400" w:type="dxa"/>
            <w:vAlign w:val="center"/>
          </w:tcPr>
          <w:p>
            <w:pPr>
              <w:spacing w:before="0" w:after="0" w:line="240" w:lineRule="auto"/>
              <w:jc w:val="left"/>
            </w:pPr>
            <w:r>
              <w:rPr>
                <w:rFonts w:ascii="Arial" w:hAnsi="Arial" w:cs="Arial"/>
                <w:sz w:val="15"/>
                <w:szCs w:val="15"/>
              </w:rPr>
              <w:t xml:space="preserve">Flood Zone</w:t>
            </w:r>
          </w:p>
        </w:tc>
        <w:tc>
          <w:tcPr>
            <w:tcW w:w="5960" w:type="dxa"/>
            <w:vAlign w:val="center"/>
          </w:tcPr>
          <w:p>
            <w:pPr>
              <w:spacing w:before="0" w:after="0" w:line="240" w:lineRule="auto"/>
              <w:jc w:val="left"/>
            </w:pPr>
            <w:r>
              <w:rPr>
                <w:rFonts w:ascii="Arial" w:hAnsi="Arial" w:cs="Arial"/>
                <w:sz w:val="15"/>
                <w:szCs w:val="15"/>
                <w:highlight w:val="yellow"/>
              </w:rPr>
              <w:t xml:space="preserve">Confirm on FEMA FIRM</w:t>
            </w:r>
          </w:p>
        </w:tc>
      </w:tr>
      <w:tr>
        <w:trPr>
          <w:cantSplit/>
        </w:trPr>
        <w:tc>
          <w:tcPr>
            <w:tcW w:w="3400" w:type="dxa"/>
            <w:vAlign w:val="center"/>
          </w:tcPr>
          <w:p>
            <w:pPr>
              <w:spacing w:before="0" w:after="0" w:line="240" w:lineRule="auto"/>
              <w:jc w:val="left"/>
            </w:pPr>
            <w:r>
              <w:rPr>
                <w:rFonts w:ascii="Arial" w:hAnsi="Arial" w:cs="Arial"/>
                <w:sz w:val="15"/>
                <w:szCs w:val="15"/>
              </w:rPr>
              <w:t xml:space="preserve">Gross Land Area</w:t>
            </w:r>
          </w:p>
        </w:tc>
        <w:tc>
          <w:tcPr>
            <w:tcW w:w="5960" w:type="dxa"/>
            <w:vAlign w:val="center"/>
          </w:tcPr>
          <w:p>
            <w:pPr>
              <w:spacing w:before="0" w:after="0" w:line="240" w:lineRule="auto"/>
              <w:jc w:val="left"/>
            </w:pPr>
            <w:r>
              <w:rPr>
                <w:rFonts w:ascii="Arial" w:hAnsi="Arial" w:cs="Arial"/>
                <w:sz w:val="15"/>
                <w:szCs w:val="15"/>
              </w:rPr>
              <w:t xml:space="preserve">0.230 Acres (10,019 SF)</w:t>
            </w:r>
          </w:p>
        </w:tc>
      </w:tr>
      <w:tr>
        <w:trPr>
          <w:cantSplit/>
        </w:trPr>
        <w:tc>
          <w:tcPr>
            <w:tcW w:w="3400" w:type="dxa"/>
            <w:vAlign w:val="center"/>
          </w:tcPr>
          <w:p>
            <w:pPr>
              <w:spacing w:before="0" w:after="0" w:line="240" w:lineRule="auto"/>
              <w:jc w:val="left"/>
            </w:pPr>
            <w:r>
              <w:rPr>
                <w:rFonts w:ascii="Arial" w:hAnsi="Arial" w:cs="Arial"/>
                <w:sz w:val="15"/>
                <w:szCs w:val="15"/>
              </w:rPr>
              <w:t xml:space="preserve">Usable Land Area</w:t>
            </w:r>
          </w:p>
        </w:tc>
        <w:tc>
          <w:tcPr>
            <w:tcW w:w="5960" w:type="dxa"/>
            <w:vAlign w:val="center"/>
          </w:tcPr>
          <w:p>
            <w:pPr>
              <w:spacing w:before="0" w:after="0" w:line="240" w:lineRule="auto"/>
              <w:jc w:val="left"/>
            </w:pPr>
            <w:r>
              <w:rPr>
                <w:rFonts w:ascii="Arial" w:hAnsi="Arial" w:cs="Arial"/>
                <w:sz w:val="15"/>
                <w:szCs w:val="15"/>
              </w:rPr>
              <w:t xml:space="preserve">0.230 Acres (10,019 SF)</w:t>
            </w:r>
          </w:p>
        </w:tc>
      </w:tr>
      <w:tr>
        <w:trPr>
          <w:cantSplit/>
        </w:trPr>
        <w:tc>
          <w:tcPr>
            <w:tcW w:w="3400" w:type="dxa"/>
            <w:vAlign w:val="center"/>
          </w:tcPr>
          <w:p>
            <w:pPr>
              <w:spacing w:before="0" w:after="0" w:line="240" w:lineRule="auto"/>
              <w:jc w:val="left"/>
            </w:pPr>
            <w:r>
              <w:rPr>
                <w:rFonts w:ascii="Arial" w:hAnsi="Arial" w:cs="Arial"/>
                <w:sz w:val="15"/>
                <w:szCs w:val="15"/>
              </w:rPr>
              <w:t xml:space="preserve">Total Land Area</w:t>
            </w:r>
          </w:p>
        </w:tc>
        <w:tc>
          <w:tcPr>
            <w:tcW w:w="5960" w:type="dxa"/>
            <w:vAlign w:val="center"/>
          </w:tcPr>
          <w:p>
            <w:pPr>
              <w:spacing w:before="0" w:after="0" w:line="240" w:lineRule="auto"/>
              <w:jc w:val="left"/>
            </w:pPr>
            <w:r>
              <w:rPr>
                <w:rFonts w:ascii="Arial" w:hAnsi="Arial" w:cs="Arial"/>
                <w:sz w:val="15"/>
                <w:szCs w:val="15"/>
              </w:rPr>
              <w:t xml:space="preserve">0.230 Acres (10,019 SF)</w:t>
            </w:r>
          </w:p>
        </w:tc>
      </w:tr>
      <w:tr>
        <w:trPr>
          <w:cantSplit/>
        </w:trPr>
        <w:tc>
          <w:tcPr>
            <w:tcW w:w="9360" w:type="dxa"/>
            <w:gridSpan w:val="2"/>
            <w:shd w:val="clear" w:color="auto" w:fill="D9D9D9"/>
            <w:vAlign w:val="center"/>
          </w:tcPr>
          <w:p>
            <w:pPr>
              <w:spacing w:before="0" w:after="0" w:line="240" w:lineRule="auto"/>
              <w:jc w:val="left"/>
            </w:pPr>
            <w:r>
              <w:rPr>
                <w:rFonts w:ascii="Arial" w:hAnsi="Arial" w:cs="Arial"/>
                <w:b/>
                <w:sz w:val="15"/>
                <w:szCs w:val="15"/>
              </w:rPr>
              <w:t xml:space="preserve">Existing Improvements</w:t>
            </w:r>
          </w:p>
        </w:tc>
      </w:tr>
      <w:tr>
        <w:trPr>
          <w:cantSplit/>
        </w:trPr>
        <w:tc>
          <w:tcPr>
            <w:tcW w:w="3400" w:type="dxa"/>
            <w:vAlign w:val="center"/>
          </w:tcPr>
          <w:p>
            <w:pPr>
              <w:spacing w:before="0" w:after="0" w:line="240" w:lineRule="auto"/>
              <w:jc w:val="left"/>
            </w:pPr>
            <w:r>
              <w:rPr>
                <w:rFonts w:ascii="Arial" w:hAnsi="Arial" w:cs="Arial"/>
                <w:sz w:val="15"/>
                <w:szCs w:val="15"/>
              </w:rPr>
              <w:t xml:space="preserve">Property Use</w:t>
            </w:r>
          </w:p>
        </w:tc>
        <w:tc>
          <w:tcPr>
            <w:tcW w:w="5960" w:type="dxa"/>
            <w:vAlign w:val="center"/>
          </w:tcPr>
          <w:p>
            <w:pPr>
              <w:spacing w:before="0" w:after="0" w:line="240" w:lineRule="auto"/>
              <w:jc w:val="left"/>
            </w:pPr>
            <w:r>
              <w:rPr>
                <w:rFonts w:ascii="Arial" w:hAnsi="Arial" w:cs="Arial"/>
                <w:sz w:val="15"/>
                <w:szCs w:val="15"/>
              </w:rPr>
              <w:t xml:space="preserve">Industrial Service Garage</w:t>
            </w:r>
          </w:p>
        </w:tc>
      </w:tr>
      <w:tr>
        <w:trPr>
          <w:cantSplit/>
        </w:trPr>
        <w:tc>
          <w:tcPr>
            <w:tcW w:w="3400" w:type="dxa"/>
            <w:vAlign w:val="center"/>
          </w:tcPr>
          <w:p>
            <w:pPr>
              <w:spacing w:before="0" w:after="0" w:line="240" w:lineRule="auto"/>
              <w:jc w:val="left"/>
            </w:pPr>
            <w:r>
              <w:rPr>
                <w:rFonts w:ascii="Arial" w:hAnsi="Arial" w:cs="Arial"/>
                <w:sz w:val="15"/>
                <w:szCs w:val="15"/>
              </w:rPr>
              <w:t xml:space="preserve">Investment Class</w:t>
            </w:r>
          </w:p>
        </w:tc>
        <w:tc>
          <w:tcPr>
            <w:tcW w:w="5960" w:type="dxa"/>
            <w:vAlign w:val="center"/>
          </w:tcPr>
          <w:p>
            <w:pPr>
              <w:spacing w:before="0" w:after="0" w:line="240" w:lineRule="auto"/>
              <w:jc w:val="left"/>
            </w:pPr>
            <w:r>
              <w:rPr>
                <w:rFonts w:ascii="Arial" w:hAnsi="Arial" w:cs="Arial"/>
                <w:sz w:val="15"/>
                <w:szCs w:val="15"/>
              </w:rPr>
              <w:t xml:space="preserve">C</w:t>
            </w:r>
          </w:p>
        </w:tc>
      </w:tr>
      <w:tr>
        <w:trPr>
          <w:cantSplit/>
        </w:trPr>
        <w:tc>
          <w:tcPr>
            <w:tcW w:w="3400" w:type="dxa"/>
            <w:vAlign w:val="center"/>
          </w:tcPr>
          <w:p>
            <w:pPr>
              <w:spacing w:before="0" w:after="0" w:line="240" w:lineRule="auto"/>
              <w:jc w:val="left"/>
            </w:pPr>
            <w:r>
              <w:rPr>
                <w:rFonts w:ascii="Arial" w:hAnsi="Arial" w:cs="Arial"/>
                <w:sz w:val="15"/>
                <w:szCs w:val="15"/>
              </w:rPr>
              <w:t xml:space="preserve">Occupancy</w:t>
            </w:r>
          </w:p>
        </w:tc>
        <w:tc>
          <w:tcPr>
            <w:tcW w:w="5960" w:type="dxa"/>
            <w:vAlign w:val="center"/>
          </w:tcPr>
          <w:p>
            <w:pPr>
              <w:spacing w:before="0" w:after="0" w:line="240" w:lineRule="auto"/>
              <w:jc w:val="left"/>
            </w:pPr>
            <w:r>
              <w:rPr>
                <w:rFonts w:ascii="Arial" w:hAnsi="Arial" w:cs="Arial"/>
                <w:sz w:val="15"/>
                <w:szCs w:val="15"/>
              </w:rPr>
              <w:t xml:space="preserve">Single Tenant</w:t>
            </w:r>
          </w:p>
        </w:tc>
      </w:tr>
      <w:tr>
        <w:trPr>
          <w:cantSplit/>
        </w:trPr>
        <w:tc>
          <w:tcPr>
            <w:tcW w:w="3400" w:type="dxa"/>
            <w:vAlign w:val="center"/>
          </w:tcPr>
          <w:p>
            <w:pPr>
              <w:spacing w:before="0" w:after="0" w:line="240" w:lineRule="auto"/>
              <w:jc w:val="left"/>
            </w:pPr>
            <w:r>
              <w:rPr>
                <w:rFonts w:ascii="Arial" w:hAnsi="Arial" w:cs="Arial"/>
                <w:sz w:val="15"/>
                <w:szCs w:val="15"/>
              </w:rPr>
              <w:t xml:space="preserve">Gross Building Area (GBA)</w:t>
            </w:r>
          </w:p>
        </w:tc>
        <w:tc>
          <w:tcPr>
            <w:tcW w:w="5960" w:type="dxa"/>
            <w:vAlign w:val="center"/>
          </w:tcPr>
          <w:p>
            <w:pPr>
              <w:spacing w:before="0" w:after="0" w:line="240" w:lineRule="auto"/>
              <w:jc w:val="left"/>
            </w:pPr>
            <w:r>
              <w:rPr>
                <w:rFonts w:ascii="Arial" w:hAnsi="Arial" w:cs="Arial"/>
                <w:sz w:val="15"/>
                <w:szCs w:val="15"/>
              </w:rPr>
              <w:t xml:space="preserve">2,800 SF</w:t>
            </w:r>
          </w:p>
        </w:tc>
      </w:tr>
      <w:tr>
        <w:trPr>
          <w:cantSplit/>
        </w:trPr>
        <w:tc>
          <w:tcPr>
            <w:tcW w:w="3400" w:type="dxa"/>
            <w:vAlign w:val="center"/>
          </w:tcPr>
          <w:p>
            <w:pPr>
              <w:spacing w:before="0" w:after="0" w:line="240" w:lineRule="auto"/>
              <w:jc w:val="left"/>
            </w:pPr>
            <w:r>
              <w:rPr>
                <w:rFonts w:ascii="Arial" w:hAnsi="Arial" w:cs="Arial"/>
                <w:sz w:val="15"/>
                <w:szCs w:val="15"/>
              </w:rPr>
              <w:t xml:space="preserve">Net Rentable Area (NRA)</w:t>
            </w:r>
          </w:p>
        </w:tc>
        <w:tc>
          <w:tcPr>
            <w:tcW w:w="5960" w:type="dxa"/>
            <w:vAlign w:val="center"/>
          </w:tcPr>
          <w:p>
            <w:pPr>
              <w:spacing w:before="0" w:after="0" w:line="240" w:lineRule="auto"/>
              <w:jc w:val="left"/>
            </w:pPr>
            <w:r>
              <w:rPr>
                <w:rFonts w:ascii="Arial" w:hAnsi="Arial" w:cs="Arial"/>
                <w:sz w:val="15"/>
                <w:szCs w:val="15"/>
              </w:rPr>
              <w:t xml:space="preserve">2,800 SF</w:t>
            </w:r>
          </w:p>
        </w:tc>
      </w:tr>
      <w:tr>
        <w:trPr>
          <w:cantSplit/>
        </w:trPr>
        <w:tc>
          <w:tcPr>
            <w:tcW w:w="3400" w:type="dxa"/>
            <w:vAlign w:val="center"/>
          </w:tcPr>
          <w:p>
            <w:pPr>
              <w:spacing w:before="0" w:after="0" w:line="240" w:lineRule="auto"/>
              <w:jc w:val="left"/>
            </w:pPr>
            <w:r>
              <w:rPr>
                <w:rFonts w:ascii="Arial" w:hAnsi="Arial" w:cs="Arial"/>
                <w:sz w:val="15"/>
                <w:szCs w:val="15"/>
              </w:rPr>
              <w:t xml:space="preserve">Number of Buildings</w:t>
            </w:r>
          </w:p>
        </w:tc>
        <w:tc>
          <w:tcPr>
            <w:tcW w:w="5960" w:type="dxa"/>
            <w:vAlign w:val="center"/>
          </w:tcPr>
          <w:p>
            <w:pPr>
              <w:spacing w:before="0" w:after="0" w:line="240" w:lineRule="auto"/>
              <w:jc w:val="left"/>
            </w:pPr>
            <w:r>
              <w:rPr>
                <w:rFonts w:ascii="Arial" w:hAnsi="Arial" w:cs="Arial"/>
                <w:sz w:val="15"/>
                <w:szCs w:val="15"/>
              </w:rPr>
              <w:t xml:space="preserve">1</w:t>
            </w:r>
          </w:p>
        </w:tc>
      </w:tr>
      <w:tr>
        <w:trPr>
          <w:cantSplit/>
        </w:trPr>
        <w:tc>
          <w:tcPr>
            <w:tcW w:w="3400" w:type="dxa"/>
            <w:vAlign w:val="center"/>
          </w:tcPr>
          <w:p>
            <w:pPr>
              <w:spacing w:before="0" w:after="0" w:line="240" w:lineRule="auto"/>
              <w:jc w:val="left"/>
            </w:pPr>
            <w:r>
              <w:rPr>
                <w:rFonts w:ascii="Arial" w:hAnsi="Arial" w:cs="Arial"/>
                <w:sz w:val="15"/>
                <w:szCs w:val="15"/>
              </w:rPr>
              <w:t xml:space="preserve">Number of Stories</w:t>
            </w:r>
          </w:p>
        </w:tc>
        <w:tc>
          <w:tcPr>
            <w:tcW w:w="5960" w:type="dxa"/>
            <w:vAlign w:val="center"/>
          </w:tcPr>
          <w:p>
            <w:pPr>
              <w:spacing w:before="0" w:after="0" w:line="240" w:lineRule="auto"/>
              <w:jc w:val="left"/>
            </w:pPr>
            <w:r>
              <w:rPr>
                <w:rFonts w:ascii="Arial" w:hAnsi="Arial" w:cs="Arial"/>
                <w:sz w:val="15"/>
                <w:szCs w:val="15"/>
              </w:rPr>
              <w:t xml:space="preserve">1</w:t>
            </w:r>
          </w:p>
        </w:tc>
      </w:tr>
      <w:tr>
        <w:trPr>
          <w:cantSplit/>
        </w:trPr>
        <w:tc>
          <w:tcPr>
            <w:tcW w:w="3400" w:type="dxa"/>
            <w:vAlign w:val="center"/>
          </w:tcPr>
          <w:p>
            <w:pPr>
              <w:spacing w:before="0" w:after="0" w:line="240" w:lineRule="auto"/>
              <w:jc w:val="left"/>
            </w:pPr>
            <w:r>
              <w:rPr>
                <w:rFonts w:ascii="Arial" w:hAnsi="Arial" w:cs="Arial"/>
                <w:sz w:val="15"/>
                <w:szCs w:val="15"/>
              </w:rPr>
              <w:t xml:space="preserve">Year Built</w:t>
            </w:r>
          </w:p>
        </w:tc>
        <w:tc>
          <w:tcPr>
            <w:tcW w:w="5960" w:type="dxa"/>
            <w:vAlign w:val="center"/>
          </w:tcPr>
          <w:p>
            <w:pPr>
              <w:spacing w:before="0" w:after="0" w:line="240" w:lineRule="auto"/>
              <w:jc w:val="left"/>
            </w:pPr>
            <w:r>
              <w:rPr>
                <w:rFonts w:ascii="Arial" w:hAnsi="Arial" w:cs="Arial"/>
                <w:sz w:val="15"/>
                <w:szCs w:val="15"/>
              </w:rPr>
              <w:t xml:space="preserve">1982</w:t>
            </w:r>
          </w:p>
        </w:tc>
      </w:tr>
      <w:tr>
        <w:trPr>
          <w:cantSplit/>
        </w:trPr>
        <w:tc>
          <w:tcPr>
            <w:tcW w:w="3400" w:type="dxa"/>
            <w:vAlign w:val="center"/>
          </w:tcPr>
          <w:p>
            <w:pPr>
              <w:spacing w:before="0" w:after="0" w:line="240" w:lineRule="auto"/>
              <w:jc w:val="left"/>
            </w:pPr>
            <w:r>
              <w:rPr>
                <w:rFonts w:ascii="Arial" w:hAnsi="Arial" w:cs="Arial"/>
                <w:sz w:val="15"/>
                <w:szCs w:val="15"/>
              </w:rPr>
              <w:t xml:space="preserve">Condition</w:t>
            </w:r>
          </w:p>
        </w:tc>
        <w:tc>
          <w:tcPr>
            <w:tcW w:w="5960" w:type="dxa"/>
            <w:vAlign w:val="center"/>
          </w:tcPr>
          <w:p>
            <w:pPr>
              <w:spacing w:before="0" w:after="0" w:line="240" w:lineRule="auto"/>
              <w:jc w:val="left"/>
            </w:pPr>
            <w:r>
              <w:rPr>
                <w:rFonts w:ascii="Arial" w:hAnsi="Arial" w:cs="Arial"/>
                <w:sz w:val="15"/>
                <w:szCs w:val="15"/>
              </w:rPr>
              <w:t xml:space="preserve">Average</w:t>
            </w:r>
          </w:p>
        </w:tc>
      </w:tr>
      <w:tr>
        <w:trPr>
          <w:cantSplit/>
        </w:trPr>
        <w:tc>
          <w:tcPr>
            <w:tcW w:w="3400" w:type="dxa"/>
            <w:vAlign w:val="center"/>
          </w:tcPr>
          <w:p>
            <w:pPr>
              <w:spacing w:before="0" w:after="0" w:line="240" w:lineRule="auto"/>
              <w:jc w:val="left"/>
            </w:pPr>
            <w:r>
              <w:rPr>
                <w:rFonts w:ascii="Arial" w:hAnsi="Arial" w:cs="Arial"/>
                <w:sz w:val="15"/>
                <w:szCs w:val="15"/>
              </w:rPr>
              <w:t xml:space="preserve">Construction Class</w:t>
            </w:r>
          </w:p>
        </w:tc>
        <w:tc>
          <w:tcPr>
            <w:tcW w:w="5960" w:type="dxa"/>
            <w:vAlign w:val="center"/>
          </w:tcPr>
          <w:p>
            <w:pPr>
              <w:spacing w:before="0" w:after="0" w:line="240" w:lineRule="auto"/>
              <w:jc w:val="left"/>
            </w:pPr>
            <w:r>
              <w:rPr>
                <w:rFonts w:ascii="Arial" w:hAnsi="Arial" w:cs="Arial"/>
                <w:sz w:val="15"/>
                <w:szCs w:val="15"/>
              </w:rPr>
              <w:t xml:space="preserve">C</w:t>
            </w:r>
          </w:p>
        </w:tc>
      </w:tr>
      <w:tr>
        <w:trPr>
          <w:cantSplit/>
        </w:trPr>
        <w:tc>
          <w:tcPr>
            <w:tcW w:w="3400" w:type="dxa"/>
            <w:vAlign w:val="center"/>
          </w:tcPr>
          <w:p>
            <w:pPr>
              <w:spacing w:before="0" w:after="0" w:line="240" w:lineRule="auto"/>
              <w:jc w:val="left"/>
            </w:pPr>
            <w:r>
              <w:rPr>
                <w:rFonts w:ascii="Arial" w:hAnsi="Arial" w:cs="Arial"/>
                <w:sz w:val="15"/>
                <w:szCs w:val="15"/>
              </w:rPr>
              <w:t xml:space="preserve">Construction Quality</w:t>
            </w:r>
          </w:p>
        </w:tc>
        <w:tc>
          <w:tcPr>
            <w:tcW w:w="5960" w:type="dxa"/>
            <w:vAlign w:val="center"/>
          </w:tcPr>
          <w:p>
            <w:pPr>
              <w:spacing w:before="0" w:after="0" w:line="240" w:lineRule="auto"/>
              <w:jc w:val="left"/>
            </w:pPr>
            <w:r>
              <w:rPr>
                <w:rFonts w:ascii="Arial" w:hAnsi="Arial" w:cs="Arial"/>
                <w:sz w:val="15"/>
                <w:szCs w:val="15"/>
              </w:rPr>
              <w:t xml:space="preserve">Average</w:t>
            </w:r>
          </w:p>
        </w:tc>
      </w:tr>
      <w:tr>
        <w:trPr>
          <w:cantSplit/>
        </w:trPr>
        <w:tc>
          <w:tcPr>
            <w:tcW w:w="3400" w:type="dxa"/>
            <w:vAlign w:val="center"/>
          </w:tcPr>
          <w:p>
            <w:pPr>
              <w:spacing w:before="0" w:after="0" w:line="240" w:lineRule="auto"/>
              <w:jc w:val="left"/>
            </w:pPr>
            <w:r>
              <w:rPr>
                <w:rFonts w:ascii="Arial" w:hAnsi="Arial" w:cs="Arial"/>
                <w:sz w:val="15"/>
                <w:szCs w:val="15"/>
              </w:rPr>
              <w:t xml:space="preserve">Percent Office</w:t>
            </w:r>
          </w:p>
        </w:tc>
        <w:tc>
          <w:tcPr>
            <w:tcW w:w="5960" w:type="dxa"/>
            <w:vAlign w:val="center"/>
          </w:tcPr>
          <w:p>
            <w:pPr>
              <w:spacing w:before="0" w:after="0" w:line="240" w:lineRule="auto"/>
              <w:jc w:val="left"/>
            </w:pPr>
            <w:r>
              <w:rPr>
                <w:rFonts w:ascii="Arial" w:hAnsi="Arial" w:cs="Arial"/>
                <w:sz w:val="15"/>
                <w:szCs w:val="15"/>
              </w:rPr>
              <w:t xml:space="preserve">6% (approx. 176 SF)</w:t>
            </w:r>
          </w:p>
        </w:tc>
      </w:tr>
      <w:tr>
        <w:trPr>
          <w:cantSplit/>
        </w:trPr>
        <w:tc>
          <w:tcPr>
            <w:tcW w:w="3400" w:type="dxa"/>
            <w:vAlign w:val="center"/>
          </w:tcPr>
          <w:p>
            <w:pPr>
              <w:spacing w:before="0" w:after="0" w:line="240" w:lineRule="auto"/>
              <w:jc w:val="left"/>
            </w:pPr>
            <w:r>
              <w:rPr>
                <w:rFonts w:ascii="Arial" w:hAnsi="Arial" w:cs="Arial"/>
                <w:sz w:val="15"/>
                <w:szCs w:val="15"/>
              </w:rPr>
              <w:t xml:space="preserve">Loading</w:t>
            </w:r>
          </w:p>
        </w:tc>
        <w:tc>
          <w:tcPr>
            <w:tcW w:w="5960" w:type="dxa"/>
            <w:vAlign w:val="center"/>
          </w:tcPr>
          <w:p>
            <w:pPr>
              <w:spacing w:before="0" w:after="0" w:line="240" w:lineRule="auto"/>
              <w:jc w:val="left"/>
            </w:pPr>
            <w:r>
              <w:rPr>
                <w:rFonts w:ascii="Arial" w:hAnsi="Arial" w:cs="Arial"/>
                <w:sz w:val="15"/>
                <w:szCs w:val="15"/>
              </w:rPr>
              <w:t xml:space="preserve">Two 12' x 10' drive-in doors; drive-through capability</w:t>
            </w:r>
          </w:p>
        </w:tc>
      </w:tr>
      <w:tr>
        <w:trPr>
          <w:cantSplit/>
        </w:trPr>
        <w:tc>
          <w:tcPr>
            <w:tcW w:w="3400" w:type="dxa"/>
            <w:vAlign w:val="center"/>
          </w:tcPr>
          <w:p>
            <w:pPr>
              <w:spacing w:before="0" w:after="0" w:line="240" w:lineRule="auto"/>
              <w:jc w:val="left"/>
            </w:pPr>
            <w:r>
              <w:rPr>
                <w:rFonts w:ascii="Arial" w:hAnsi="Arial" w:cs="Arial"/>
                <w:sz w:val="15"/>
                <w:szCs w:val="15"/>
              </w:rPr>
              <w:t xml:space="preserve">Site Improvements</w:t>
            </w:r>
          </w:p>
        </w:tc>
        <w:tc>
          <w:tcPr>
            <w:tcW w:w="5960" w:type="dxa"/>
            <w:vAlign w:val="center"/>
          </w:tcPr>
          <w:p>
            <w:pPr>
              <w:spacing w:before="0" w:after="0" w:line="240" w:lineRule="auto"/>
              <w:jc w:val="left"/>
            </w:pPr>
            <w:r>
              <w:rPr>
                <w:rFonts w:ascii="Arial" w:hAnsi="Arial" w:cs="Arial"/>
                <w:sz w:val="15"/>
                <w:szCs w:val="15"/>
              </w:rPr>
              <w:t xml:space="preserve">Approx. 2,500 SF fenced yard; surface parking</w:t>
            </w:r>
          </w:p>
        </w:tc>
      </w:tr>
      <w:tr>
        <w:trPr>
          <w:cantSplit/>
        </w:trPr>
        <w:tc>
          <w:tcPr>
            <w:tcW w:w="9360" w:type="dxa"/>
            <w:gridSpan w:val="2"/>
            <w:shd w:val="clear" w:color="auto" w:fill="D9D9D9"/>
            <w:vAlign w:val="center"/>
          </w:tcPr>
          <w:p>
            <w:pPr>
              <w:spacing w:before="0" w:after="0" w:line="240" w:lineRule="auto"/>
              <w:jc w:val="left"/>
            </w:pPr>
            <w:r>
              <w:rPr>
                <w:rFonts w:ascii="Arial" w:hAnsi="Arial" w:cs="Arial"/>
                <w:b/>
                <w:sz w:val="15"/>
                <w:szCs w:val="15"/>
              </w:rPr>
              <w:t xml:space="preserve">Valuation Opinions</w:t>
            </w:r>
          </w:p>
        </w:tc>
      </w:tr>
      <w:tr>
        <w:trPr>
          <w:cantSplit/>
        </w:trPr>
        <w:tc>
          <w:tcPr>
            <w:tcW w:w="3400" w:type="dxa"/>
            <w:vAlign w:val="center"/>
          </w:tcPr>
          <w:p>
            <w:pPr>
              <w:spacing w:before="0" w:after="0" w:line="240" w:lineRule="auto"/>
              <w:jc w:val="left"/>
            </w:pPr>
            <w:r>
              <w:rPr>
                <w:rFonts w:ascii="Arial" w:hAnsi="Arial" w:cs="Arial"/>
                <w:sz w:val="15"/>
                <w:szCs w:val="15"/>
              </w:rPr>
              <w:t xml:space="preserve">Highest &amp; Best Use - As Vacant</w:t>
            </w:r>
          </w:p>
        </w:tc>
        <w:tc>
          <w:tcPr>
            <w:tcW w:w="5960" w:type="dxa"/>
            <w:vAlign w:val="center"/>
          </w:tcPr>
          <w:p>
            <w:pPr>
              <w:spacing w:before="0" w:after="0" w:line="240" w:lineRule="auto"/>
              <w:jc w:val="left"/>
            </w:pPr>
            <w:r>
              <w:rPr>
                <w:rFonts w:ascii="Arial" w:hAnsi="Arial" w:cs="Arial"/>
                <w:sz w:val="15"/>
                <w:szCs w:val="15"/>
              </w:rPr>
              <w:t xml:space="preserve">Light industrial development</w:t>
            </w:r>
          </w:p>
        </w:tc>
      </w:tr>
      <w:tr>
        <w:trPr>
          <w:cantSplit/>
        </w:trPr>
        <w:tc>
          <w:tcPr>
            <w:tcW w:w="3400" w:type="dxa"/>
            <w:vAlign w:val="center"/>
          </w:tcPr>
          <w:p>
            <w:pPr>
              <w:spacing w:before="0" w:after="0" w:line="240" w:lineRule="auto"/>
              <w:jc w:val="left"/>
            </w:pPr>
            <w:r>
              <w:rPr>
                <w:rFonts w:ascii="Arial" w:hAnsi="Arial" w:cs="Arial"/>
                <w:sz w:val="15"/>
                <w:szCs w:val="15"/>
              </w:rPr>
              <w:t xml:space="preserve">Highest &amp; Best Use - As Improved</w:t>
            </w:r>
          </w:p>
        </w:tc>
        <w:tc>
          <w:tcPr>
            <w:tcW w:w="5960" w:type="dxa"/>
            <w:vAlign w:val="center"/>
          </w:tcPr>
          <w:p>
            <w:pPr>
              <w:spacing w:before="0" w:after="0" w:line="240" w:lineRule="auto"/>
              <w:jc w:val="left"/>
            </w:pPr>
            <w:r>
              <w:rPr>
                <w:rFonts w:ascii="Arial" w:hAnsi="Arial" w:cs="Arial"/>
                <w:sz w:val="15"/>
                <w:szCs w:val="15"/>
              </w:rPr>
              <w:t xml:space="preserve">Continued light industrial use</w:t>
            </w:r>
          </w:p>
        </w:tc>
      </w:tr>
    </w:tbl>
    <w:p w14:paraId="248218E6" w14:textId="0B43C7F5" w:rsidR="001F58A5" w:rsidRDefault="001F58A5" w:rsidP="003459B5">
      <w:pPr>
        <w:jc w:val="center"/>
        <w:rPr>
          <w:sz w:val="32"/>
          <w:szCs w:val="32"/>
        </w:rPr>
        <w:sectPr w:rsidR="001F58A5" w:rsidSect="00C456A4">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E02049A" w14:textId="77777777" w:rsidR="0028704D" w:rsidRDefault="00F65C66" w:rsidP="00F65C66">
      <w:pPr>
        <w:pStyle w:val="Heading1"/>
      </w:pPr>
      <w:bookmarkStart w:id="2" w:name="_Toc228359486"/>
      <w:r>
        <w:lastRenderedPageBreak/>
        <w:t>Scope of Work and Definitions</w:t>
      </w:r>
      <w:bookmarkEnd w:id="2"/>
      <w:r>
        <w:t xml:space="preserve"> </w:t>
      </w:r>
    </w:p>
    <w:p w14:paraId="1E7741A4" w14:textId="77777777" w:rsidR="00EE645C" w:rsidRDefault="00D93F7D" w:rsidP="00055E55">
      <w:r>
        <w:t xml:space="preserve">The scope of work best defines the needs of the intended user(s) of the report and dictates what factors an appraiser considered during the valuation process. The scope of work summarized below has been deemed acceptable, as it meets or exceeds both the expectations of parties who are regularly intended users for similar assignments and what an appraiser’s peers’ actions would be in performing the same or a similar assignment. As such, the scope of work summarized below is deemed appropriate for this assignment based on its parameters and will produce credible assignment results. Additional scope details are included in appropriate sections of this report. </w:t>
      </w:r>
    </w:p>
    <w:tbl>
      <w:tblPr>
        <w:tblW w:w="9660" w:type="dxa"/>
        <w:tblLook w:val="04A0" w:firstRow="1" w:lastRow="0" w:firstColumn="1" w:lastColumn="0" w:noHBand="0" w:noVBand="1"/>
      </w:tblPr>
      <w:tblGrid>
        <w:gridCol w:w="4911"/>
        <w:gridCol w:w="922"/>
        <w:gridCol w:w="931"/>
        <w:gridCol w:w="931"/>
        <w:gridCol w:w="931"/>
        <w:gridCol w:w="1034"/>
      </w:tblGrid>
      <w:tr w:rsidR="000E3E9E" w:rsidRPr="000E3E9E" w14:paraId="7AB94598" w14:textId="77777777" w:rsidTr="00677994">
        <w:trPr>
          <w:trHeight w:val="290"/>
        </w:trPr>
        <w:tc>
          <w:tcPr>
            <w:tcW w:w="9660" w:type="dxa"/>
            <w:gridSpan w:val="6"/>
            <w:tcBorders>
              <w:top w:val="nil"/>
              <w:left w:val="nil"/>
              <w:bottom w:val="nil"/>
              <w:right w:val="nil"/>
            </w:tcBorders>
            <w:shd w:val="clear" w:color="000000" w:fill="005710"/>
            <w:noWrap/>
            <w:vAlign w:val="bottom"/>
            <w:hideMark/>
          </w:tcPr>
          <w:p w14:paraId="601E052C" w14:textId="77777777" w:rsidR="000E3E9E" w:rsidRPr="000E3E9E" w:rsidRDefault="000E3E9E" w:rsidP="000E3E9E">
            <w:pPr>
              <w:spacing w:after="0" w:line="240" w:lineRule="auto"/>
              <w:jc w:val="center"/>
              <w:rPr>
                <w:rFonts w:ascii="Calibri" w:eastAsia="Times New Roman" w:hAnsi="Calibri" w:cs="Calibri"/>
                <w:b/>
                <w:bCs/>
                <w:color w:val="FFFFFF"/>
              </w:rPr>
            </w:pPr>
            <w:r>
              <w:rPr>
                <w:rFonts w:ascii="Calibri" w:eastAsia="Times New Roman" w:hAnsi="Calibri" w:cs="Calibri"/>
                <w:b/>
                <w:bCs/>
                <w:color w:val="FFFFFF"/>
              </w:rPr>
              <w:t>APPRAISAL INFORMATION</w:t>
            </w:r>
          </w:p>
        </w:tc>
      </w:tr>
      <w:tr w:rsidR="000E3E9E" w:rsidRPr="000E3E9E" w14:paraId="69F3D918" w14:textId="77777777" w:rsidTr="00677994">
        <w:trPr>
          <w:trHeight w:val="1015"/>
        </w:trPr>
        <w:tc>
          <w:tcPr>
            <w:tcW w:w="4911" w:type="dxa"/>
            <w:tcBorders>
              <w:top w:val="nil"/>
              <w:left w:val="nil"/>
              <w:bottom w:val="nil"/>
              <w:right w:val="nil"/>
            </w:tcBorders>
            <w:shd w:val="clear" w:color="000000" w:fill="FFFFFF"/>
            <w:noWrap/>
            <w:vAlign w:val="bottom"/>
            <w:hideMark/>
          </w:tcPr>
          <w:p w14:paraId="30AFC58A"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Intended User</w:t>
            </w:r>
          </w:p>
        </w:tc>
        <w:tc>
          <w:tcPr>
            <w:tcW w:w="4749" w:type="dxa"/>
            <w:gridSpan w:val="5"/>
            <w:tcBorders>
              <w:top w:val="nil"/>
              <w:left w:val="nil"/>
              <w:bottom w:val="nil"/>
              <w:right w:val="nil"/>
            </w:tcBorders>
            <w:shd w:val="clear" w:color="000000" w:fill="FFFFFF"/>
            <w:vAlign w:val="bottom"/>
            <w:hideMark/>
          </w:tcPr>
          <w:p w14:paraId="623A1992" w14:textId="48F93E0B" w:rsidR="000E3E9E" w:rsidRPr="000E3E9E" w:rsidRDefault="000E3E9E" w:rsidP="000E3E9E">
            <w:pPr>
              <w:spacing w:after="0" w:line="240" w:lineRule="auto"/>
              <w:rPr>
                <w:rFonts w:ascii="Calibri" w:eastAsia="Times New Roman" w:hAnsi="Calibri" w:cs="Calibri"/>
                <w:color w:val="000000"/>
              </w:rPr>
            </w:pPr>
            <w:r>
              <w:rPr>
                <w:rFonts w:ascii="Calibri" w:eastAsia="Times New Roman" w:hAnsi="Calibri" w:cs="Calibri"/>
                <w:color w:val="000000"/>
              </w:rPr>
              <w:t>Adams County Board of Equalization, Adams County Attorney's Office, Colorado Board of Assessment Appeals</w:t>
            </w:r>
          </w:p>
        </w:tc>
      </w:tr>
      <w:tr w:rsidR="000E3E9E" w:rsidRPr="000E3E9E" w14:paraId="5A759BEF" w14:textId="77777777" w:rsidTr="00677994">
        <w:trPr>
          <w:trHeight w:val="681"/>
        </w:trPr>
        <w:tc>
          <w:tcPr>
            <w:tcW w:w="4911" w:type="dxa"/>
            <w:tcBorders>
              <w:top w:val="nil"/>
              <w:left w:val="nil"/>
              <w:bottom w:val="nil"/>
              <w:right w:val="nil"/>
            </w:tcBorders>
            <w:shd w:val="clear" w:color="000000" w:fill="FFFFFF"/>
            <w:noWrap/>
            <w:vAlign w:val="bottom"/>
            <w:hideMark/>
          </w:tcPr>
          <w:p w14:paraId="4ADC4C81"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Intended Use</w:t>
            </w:r>
          </w:p>
        </w:tc>
        <w:tc>
          <w:tcPr>
            <w:tcW w:w="4749" w:type="dxa"/>
            <w:gridSpan w:val="5"/>
            <w:tcBorders>
              <w:top w:val="nil"/>
              <w:left w:val="nil"/>
              <w:bottom w:val="nil"/>
              <w:right w:val="nil"/>
            </w:tcBorders>
            <w:shd w:val="clear" w:color="000000" w:fill="FFFFFF"/>
            <w:vAlign w:val="bottom"/>
            <w:hideMark/>
          </w:tcPr>
          <w:p w14:paraId="006FC217" w14:textId="77777777" w:rsidR="000E3E9E" w:rsidRPr="000E3E9E" w:rsidRDefault="00327C8F" w:rsidP="000E3E9E">
            <w:pPr>
              <w:spacing w:after="0" w:line="240" w:lineRule="auto"/>
              <w:rPr>
                <w:rFonts w:ascii="Calibri" w:eastAsia="Times New Roman" w:hAnsi="Calibri" w:cs="Calibri"/>
                <w:color w:val="000000"/>
              </w:rPr>
            </w:pPr>
            <w:r>
              <w:rPr>
                <w:rFonts w:ascii="Calibri" w:eastAsia="Times New Roman" w:hAnsi="Calibri" w:cs="Calibri"/>
                <w:color w:val="000000"/>
              </w:rPr>
              <w:t>To determine the subject’s retrospective market value for Ad Valorem tax purposes.</w:t>
            </w:r>
          </w:p>
        </w:tc>
      </w:tr>
      <w:tr w:rsidR="000E3E9E" w:rsidRPr="000E3E9E" w14:paraId="0E1E4495" w14:textId="77777777" w:rsidTr="00677994">
        <w:trPr>
          <w:trHeight w:val="435"/>
        </w:trPr>
        <w:tc>
          <w:tcPr>
            <w:tcW w:w="4911" w:type="dxa"/>
            <w:tcBorders>
              <w:top w:val="nil"/>
              <w:left w:val="nil"/>
              <w:bottom w:val="nil"/>
              <w:right w:val="nil"/>
            </w:tcBorders>
            <w:shd w:val="clear" w:color="000000" w:fill="FFFFFF"/>
            <w:noWrap/>
            <w:vAlign w:val="bottom"/>
            <w:hideMark/>
          </w:tcPr>
          <w:p w14:paraId="6CEC06C6"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Values Concluded</w:t>
            </w:r>
          </w:p>
        </w:tc>
        <w:tc>
          <w:tcPr>
            <w:tcW w:w="4749" w:type="dxa"/>
            <w:gridSpan w:val="5"/>
            <w:tcBorders>
              <w:top w:val="nil"/>
              <w:left w:val="nil"/>
              <w:bottom w:val="nil"/>
              <w:right w:val="nil"/>
            </w:tcBorders>
            <w:shd w:val="clear" w:color="000000" w:fill="FFFFFF"/>
            <w:vAlign w:val="bottom"/>
            <w:hideMark/>
          </w:tcPr>
          <w:p w14:paraId="35CCD543" w14:textId="77777777" w:rsidR="000E3E9E" w:rsidRPr="000E3E9E" w:rsidRDefault="000E3E9E" w:rsidP="000E3E9E">
            <w:pPr>
              <w:spacing w:after="0" w:line="240" w:lineRule="auto"/>
              <w:jc w:val="left"/>
              <w:rPr>
                <w:rFonts w:ascii="Calibri" w:eastAsia="Times New Roman" w:hAnsi="Calibri" w:cs="Calibri"/>
                <w:color w:val="000000"/>
              </w:rPr>
            </w:pPr>
            <w:r>
              <w:rPr>
                <w:rFonts w:ascii="Calibri" w:eastAsia="Times New Roman" w:hAnsi="Calibri" w:cs="Calibri"/>
                <w:color w:val="000000"/>
              </w:rPr>
              <w:t xml:space="preserve">Retrospective Market Value </w:t>
            </w:r>
          </w:p>
        </w:tc>
      </w:tr>
      <w:tr w:rsidR="000E3E9E" w:rsidRPr="000E3E9E" w14:paraId="555803E0" w14:textId="77777777" w:rsidTr="00677994">
        <w:trPr>
          <w:trHeight w:val="565"/>
        </w:trPr>
        <w:tc>
          <w:tcPr>
            <w:tcW w:w="4911" w:type="dxa"/>
            <w:tcBorders>
              <w:top w:val="nil"/>
              <w:left w:val="nil"/>
              <w:bottom w:val="nil"/>
              <w:right w:val="nil"/>
            </w:tcBorders>
            <w:shd w:val="clear" w:color="000000" w:fill="FFFFFF"/>
            <w:noWrap/>
            <w:vAlign w:val="bottom"/>
            <w:hideMark/>
          </w:tcPr>
          <w:p w14:paraId="3A39C86B"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Property Rights Appraised / Premise</w:t>
            </w:r>
          </w:p>
        </w:tc>
        <w:tc>
          <w:tcPr>
            <w:tcW w:w="4749" w:type="dxa"/>
            <w:gridSpan w:val="5"/>
            <w:tcBorders>
              <w:top w:val="nil"/>
              <w:left w:val="nil"/>
              <w:bottom w:val="nil"/>
              <w:right w:val="nil"/>
            </w:tcBorders>
            <w:shd w:val="clear" w:color="000000" w:fill="FFFFFF"/>
            <w:vAlign w:val="bottom"/>
            <w:hideMark/>
          </w:tcPr>
          <w:p w14:paraId="55CA84DD" w14:textId="77777777" w:rsidR="00ED2812" w:rsidRDefault="00F54D76">
            <w:r>
              <w:t>Retrospective Market Value of the Fee Simple interest in the subject property, As Is as of June 30, 2024</w:t>
            </w:r>
          </w:p>
        </w:tc>
      </w:tr>
      <w:tr w:rsidR="000E3E9E" w:rsidRPr="000E3E9E" w14:paraId="653D2880" w14:textId="77777777" w:rsidTr="00677994">
        <w:trPr>
          <w:trHeight w:val="348"/>
        </w:trPr>
        <w:tc>
          <w:tcPr>
            <w:tcW w:w="4911" w:type="dxa"/>
            <w:tcBorders>
              <w:top w:val="nil"/>
              <w:left w:val="nil"/>
              <w:bottom w:val="nil"/>
              <w:right w:val="nil"/>
            </w:tcBorders>
            <w:shd w:val="clear" w:color="000000" w:fill="FFFFFF"/>
            <w:noWrap/>
            <w:vAlign w:val="bottom"/>
            <w:hideMark/>
          </w:tcPr>
          <w:p w14:paraId="2C99904D"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Premise Summary</w:t>
            </w:r>
          </w:p>
        </w:tc>
        <w:tc>
          <w:tcPr>
            <w:tcW w:w="4749" w:type="dxa"/>
            <w:gridSpan w:val="5"/>
            <w:tcBorders>
              <w:top w:val="nil"/>
              <w:left w:val="nil"/>
              <w:bottom w:val="nil"/>
              <w:right w:val="nil"/>
            </w:tcBorders>
            <w:shd w:val="clear" w:color="000000" w:fill="FFFFFF"/>
            <w:vAlign w:val="bottom"/>
            <w:hideMark/>
          </w:tcPr>
          <w:p w14:paraId="1A41B157" w14:textId="6888EFFD" w:rsidR="00ED2812" w:rsidRDefault="00F54D76">
            <w:r>
              <w:t>Retrospective Market Value As Is - June 30, 2024</w:t>
            </w:r>
          </w:p>
        </w:tc>
      </w:tr>
      <w:tr w:rsidR="000E3E9E" w:rsidRPr="000E3E9E" w14:paraId="0695086A" w14:textId="77777777" w:rsidTr="00677994">
        <w:trPr>
          <w:trHeight w:val="290"/>
        </w:trPr>
        <w:tc>
          <w:tcPr>
            <w:tcW w:w="4911" w:type="dxa"/>
            <w:tcBorders>
              <w:top w:val="nil"/>
              <w:left w:val="nil"/>
              <w:bottom w:val="nil"/>
              <w:right w:val="nil"/>
            </w:tcBorders>
            <w:shd w:val="clear" w:color="000000" w:fill="FFFFFF"/>
            <w:noWrap/>
            <w:vAlign w:val="bottom"/>
          </w:tcPr>
          <w:p w14:paraId="7647A4CB" w14:textId="77777777" w:rsidR="000E3E9E" w:rsidRPr="000E3E9E" w:rsidRDefault="000E3E9E" w:rsidP="000E3E9E">
            <w:pPr>
              <w:spacing w:after="0" w:line="240" w:lineRule="auto"/>
              <w:jc w:val="left"/>
              <w:rPr>
                <w:rFonts w:ascii="Calibri" w:eastAsia="Times New Roman" w:hAnsi="Calibri" w:cs="Calibri"/>
                <w:b/>
                <w:bCs/>
                <w:color w:val="000000"/>
              </w:rPr>
            </w:pPr>
          </w:p>
        </w:tc>
        <w:tc>
          <w:tcPr>
            <w:tcW w:w="4749" w:type="dxa"/>
            <w:gridSpan w:val="5"/>
            <w:tcBorders>
              <w:top w:val="nil"/>
              <w:left w:val="nil"/>
              <w:bottom w:val="nil"/>
              <w:right w:val="nil"/>
            </w:tcBorders>
            <w:shd w:val="clear" w:color="000000" w:fill="FFFFFF"/>
            <w:vAlign w:val="bottom"/>
          </w:tcPr>
          <w:p w14:paraId="3589E7F9" w14:textId="77777777" w:rsidR="000E3E9E" w:rsidRPr="00B904D6" w:rsidRDefault="000E3E9E" w:rsidP="000E3E9E">
            <w:pPr>
              <w:spacing w:after="0" w:line="240" w:lineRule="auto"/>
              <w:jc w:val="left"/>
              <w:rPr>
                <w:rFonts w:ascii="Calibri" w:eastAsia="Times New Roman" w:hAnsi="Calibri" w:cs="Calibri"/>
                <w:color w:val="000000"/>
              </w:rPr>
            </w:pPr>
          </w:p>
        </w:tc>
      </w:tr>
      <w:tr w:rsidR="000E3E9E" w:rsidRPr="000E3E9E" w14:paraId="56182335" w14:textId="77777777" w:rsidTr="00677994">
        <w:trPr>
          <w:trHeight w:val="290"/>
        </w:trPr>
        <w:tc>
          <w:tcPr>
            <w:tcW w:w="4911" w:type="dxa"/>
            <w:tcBorders>
              <w:top w:val="nil"/>
              <w:left w:val="nil"/>
              <w:bottom w:val="nil"/>
              <w:right w:val="nil"/>
            </w:tcBorders>
            <w:shd w:val="clear" w:color="000000" w:fill="FFFFFF"/>
            <w:noWrap/>
            <w:vAlign w:val="bottom"/>
          </w:tcPr>
          <w:p w14:paraId="1E706C87" w14:textId="0311DF0B" w:rsidR="000E3E9E" w:rsidRPr="000E3E9E" w:rsidRDefault="000E3E9E" w:rsidP="000E3E9E">
            <w:pPr>
              <w:spacing w:after="0" w:line="240" w:lineRule="auto"/>
              <w:jc w:val="left"/>
              <w:rPr>
                <w:rFonts w:ascii="Calibri" w:eastAsia="Times New Roman" w:hAnsi="Calibri" w:cs="Calibri"/>
                <w:b/>
                <w:bCs/>
                <w:color w:val="000000"/>
              </w:rPr>
            </w:pPr>
          </w:p>
        </w:tc>
        <w:tc>
          <w:tcPr>
            <w:tcW w:w="4749" w:type="dxa"/>
            <w:gridSpan w:val="5"/>
            <w:tcBorders>
              <w:top w:val="nil"/>
              <w:left w:val="nil"/>
              <w:bottom w:val="nil"/>
              <w:right w:val="nil"/>
            </w:tcBorders>
            <w:shd w:val="clear" w:color="000000" w:fill="FFFFFF"/>
            <w:vAlign w:val="bottom"/>
            <w:hideMark/>
          </w:tcPr>
          <w:p w14:paraId="5A003C5A" w14:textId="69C3F443" w:rsidR="00ED2812" w:rsidRDefault="00ED2812"/>
        </w:tc>
      </w:tr>
      <w:tr w:rsidR="000E3E9E" w:rsidRPr="000E3E9E" w14:paraId="603AC240" w14:textId="77777777" w:rsidTr="00677994">
        <w:trPr>
          <w:trHeight w:val="290"/>
        </w:trPr>
        <w:tc>
          <w:tcPr>
            <w:tcW w:w="4911" w:type="dxa"/>
            <w:tcBorders>
              <w:top w:val="nil"/>
              <w:left w:val="nil"/>
              <w:bottom w:val="nil"/>
              <w:right w:val="nil"/>
            </w:tcBorders>
            <w:shd w:val="clear" w:color="000000" w:fill="FFFFFF"/>
            <w:noWrap/>
            <w:vAlign w:val="bottom"/>
            <w:hideMark/>
          </w:tcPr>
          <w:p w14:paraId="770B9246"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Marketing Time</w:t>
            </w:r>
          </w:p>
        </w:tc>
        <w:tc>
          <w:tcPr>
            <w:tcW w:w="4749" w:type="dxa"/>
            <w:gridSpan w:val="5"/>
            <w:tcBorders>
              <w:top w:val="nil"/>
              <w:left w:val="nil"/>
              <w:bottom w:val="nil"/>
              <w:right w:val="nil"/>
            </w:tcBorders>
            <w:shd w:val="clear" w:color="000000" w:fill="FFFFFF"/>
            <w:vAlign w:val="bottom"/>
            <w:hideMark/>
          </w:tcPr>
          <w:p w14:paraId="11F78876" w14:textId="77777777" w:rsidR="000E3E9E" w:rsidRPr="00B904D6" w:rsidRDefault="000E3E9E" w:rsidP="000E3E9E">
            <w:pPr>
              <w:spacing w:after="0" w:line="240" w:lineRule="auto"/>
              <w:jc w:val="left"/>
              <w:rPr>
                <w:rFonts w:ascii="Calibri" w:eastAsia="Times New Roman" w:hAnsi="Calibri" w:cs="Calibri"/>
                <w:color w:val="000000"/>
              </w:rPr>
            </w:pPr>
            <w:r>
              <w:rPr>
                <w:rFonts w:ascii="Calibri" w:eastAsia="Times New Roman" w:hAnsi="Calibri" w:cs="Calibri"/>
                <w:color w:val="000000"/>
              </w:rPr>
              <w:t>6 to 12 months</w:t>
            </w:r>
          </w:p>
        </w:tc>
      </w:tr>
      <w:tr w:rsidR="000E3E9E" w:rsidRPr="000E3E9E" w14:paraId="27BE196C" w14:textId="77777777" w:rsidTr="00677994">
        <w:trPr>
          <w:trHeight w:val="290"/>
        </w:trPr>
        <w:tc>
          <w:tcPr>
            <w:tcW w:w="4911" w:type="dxa"/>
            <w:tcBorders>
              <w:top w:val="nil"/>
              <w:left w:val="nil"/>
              <w:bottom w:val="nil"/>
              <w:right w:val="nil"/>
            </w:tcBorders>
            <w:shd w:val="clear" w:color="000000" w:fill="FFFFFF"/>
            <w:noWrap/>
            <w:vAlign w:val="bottom"/>
            <w:hideMark/>
          </w:tcPr>
          <w:p w14:paraId="493AF19C"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Exposure Time</w:t>
            </w:r>
          </w:p>
        </w:tc>
        <w:tc>
          <w:tcPr>
            <w:tcW w:w="4749" w:type="dxa"/>
            <w:gridSpan w:val="5"/>
            <w:tcBorders>
              <w:top w:val="nil"/>
              <w:left w:val="nil"/>
              <w:bottom w:val="nil"/>
              <w:right w:val="nil"/>
            </w:tcBorders>
            <w:shd w:val="clear" w:color="000000" w:fill="FFFFFF"/>
            <w:vAlign w:val="bottom"/>
            <w:hideMark/>
          </w:tcPr>
          <w:p w14:paraId="7553B7C6" w14:textId="77777777" w:rsidR="000E3E9E" w:rsidRPr="00B904D6" w:rsidRDefault="000E3E9E" w:rsidP="000E3E9E">
            <w:pPr>
              <w:spacing w:after="0" w:line="240" w:lineRule="auto"/>
              <w:jc w:val="left"/>
              <w:rPr>
                <w:rFonts w:ascii="Calibri" w:eastAsia="Times New Roman" w:hAnsi="Calibri" w:cs="Calibri"/>
                <w:color w:val="000000"/>
              </w:rPr>
            </w:pPr>
            <w:r>
              <w:rPr>
                <w:rFonts w:ascii="Calibri" w:eastAsia="Times New Roman" w:hAnsi="Calibri" w:cs="Calibri"/>
                <w:color w:val="000000"/>
              </w:rPr>
              <w:t>6 to 12 months</w:t>
            </w:r>
          </w:p>
        </w:tc>
      </w:tr>
      <w:tr w:rsidR="000E3E9E" w:rsidRPr="000E3E9E" w14:paraId="28EF3A29" w14:textId="77777777" w:rsidTr="00677994">
        <w:trPr>
          <w:trHeight w:val="290"/>
        </w:trPr>
        <w:tc>
          <w:tcPr>
            <w:tcW w:w="4911" w:type="dxa"/>
            <w:tcBorders>
              <w:top w:val="nil"/>
              <w:left w:val="nil"/>
              <w:bottom w:val="nil"/>
              <w:right w:val="nil"/>
            </w:tcBorders>
            <w:shd w:val="clear" w:color="000000" w:fill="FFFFFF"/>
            <w:noWrap/>
            <w:vAlign w:val="bottom"/>
            <w:hideMark/>
          </w:tcPr>
          <w:p w14:paraId="42E20CB1"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Owner of Record</w:t>
            </w:r>
          </w:p>
        </w:tc>
        <w:tc>
          <w:tcPr>
            <w:tcW w:w="4749" w:type="dxa"/>
            <w:gridSpan w:val="5"/>
            <w:tcBorders>
              <w:top w:val="nil"/>
              <w:left w:val="nil"/>
              <w:bottom w:val="nil"/>
              <w:right w:val="nil"/>
            </w:tcBorders>
            <w:shd w:val="clear" w:color="000000" w:fill="FFFFFF"/>
            <w:vAlign w:val="bottom"/>
            <w:hideMark/>
          </w:tcPr>
          <w:p w14:paraId="7370C9C3" w14:textId="5F9235F8" w:rsidR="00BE5D02" w:rsidRDefault="00CE345A">
            <w:r>
              <w:t xml:space="preserve">Grand Vincent Holdings LLC (50% UND INT) and Tom Cook &amp; Associates LLC (50% UND INT)</w:t>
            </w:r>
          </w:p>
          <w:p w14:paraId="750DAE93" w14:textId="0CECCC93" w:rsidR="00ED2812" w:rsidRDefault="00ED2812"/>
        </w:tc>
      </w:tr>
      <w:tr w:rsidR="000E3E9E" w:rsidRPr="000E3E9E" w14:paraId="6C4B8830" w14:textId="77777777" w:rsidTr="00677994">
        <w:trPr>
          <w:trHeight w:val="77"/>
        </w:trPr>
        <w:tc>
          <w:tcPr>
            <w:tcW w:w="4911" w:type="dxa"/>
            <w:tcBorders>
              <w:top w:val="nil"/>
              <w:left w:val="nil"/>
              <w:bottom w:val="nil"/>
              <w:right w:val="nil"/>
            </w:tcBorders>
            <w:shd w:val="clear" w:color="000000" w:fill="FFFFFF"/>
            <w:noWrap/>
            <w:vAlign w:val="bottom"/>
            <w:hideMark/>
          </w:tcPr>
          <w:p w14:paraId="7C96FB00" w14:textId="77777777" w:rsidR="000E3E9E" w:rsidRPr="000E3E9E" w:rsidRDefault="000E3E9E" w:rsidP="000E3E9E">
            <w:pPr>
              <w:spacing w:after="0" w:line="240" w:lineRule="auto"/>
              <w:jc w:val="left"/>
              <w:rPr>
                <w:rFonts w:ascii="Calibri" w:eastAsia="Times New Roman" w:hAnsi="Calibri" w:cs="Calibri"/>
                <w:b/>
                <w:bCs/>
                <w:color w:val="000000"/>
              </w:rPr>
            </w:pPr>
          </w:p>
        </w:tc>
        <w:tc>
          <w:tcPr>
            <w:tcW w:w="4749" w:type="dxa"/>
            <w:gridSpan w:val="5"/>
            <w:tcBorders>
              <w:top w:val="nil"/>
              <w:left w:val="nil"/>
              <w:bottom w:val="nil"/>
              <w:right w:val="nil"/>
            </w:tcBorders>
            <w:shd w:val="clear" w:color="000000" w:fill="FFFFFF"/>
            <w:vAlign w:val="bottom"/>
            <w:hideMark/>
          </w:tcPr>
          <w:p w14:paraId="47283379" w14:textId="77777777" w:rsidR="000E3E9E" w:rsidRPr="00B904D6" w:rsidRDefault="000E3E9E" w:rsidP="000E3E9E">
            <w:pPr>
              <w:spacing w:after="0" w:line="240" w:lineRule="auto"/>
              <w:jc w:val="left"/>
              <w:rPr>
                <w:rFonts w:ascii="Calibri" w:eastAsia="Times New Roman" w:hAnsi="Calibri" w:cs="Calibri"/>
                <w:color w:val="000000"/>
              </w:rPr>
            </w:pPr>
          </w:p>
        </w:tc>
      </w:tr>
      <w:tr w:rsidR="000E3E9E" w:rsidRPr="000E3E9E" w14:paraId="3D7677ED" w14:textId="77777777" w:rsidTr="00677994">
        <w:trPr>
          <w:trHeight w:val="290"/>
        </w:trPr>
        <w:tc>
          <w:tcPr>
            <w:tcW w:w="4911" w:type="dxa"/>
            <w:tcBorders>
              <w:top w:val="nil"/>
              <w:left w:val="nil"/>
              <w:bottom w:val="nil"/>
              <w:right w:val="nil"/>
            </w:tcBorders>
            <w:shd w:val="clear" w:color="000000" w:fill="FFFFFF"/>
            <w:noWrap/>
            <w:vAlign w:val="bottom"/>
            <w:hideMark/>
          </w:tcPr>
          <w:p w14:paraId="28B49479" w14:textId="22EF8C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Most Probable Purchaser</w:t>
            </w:r>
          </w:p>
        </w:tc>
        <w:tc>
          <w:tcPr>
            <w:tcW w:w="4749" w:type="dxa"/>
            <w:gridSpan w:val="5"/>
            <w:tcBorders>
              <w:top w:val="nil"/>
              <w:left w:val="nil"/>
              <w:bottom w:val="nil"/>
              <w:right w:val="nil"/>
            </w:tcBorders>
            <w:shd w:val="clear" w:color="000000" w:fill="FFFFFF"/>
            <w:vAlign w:val="bottom"/>
            <w:hideMark/>
          </w:tcPr>
          <w:p w14:paraId="1C3A5156" w14:textId="77777777" w:rsidR="00BE5D02" w:rsidRDefault="00BE5D02"/>
          <w:p w14:paraId="32B0A353" w14:textId="55F9EEE6" w:rsidR="00ED2812" w:rsidRDefault="00307D60">
            <w:r>
              <w:t>Owner-User</w:t>
            </w:r>
          </w:p>
        </w:tc>
      </w:tr>
      <w:tr w:rsidR="000E3E9E" w:rsidRPr="000E3E9E" w14:paraId="290E688C" w14:textId="77777777" w:rsidTr="00677994">
        <w:trPr>
          <w:trHeight w:val="290"/>
        </w:trPr>
        <w:tc>
          <w:tcPr>
            <w:tcW w:w="4911" w:type="dxa"/>
            <w:tcBorders>
              <w:top w:val="nil"/>
              <w:left w:val="nil"/>
              <w:bottom w:val="nil"/>
              <w:right w:val="nil"/>
            </w:tcBorders>
            <w:shd w:val="clear" w:color="000000" w:fill="FFFFFF"/>
            <w:noWrap/>
            <w:vAlign w:val="bottom"/>
            <w:hideMark/>
          </w:tcPr>
          <w:p w14:paraId="04E39199" w14:textId="77777777" w:rsidR="000E3E9E" w:rsidRPr="000E3E9E" w:rsidRDefault="000E3E9E" w:rsidP="000E3E9E">
            <w:pPr>
              <w:spacing w:after="0" w:line="240" w:lineRule="auto"/>
              <w:jc w:val="left"/>
              <w:rPr>
                <w:rFonts w:ascii="Calibri" w:eastAsia="Times New Roman" w:hAnsi="Calibri" w:cs="Calibri"/>
                <w:b/>
                <w:bCs/>
                <w:color w:val="000000"/>
              </w:rPr>
            </w:pPr>
          </w:p>
        </w:tc>
        <w:tc>
          <w:tcPr>
            <w:tcW w:w="922" w:type="dxa"/>
            <w:tcBorders>
              <w:top w:val="nil"/>
              <w:left w:val="nil"/>
              <w:bottom w:val="nil"/>
              <w:right w:val="nil"/>
            </w:tcBorders>
            <w:shd w:val="clear" w:color="000000" w:fill="FFFFFF"/>
            <w:vAlign w:val="bottom"/>
            <w:hideMark/>
          </w:tcPr>
          <w:p w14:paraId="29554D89" w14:textId="77777777" w:rsidR="000E3E9E" w:rsidRPr="000E3E9E" w:rsidRDefault="000E3E9E" w:rsidP="000E3E9E">
            <w:pPr>
              <w:spacing w:after="0" w:line="240" w:lineRule="auto"/>
              <w:rPr>
                <w:rFonts w:ascii="Calibri" w:eastAsia="Times New Roman" w:hAnsi="Calibri" w:cs="Calibri"/>
                <w:color w:val="000000"/>
              </w:rPr>
            </w:pPr>
            <w:r>
              <w:rPr>
                <w:rFonts w:ascii="Calibri" w:eastAsia="Times New Roman" w:hAnsi="Calibri" w:cs="Calibri"/>
                <w:color w:val="000000"/>
              </w:rPr>
              <w:t> </w:t>
            </w:r>
          </w:p>
        </w:tc>
        <w:tc>
          <w:tcPr>
            <w:tcW w:w="931" w:type="dxa"/>
            <w:tcBorders>
              <w:top w:val="nil"/>
              <w:left w:val="nil"/>
              <w:bottom w:val="nil"/>
              <w:right w:val="nil"/>
            </w:tcBorders>
            <w:shd w:val="clear" w:color="000000" w:fill="FFFFFF"/>
            <w:vAlign w:val="bottom"/>
            <w:hideMark/>
          </w:tcPr>
          <w:p w14:paraId="488C4807" w14:textId="77777777" w:rsidR="000E3E9E" w:rsidRPr="000E3E9E" w:rsidRDefault="000E3E9E" w:rsidP="000E3E9E">
            <w:pPr>
              <w:spacing w:after="0" w:line="240" w:lineRule="auto"/>
              <w:rPr>
                <w:rFonts w:ascii="Arial" w:eastAsia="Times New Roman" w:hAnsi="Arial" w:cs="Arial"/>
                <w:color w:val="000000"/>
              </w:rPr>
            </w:pPr>
            <w:r>
              <w:rPr>
                <w:rFonts w:ascii="Arial" w:eastAsia="Times New Roman" w:hAnsi="Arial" w:cs="Arial"/>
                <w:color w:val="000000"/>
              </w:rPr>
              <w:t> </w:t>
            </w:r>
          </w:p>
        </w:tc>
        <w:tc>
          <w:tcPr>
            <w:tcW w:w="931" w:type="dxa"/>
            <w:tcBorders>
              <w:top w:val="nil"/>
              <w:left w:val="nil"/>
              <w:bottom w:val="nil"/>
              <w:right w:val="nil"/>
            </w:tcBorders>
            <w:shd w:val="clear" w:color="000000" w:fill="FFFFFF"/>
            <w:vAlign w:val="bottom"/>
            <w:hideMark/>
          </w:tcPr>
          <w:p w14:paraId="48B4046B" w14:textId="77777777" w:rsidR="000E3E9E" w:rsidRPr="000E3E9E" w:rsidRDefault="000E3E9E" w:rsidP="000E3E9E">
            <w:pPr>
              <w:spacing w:after="0" w:line="240" w:lineRule="auto"/>
              <w:rPr>
                <w:rFonts w:ascii="Arial" w:eastAsia="Times New Roman" w:hAnsi="Arial" w:cs="Arial"/>
                <w:color w:val="000000"/>
              </w:rPr>
            </w:pPr>
            <w:r>
              <w:rPr>
                <w:rFonts w:ascii="Arial" w:eastAsia="Times New Roman" w:hAnsi="Arial" w:cs="Arial"/>
                <w:color w:val="000000"/>
              </w:rPr>
              <w:t> </w:t>
            </w:r>
          </w:p>
        </w:tc>
        <w:tc>
          <w:tcPr>
            <w:tcW w:w="931" w:type="dxa"/>
            <w:tcBorders>
              <w:top w:val="nil"/>
              <w:left w:val="nil"/>
              <w:bottom w:val="nil"/>
              <w:right w:val="nil"/>
            </w:tcBorders>
            <w:shd w:val="clear" w:color="000000" w:fill="FFFFFF"/>
            <w:vAlign w:val="bottom"/>
            <w:hideMark/>
          </w:tcPr>
          <w:p w14:paraId="3D1A4879" w14:textId="77777777" w:rsidR="000E3E9E" w:rsidRPr="000E3E9E" w:rsidRDefault="000E3E9E" w:rsidP="000E3E9E">
            <w:pPr>
              <w:spacing w:after="0" w:line="240" w:lineRule="auto"/>
              <w:rPr>
                <w:rFonts w:ascii="Arial" w:eastAsia="Times New Roman" w:hAnsi="Arial" w:cs="Arial"/>
                <w:color w:val="000000"/>
              </w:rPr>
            </w:pPr>
            <w:r>
              <w:rPr>
                <w:rFonts w:ascii="Arial" w:eastAsia="Times New Roman" w:hAnsi="Arial" w:cs="Arial"/>
                <w:color w:val="000000"/>
              </w:rPr>
              <w:t> </w:t>
            </w:r>
          </w:p>
        </w:tc>
        <w:tc>
          <w:tcPr>
            <w:tcW w:w="1031" w:type="dxa"/>
            <w:tcBorders>
              <w:top w:val="nil"/>
              <w:left w:val="nil"/>
              <w:bottom w:val="nil"/>
              <w:right w:val="nil"/>
            </w:tcBorders>
            <w:shd w:val="clear" w:color="000000" w:fill="FFFFFF"/>
            <w:vAlign w:val="bottom"/>
            <w:hideMark/>
          </w:tcPr>
          <w:p w14:paraId="345B2E5D" w14:textId="77777777" w:rsidR="000E3E9E" w:rsidRPr="000E3E9E" w:rsidRDefault="000E3E9E" w:rsidP="000E3E9E">
            <w:pPr>
              <w:spacing w:after="0" w:line="240" w:lineRule="auto"/>
              <w:rPr>
                <w:rFonts w:ascii="Arial" w:eastAsia="Times New Roman" w:hAnsi="Arial" w:cs="Arial"/>
                <w:color w:val="000000"/>
              </w:rPr>
            </w:pPr>
            <w:r>
              <w:rPr>
                <w:rFonts w:ascii="Arial" w:eastAsia="Times New Roman" w:hAnsi="Arial" w:cs="Arial"/>
                <w:color w:val="000000"/>
              </w:rPr>
              <w:t> </w:t>
            </w:r>
          </w:p>
        </w:tc>
      </w:tr>
      <w:tr w:rsidR="000E3E9E" w:rsidRPr="000E3E9E" w14:paraId="303A3B46" w14:textId="77777777" w:rsidTr="00677994">
        <w:trPr>
          <w:trHeight w:val="290"/>
        </w:trPr>
        <w:tc>
          <w:tcPr>
            <w:tcW w:w="4911" w:type="dxa"/>
            <w:tcBorders>
              <w:top w:val="nil"/>
              <w:left w:val="nil"/>
              <w:bottom w:val="nil"/>
              <w:right w:val="nil"/>
            </w:tcBorders>
            <w:shd w:val="clear" w:color="000000" w:fill="FFFFFF"/>
            <w:noWrap/>
            <w:vAlign w:val="bottom"/>
            <w:hideMark/>
          </w:tcPr>
          <w:p w14:paraId="63AA9A55" w14:textId="77777777" w:rsidR="00BE5D02" w:rsidRDefault="00046B66"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Highest and Best Use If Vacant</w:t>
            </w:r>
          </w:p>
          <w:p w14:paraId="28CD96A2" w14:textId="372E7FFB" w:rsidR="00BE5D02" w:rsidRPr="000E3E9E" w:rsidRDefault="00BE5D02" w:rsidP="000E3E9E">
            <w:pPr>
              <w:spacing w:after="0" w:line="240" w:lineRule="auto"/>
              <w:jc w:val="left"/>
              <w:rPr>
                <w:rFonts w:ascii="Calibri" w:eastAsia="Times New Roman" w:hAnsi="Calibri" w:cs="Calibri"/>
                <w:b/>
                <w:bCs/>
                <w:color w:val="000000"/>
              </w:rPr>
            </w:pPr>
          </w:p>
        </w:tc>
        <w:tc>
          <w:tcPr>
            <w:tcW w:w="4749" w:type="dxa"/>
            <w:gridSpan w:val="5"/>
            <w:tcBorders>
              <w:top w:val="nil"/>
              <w:left w:val="nil"/>
              <w:bottom w:val="nil"/>
              <w:right w:val="nil"/>
            </w:tcBorders>
            <w:shd w:val="clear" w:color="000000" w:fill="FFFFFF"/>
            <w:vAlign w:val="bottom"/>
            <w:hideMark/>
          </w:tcPr>
          <w:p w14:paraId="72187B2C" w14:textId="3B6598DA" w:rsidR="00ED2812" w:rsidRDefault="00CE345A">
            <w:r>
              <w:t>Development of a light industrial use</w:t>
            </w:r>
          </w:p>
        </w:tc>
      </w:tr>
      <w:tr w:rsidR="000E3E9E" w:rsidRPr="000E3E9E" w14:paraId="2F184F4D" w14:textId="77777777" w:rsidTr="00677994">
        <w:trPr>
          <w:trHeight w:val="290"/>
        </w:trPr>
        <w:tc>
          <w:tcPr>
            <w:tcW w:w="4911" w:type="dxa"/>
            <w:tcBorders>
              <w:top w:val="nil"/>
              <w:left w:val="nil"/>
              <w:bottom w:val="single" w:sz="4" w:space="0" w:color="auto"/>
              <w:right w:val="nil"/>
            </w:tcBorders>
            <w:shd w:val="clear" w:color="000000" w:fill="FFFFFF"/>
            <w:noWrap/>
            <w:vAlign w:val="bottom"/>
            <w:hideMark/>
          </w:tcPr>
          <w:p w14:paraId="4500C2AC" w14:textId="77777777" w:rsidR="000E3E9E" w:rsidRPr="000E3E9E" w:rsidRDefault="000E3E9E" w:rsidP="000E3E9E">
            <w:pPr>
              <w:spacing w:after="0" w:line="240" w:lineRule="auto"/>
              <w:jc w:val="left"/>
              <w:rPr>
                <w:rFonts w:ascii="Calibri" w:eastAsia="Times New Roman" w:hAnsi="Calibri" w:cs="Calibri"/>
                <w:b/>
                <w:bCs/>
                <w:color w:val="000000"/>
              </w:rPr>
            </w:pPr>
            <w:r>
              <w:rPr>
                <w:rFonts w:ascii="Calibri" w:eastAsia="Times New Roman" w:hAnsi="Calibri" w:cs="Calibri"/>
                <w:b/>
                <w:bCs/>
                <w:color w:val="000000"/>
              </w:rPr>
              <w:t>As Improved</w:t>
            </w:r>
          </w:p>
        </w:tc>
        <w:tc>
          <w:tcPr>
            <w:tcW w:w="4749" w:type="dxa"/>
            <w:gridSpan w:val="5"/>
            <w:tcBorders>
              <w:top w:val="nil"/>
              <w:left w:val="nil"/>
              <w:bottom w:val="single" w:sz="4" w:space="0" w:color="auto"/>
              <w:right w:val="nil"/>
            </w:tcBorders>
            <w:shd w:val="clear" w:color="000000" w:fill="FFFFFF"/>
            <w:vAlign w:val="bottom"/>
            <w:hideMark/>
          </w:tcPr>
          <w:p w14:paraId="49391CF2" w14:textId="346168B5" w:rsidR="00ED2812" w:rsidRDefault="00CE345A">
            <w:r>
              <w:t xml:space="preserve">Continued light industrial use. </w:t>
            </w:r>
          </w:p>
        </w:tc>
      </w:tr>
    </w:tbl>
    <w:p w14:paraId="52A6F937" w14:textId="77777777" w:rsidR="00055E55" w:rsidRDefault="00055E55" w:rsidP="00375409">
      <w:pPr>
        <w:jc w:val="center"/>
      </w:pPr>
    </w:p>
    <w:p w14:paraId="0CDD2CDC" w14:textId="77777777" w:rsidR="001F58A5" w:rsidRDefault="001F58A5" w:rsidP="00375409">
      <w:pPr>
        <w:jc w:val="center"/>
      </w:pPr>
    </w:p>
    <w:p w14:paraId="095A9BF9" w14:textId="77777777" w:rsidR="00CE345A" w:rsidRDefault="00CE345A" w:rsidP="00375409">
      <w:pPr>
        <w:jc w:val="center"/>
      </w:pPr>
    </w:p>
    <w:tbl>
      <w:tblPr>
        <w:tblpPr w:leftFromText="180" w:rightFromText="180" w:vertAnchor="text" w:horzAnchor="margin" w:tblpY="198"/>
        <w:tblW w:w="9794" w:type="dxa"/>
        <w:tblLook w:val="04A0" w:firstRow="1" w:lastRow="0" w:firstColumn="1" w:lastColumn="0" w:noHBand="0" w:noVBand="1"/>
      </w:tblPr>
      <w:tblGrid>
        <w:gridCol w:w="108"/>
        <w:gridCol w:w="9450"/>
        <w:gridCol w:w="236"/>
      </w:tblGrid>
      <w:tr w:rsidR="00474CA6" w:rsidRPr="00474CA6" w14:paraId="5CBF4FC1" w14:textId="77777777" w:rsidTr="00FE1FD5">
        <w:trPr>
          <w:gridBefore w:val="1"/>
          <w:gridAfter w:val="1"/>
          <w:wBefore w:w="108" w:type="dxa"/>
          <w:wAfter w:w="236" w:type="dxa"/>
          <w:trHeight w:val="300"/>
        </w:trPr>
        <w:tc>
          <w:tcPr>
            <w:tcW w:w="9450" w:type="dxa"/>
            <w:tcBorders>
              <w:top w:val="nil"/>
              <w:left w:val="nil"/>
              <w:bottom w:val="nil"/>
              <w:right w:val="nil"/>
            </w:tcBorders>
            <w:shd w:val="clear" w:color="000000" w:fill="005710"/>
            <w:noWrap/>
            <w:vAlign w:val="center"/>
            <w:hideMark/>
          </w:tcPr>
          <w:p w14:paraId="73F36D91" w14:textId="6C76A0D5" w:rsidR="00474CA6" w:rsidRPr="00267B94" w:rsidRDefault="00EE5E1B" w:rsidP="00474CA6">
            <w:pPr>
              <w:spacing w:after="0" w:line="240" w:lineRule="auto"/>
              <w:jc w:val="center"/>
              <w:rPr>
                <w:rFonts w:ascii="Calibri" w:eastAsia="Times New Roman" w:hAnsi="Calibri" w:cs="Calibri"/>
                <w:b/>
                <w:bCs/>
                <w:color w:val="FFFFFF"/>
              </w:rPr>
            </w:pPr>
            <w:r>
              <w:lastRenderedPageBreak/>
              <w:br w:type="page"/>
            </w:r>
            <w:r>
              <w:rPr>
                <w:rFonts w:ascii="Calibri" w:eastAsia="Times New Roman" w:hAnsi="Calibri" w:cs="Calibri"/>
                <w:b/>
                <w:bCs/>
                <w:color w:val="FFFFFF"/>
              </w:rPr>
              <w:t>PURPOSE OF THE APPRAISAL</w:t>
            </w:r>
          </w:p>
        </w:tc>
      </w:tr>
      <w:tr w:rsidR="00FE1FD5" w:rsidRPr="00474CA6" w14:paraId="31B8C58C" w14:textId="77777777" w:rsidTr="00FE1FD5">
        <w:trPr>
          <w:gridBefore w:val="1"/>
          <w:gridAfter w:val="1"/>
          <w:wBefore w:w="108" w:type="dxa"/>
          <w:wAfter w:w="236" w:type="dxa"/>
          <w:trHeight w:val="6840"/>
        </w:trPr>
        <w:tc>
          <w:tcPr>
            <w:tcW w:w="9450" w:type="dxa"/>
            <w:vMerge w:val="restart"/>
            <w:tcBorders>
              <w:top w:val="nil"/>
              <w:left w:val="nil"/>
              <w:bottom w:val="single" w:sz="4" w:space="0" w:color="000000"/>
              <w:right w:val="nil"/>
            </w:tcBorders>
            <w:shd w:val="clear" w:color="000000" w:fill="FFFFFF"/>
            <w:hideMark/>
          </w:tcPr>
          <w:p w14:paraId="32639786" w14:textId="3DEC6DDC" w:rsidR="00ED2812" w:rsidRDefault="00F54D76" w:rsidP="00177A94">
            <w:pPr>
              <w:jc w:val="left"/>
            </w:pPr>
            <w:r>
              <w:t>The purpose of this appraisal is to estimate the retrospective value of the Fee Simple estate as of June 30, 2024.  The physical and legal status of the subject property is considered as of the assessment date, January 1, 2026.</w:t>
              <w:br/>
              <w:t>C.R.S. § 39-1-103(5)(a) the approaches to be performed when determining actual value:</w:t>
              <w:br/>
              <w:t>“...The actual value of such property, other than residential real property…, shall be that value determined by appropriate consideration of the cost approach, the market approach, and the income approach to appraisal."</w:t>
              <w:br/>
              <w:t>C.R.S. § 39-1-104(10.2)(d) defines the data period to be considered:</w:t>
              <w:br/>
              <w:t>“...the actual value of taxable real property as ascertained by the applicable factors enumerated in section 39-1-103(5) for the one and-one-half year period immediately prior to July 1 immediately preceding the assessment date...if comparable valuation data is not available from such one-and-one-half-year period...'level of value' means the actual value of taxable real property as ascertained by said applicable factors…within the five-year period immediately prior to July 1 immediately preceding the assessment date… Said level of value shall be adjusted to the final day of the data gathering period."</w:t>
              <w:br/>
              <w:t>C.R.S. § 39-1-105 establishes the assessment date to be January 1st of each year:</w:t>
              <w:br/>
              <w:t>“All taxable property, real and personal, within the state at twelve noon on the first day of January of each year, designated as the official assessment date, shall be listed, appraised, and valued for assessment in the county wherein it is located on the assessment date.”</w:t>
              <w:br/>
              <w:t xml:space="preserve">Highest and Best Use is defined as:The reasonably probable and legal use of vacant land or an improved property that is physically possible, appropriately supported, financially feasible, and that results in the highest value.  (Appraisal Institute, The Appraisal of Real Estate, 14th Ed., (Chicago: Appraisal Institute, 2013, p333.). Market Value is defined as: </w:t>
              <w:br/>
              <w:t xml:space="preserve">Market Value means the most probable price which a property should bring in a competitive and open market under all condition’s requisite to a fair sale, the buyer and seller each acting prudently and knowledgeably, and assuming the price is not affected by undue stimulus. Implicit in this definition are the consummation of a sale as of a specified date and the passing of title from seller to buyer under conditions whereby: </w:t>
              <w:br/>
              <w:t>1. Buyer and seller are typically motivated;</w:t>
              <w:br/>
              <w:t>2. Both parties are well informed or well advised, and acting in what they consider their own best interest;</w:t>
              <w:br/>
              <w:t xml:space="preserve">3. A reasonable time is allowed for exposure in the open market; </w:t>
              <w:br/>
              <w:t>4. Payment is made in terms of cash in U.S. dollars or in terms of financial arrangements comparable thereto; and</w:t>
              <w:br/>
              <w:t>5. The price represents the normal consideration for the property sold unaffected by special or creative financing or sale concessions granted by someone associated with the sale.</w:t>
              <w:br/>
              <w:t>Land is appraised as if vacant and available for highest and best use.  The highest and best use of the property as improved may be different from that of the land.  For purposes of this appraisal, it is assumed that the present use of the property is its highest and best use unless otherwise stated in the body of this report.</w:t>
            </w:r>
          </w:p>
        </w:tc>
      </w:tr>
      <w:tr w:rsidR="00FE1FD5" w:rsidRPr="00474CA6" w14:paraId="520B7873" w14:textId="77777777" w:rsidTr="00FE1FD5">
        <w:trPr>
          <w:gridBefore w:val="1"/>
          <w:wBefore w:w="108" w:type="dxa"/>
          <w:trHeight w:val="2460"/>
        </w:trPr>
        <w:tc>
          <w:tcPr>
            <w:tcW w:w="9450" w:type="dxa"/>
            <w:vMerge/>
            <w:tcBorders>
              <w:top w:val="nil"/>
              <w:left w:val="nil"/>
              <w:bottom w:val="nil"/>
              <w:right w:val="nil"/>
            </w:tcBorders>
            <w:vAlign w:val="center"/>
            <w:hideMark/>
          </w:tcPr>
          <w:p w14:paraId="187F6BD8" w14:textId="77777777" w:rsidR="00FE1FD5" w:rsidRPr="00474CA6" w:rsidRDefault="00FE1FD5" w:rsidP="00177A94">
            <w:pPr>
              <w:spacing w:after="0" w:line="240" w:lineRule="auto"/>
              <w:jc w:val="left"/>
              <w:rPr>
                <w:rFonts w:ascii="Calibri" w:eastAsia="Times New Roman" w:hAnsi="Calibri" w:cs="Calibri"/>
                <w:color w:val="000000"/>
              </w:rPr>
            </w:pPr>
          </w:p>
        </w:tc>
        <w:tc>
          <w:tcPr>
            <w:tcW w:w="236" w:type="dxa"/>
            <w:tcBorders>
              <w:top w:val="nil"/>
              <w:left w:val="nil"/>
              <w:bottom w:val="nil"/>
              <w:right w:val="nil"/>
            </w:tcBorders>
            <w:noWrap/>
            <w:vAlign w:val="bottom"/>
            <w:hideMark/>
          </w:tcPr>
          <w:p w14:paraId="6B590B18" w14:textId="77777777" w:rsidR="00FE1FD5" w:rsidRPr="00474CA6" w:rsidRDefault="00FE1FD5" w:rsidP="00FE1FD5">
            <w:pPr>
              <w:spacing w:after="0" w:line="240" w:lineRule="auto"/>
              <w:rPr>
                <w:rFonts w:ascii="Calibri" w:eastAsia="Times New Roman" w:hAnsi="Calibri" w:cs="Calibri"/>
                <w:color w:val="000000"/>
              </w:rPr>
            </w:pPr>
          </w:p>
        </w:tc>
      </w:tr>
      <w:tr w:rsidR="00FE1FD5" w:rsidRPr="00E125ED" w14:paraId="7CD64397" w14:textId="77777777" w:rsidTr="00FE1FD5">
        <w:trPr>
          <w:gridAfter w:val="1"/>
          <w:wAfter w:w="236" w:type="dxa"/>
          <w:trHeight w:val="2460"/>
        </w:trPr>
        <w:tc>
          <w:tcPr>
            <w:tcW w:w="9558" w:type="dxa"/>
            <w:gridSpan w:val="2"/>
            <w:tcBorders>
              <w:top w:val="nil"/>
              <w:left w:val="nil"/>
              <w:bottom w:val="single" w:sz="4" w:space="0" w:color="000000"/>
              <w:right w:val="nil"/>
            </w:tcBorders>
            <w:vAlign w:val="center"/>
          </w:tcPr>
          <w:p w14:paraId="1D18C0CD" w14:textId="192E35BE" w:rsidR="00FE1FD5" w:rsidRDefault="00677994" w:rsidP="00177A94">
            <w:pPr>
              <w:spacing w:after="0" w:line="240" w:lineRule="auto"/>
              <w:jc w:val="left"/>
              <w:rPr>
                <w:rFonts w:ascii="Calibri" w:eastAsia="Times New Roman" w:hAnsi="Calibri" w:cs="Calibri"/>
                <w:color w:val="000000"/>
              </w:rPr>
            </w:pPr>
            <w:r>
              <w:rPr>
                <w:rFonts w:ascii="Calibri" w:eastAsia="Times New Roman" w:hAnsi="Calibri" w:cs="Calibri"/>
                <w:b/>
                <w:color w:val="000000"/>
              </w:rPr>
              <w:lastRenderedPageBreak/>
              <w:t xml:space="preserve">Retrospective Value Opinion – </w:t>
            </w:r>
            <w:r>
              <w:rPr>
                <w:rFonts w:ascii="Calibri" w:eastAsia="Times New Roman" w:hAnsi="Calibri" w:cs="Calibri"/>
                <w:color w:val="000000"/>
              </w:rPr>
              <w:t xml:space="preserve">A value opinion as of a specified historical date. The term </w:t>
            </w:r>
            <w:r>
              <w:rPr>
                <w:rFonts w:ascii="Calibri" w:eastAsia="Times New Roman" w:hAnsi="Calibri" w:cs="Calibri"/>
                <w:i/>
                <w:color w:val="000000"/>
              </w:rPr>
              <w:t>retrospective</w:t>
            </w:r>
            <w:r>
              <w:rPr>
                <w:rFonts w:ascii="Calibri" w:eastAsia="Times New Roman" w:hAnsi="Calibri" w:cs="Calibri"/>
                <w:color w:val="000000"/>
              </w:rPr>
              <w:t xml:space="preserve"> does not define a type of value. Instead, it identifies a value opinion as being effective at some specific prior date. Value as of a historical date is frequently used in connection with property tax appeals, damage models, lease renegotiations, deficiency judgements, estate tax, and condemnation. Inclusion of this type of value with this term is appropriate, e.g. “retrospective market value opinion.”</w:t>
            </w:r>
            <w:r>
              <w:rPr>
                <w:rStyle w:val="FootnoteReference"/>
                <w:rFonts w:ascii="Calibri" w:eastAsia="Times New Roman" w:hAnsi="Calibri" w:cs="Calibri"/>
                <w:color w:val="000000"/>
              </w:rPr>
              <w:footnoteReference w:id="1"/>
            </w:r>
          </w:p>
          <w:p w14:paraId="59A936F6" w14:textId="77777777" w:rsidR="00324F7F" w:rsidRDefault="00324F7F" w:rsidP="00177A94">
            <w:pPr>
              <w:spacing w:after="0" w:line="240" w:lineRule="auto"/>
              <w:jc w:val="left"/>
              <w:rPr>
                <w:rFonts w:ascii="Calibri" w:eastAsia="Times New Roman" w:hAnsi="Calibri" w:cs="Calibri"/>
                <w:b/>
                <w:color w:val="000000"/>
              </w:rPr>
            </w:pPr>
          </w:p>
          <w:p w14:paraId="0515F38E" w14:textId="77777777" w:rsidR="00324F7F" w:rsidRDefault="00324F7F" w:rsidP="00177A94">
            <w:pPr>
              <w:spacing w:after="0" w:line="240" w:lineRule="auto"/>
              <w:jc w:val="left"/>
              <w:rPr>
                <w:rFonts w:ascii="Calibri" w:eastAsia="Times New Roman" w:hAnsi="Calibri" w:cs="Calibri"/>
                <w:color w:val="000000"/>
              </w:rPr>
            </w:pPr>
            <w:r>
              <w:rPr>
                <w:rFonts w:ascii="Calibri" w:eastAsia="Times New Roman" w:hAnsi="Calibri" w:cs="Calibri"/>
                <w:b/>
                <w:color w:val="000000"/>
              </w:rPr>
              <w:t xml:space="preserve">Definition of Inspection – </w:t>
            </w:r>
            <w:r>
              <w:rPr>
                <w:rFonts w:ascii="Calibri" w:eastAsia="Times New Roman" w:hAnsi="Calibri" w:cs="Calibri"/>
                <w:color w:val="000000"/>
              </w:rPr>
              <w:t>The term “inspection,” as used in this report is of a lower-level inspection that is done/required by a “Professional Property Inspector,” whereby mechanical, structural, plumbing, and the like are evaluated. The inspection by the appraiser is done with no specialty tools (other than measuring devices such as laser measurer &amp; digital camera) and consists of a visual inspection to determine an economic evaluation, readily available. If the client needs a more detailed inspection of the property, a Property Inspection by a qualified engineer is recommended. All mechanical systems, structure, plumbing, foundation, etc. are assumed to be in functional condition unless otherwise mentioned in the appraisal report. If found to be false, this may have an effect on the assignment results.</w:t>
            </w:r>
          </w:p>
          <w:p w14:paraId="4BAE67F0" w14:textId="77777777" w:rsidR="00177A94" w:rsidRDefault="00177A94" w:rsidP="00177A94">
            <w:pPr>
              <w:spacing w:after="0" w:line="240" w:lineRule="auto"/>
              <w:jc w:val="left"/>
              <w:rPr>
                <w:rFonts w:ascii="Calibri" w:eastAsia="Times New Roman" w:hAnsi="Calibri" w:cs="Calibri"/>
                <w:b/>
                <w:color w:val="000000"/>
              </w:rPr>
            </w:pPr>
          </w:p>
        </w:tc>
      </w:tr>
    </w:tbl>
    <w:p w14:paraId="42EBFD27" w14:textId="77777777" w:rsidR="009D15FE" w:rsidRDefault="009D15FE" w:rsidP="009D15FE">
      <w:pPr>
        <w:pStyle w:val="Header2"/>
      </w:pPr>
      <w:r>
        <w:t>Sales History</w:t>
      </w:r>
    </w:p>
    <w:p w14:paraId="725BA066" w14:textId="77777777" w:rsidR="002200CD" w:rsidRDefault="009D15FE" w:rsidP="009D15FE">
      <w:pPr>
        <w:pStyle w:val="BodyJustified"/>
      </w:pPr>
      <w:r>
        <w:t xml:space="preserve">The subject last sold on January 22, 2019 for $525,000 (Water Wolf LLC to Tom Cook &amp; Associates LLC; Reception No. 2019000005629). On February 25, 2019, Tom Cook &amp; Associates LLC conveyed a 50% undivided interest to Grand Vincent Holdings LLC by quitclaim deed for no consideration (Reception No. 2019000013950). Both transfers occurred more than three years before the retrospective valuation date. To the best of our knowledge, the subject was not listed for sale or under a sale contract within the 3-year period prior to the retrospective valuation date of this report.</w:t>
      </w:r>
    </w:p>
    <w:p w14:paraId="40256416" w14:textId="77777777" w:rsidR="002200CD" w:rsidRDefault="002200CD" w:rsidP="009D15FE">
      <w:pPr>
        <w:pStyle w:val="BodyJustified"/>
      </w:pPr>
    </w:p>
    <w:p w14:paraId="757D83B8" w14:textId="77777777" w:rsidR="009D15FE" w:rsidRDefault="009D15FE" w:rsidP="009D15FE">
      <w:pPr>
        <w:pStyle w:val="BodyJustified"/>
      </w:pPr>
    </w:p>
    <w:p w14:paraId="6B3320FA" w14:textId="77777777" w:rsidR="00D93F7D" w:rsidRDefault="00D93F7D" w:rsidP="009D15FE">
      <w:pPr>
        <w:pStyle w:val="BodyJustified"/>
      </w:pPr>
      <w:r>
        <w:br w:type="page"/>
      </w:r>
    </w:p>
    <w:tbl>
      <w:tblPr>
        <w:tblStyle w:val="BBGtbl1"/>
        <w:tblW w:w="9360" w:type="dxa"/>
        <w:tblBorders>
          <w:top w:val="single" w:sz="6" w:space="0" w:color="000000" w:themeColor="text1"/>
          <w:left w:val="single" w:sz="6" w:space="0" w:color="000000" w:themeColor="text1"/>
          <w:bottom w:val="single" w:sz="6" w:space="0" w:color="000000" w:themeColor="text1"/>
          <w:right w:val="single" w:sz="6" w:space="0" w:color="000000" w:themeColor="text1"/>
          <w:insideV w:val="single" w:sz="6" w:space="0" w:color="000000" w:themeColor="text1"/>
        </w:tblBorders>
        <w:tblLayout w:type="fixed"/>
        <w:tblLook w:val="0000" w:firstRow="0" w:lastRow="0" w:firstColumn="0" w:lastColumn="0" w:noHBand="0" w:noVBand="0"/>
      </w:tblPr>
      <w:tblGrid>
        <w:gridCol w:w="2430"/>
        <w:gridCol w:w="6930"/>
      </w:tblGrid>
      <w:tr w:rsidR="00474CA6" w:rsidRPr="00B83A18" w14:paraId="42BD1F58" w14:textId="77777777" w:rsidTr="00474CA6">
        <w:trPr>
          <w:trHeight w:val="240"/>
        </w:trPr>
        <w:tc>
          <w:tcPr>
            <w:tcW w:w="9360" w:type="dxa"/>
            <w:gridSpan w:val="2"/>
            <w:tcBorders>
              <w:top w:val="nil"/>
              <w:left w:val="nil"/>
              <w:bottom w:val="nil"/>
              <w:right w:val="nil"/>
            </w:tcBorders>
            <w:shd w:val="clear" w:color="auto" w:fill="005710"/>
          </w:tcPr>
          <w:p w14:paraId="23850FD5" w14:textId="77777777" w:rsidR="00474CA6" w:rsidRPr="00E802D1" w:rsidRDefault="00474CA6" w:rsidP="007E37CF">
            <w:pPr>
              <w:pStyle w:val="SummaryTableHeading"/>
              <w:jc w:val="center"/>
              <w:rPr>
                <w:sz w:val="22"/>
                <w:szCs w:val="22"/>
                <w:lang w:val="en-US"/>
              </w:rPr>
            </w:pPr>
            <w:r>
              <w:rPr>
                <w:sz w:val="22"/>
                <w:szCs w:val="22"/>
                <w:lang w:val="en-US"/>
              </w:rPr>
              <w:lastRenderedPageBreak/>
              <w:t>VALUATION METHODOLOGY</w:t>
            </w:r>
          </w:p>
        </w:tc>
      </w:tr>
      <w:tr w:rsidR="00474CA6" w:rsidRPr="00B83A18" w14:paraId="26FB1174" w14:textId="77777777" w:rsidTr="00E802D1">
        <w:trPr>
          <w:trHeight w:val="240"/>
        </w:trPr>
        <w:tc>
          <w:tcPr>
            <w:tcW w:w="2430" w:type="dxa"/>
            <w:tcBorders>
              <w:top w:val="nil"/>
              <w:left w:val="nil"/>
              <w:bottom w:val="nil"/>
              <w:right w:val="nil"/>
            </w:tcBorders>
          </w:tcPr>
          <w:p w14:paraId="6C6838F3" w14:textId="77777777" w:rsidR="00474CA6" w:rsidRPr="00E802D1" w:rsidRDefault="00474CA6" w:rsidP="007E37CF">
            <w:pPr>
              <w:pStyle w:val="SummaryTableTitle"/>
              <w:rPr>
                <w:sz w:val="22"/>
                <w:szCs w:val="22"/>
              </w:rPr>
            </w:pPr>
            <w:r>
              <w:rPr>
                <w:sz w:val="22"/>
                <w:szCs w:val="22"/>
                <w:lang w:val="en-US"/>
              </w:rPr>
              <w:t>Most Probable Buyer</w:t>
            </w:r>
          </w:p>
        </w:tc>
        <w:tc>
          <w:tcPr>
            <w:tcW w:w="6930" w:type="dxa"/>
            <w:tcBorders>
              <w:top w:val="nil"/>
              <w:left w:val="nil"/>
              <w:bottom w:val="nil"/>
              <w:right w:val="nil"/>
            </w:tcBorders>
          </w:tcPr>
          <w:p w14:paraId="0246463D" w14:textId="77777777" w:rsidR="00ED2812" w:rsidRDefault="00F54D76">
            <w:r>
              <w:t xml:space="preserve">To apply the most relevant valuation methods and data, the appraiser must first determine the most probable purchaser of the subject property. Based on the analyses presented, the most probable purchaser of the subject is an owner-user.</w:t>
            </w:r>
          </w:p>
          <w:p w14:paraId="755DB524" w14:textId="77777777" w:rsidR="00177A94" w:rsidRDefault="00177A94"/>
        </w:tc>
      </w:tr>
      <w:tr w:rsidR="00474CA6" w:rsidRPr="00B83A18" w14:paraId="15BC8C88" w14:textId="77777777" w:rsidTr="00E802D1">
        <w:trPr>
          <w:trHeight w:val="240"/>
        </w:trPr>
        <w:tc>
          <w:tcPr>
            <w:tcW w:w="2430" w:type="dxa"/>
            <w:tcBorders>
              <w:top w:val="nil"/>
              <w:left w:val="nil"/>
              <w:bottom w:val="single" w:sz="4" w:space="0" w:color="000000"/>
              <w:right w:val="nil"/>
            </w:tcBorders>
          </w:tcPr>
          <w:p w14:paraId="08D94DDC" w14:textId="77777777" w:rsidR="00474CA6" w:rsidRPr="00E802D1" w:rsidRDefault="00474CA6" w:rsidP="00BD244D">
            <w:pPr>
              <w:pStyle w:val="SummaryTableTitle"/>
              <w:jc w:val="left"/>
              <w:rPr>
                <w:sz w:val="22"/>
                <w:szCs w:val="22"/>
                <w:lang w:val="en-US"/>
              </w:rPr>
            </w:pPr>
            <w:r>
              <w:rPr>
                <w:sz w:val="22"/>
                <w:szCs w:val="22"/>
                <w:lang w:val="en-US"/>
              </w:rPr>
              <w:t>Valuation Methods Utilized</w:t>
            </w:r>
          </w:p>
        </w:tc>
        <w:tc>
          <w:tcPr>
            <w:tcW w:w="6930" w:type="dxa"/>
            <w:tcBorders>
              <w:top w:val="nil"/>
              <w:left w:val="nil"/>
              <w:bottom w:val="single" w:sz="4" w:space="0" w:color="000000"/>
              <w:right w:val="nil"/>
            </w:tcBorders>
          </w:tcPr>
          <w:p w14:paraId="138CA5AD" w14:textId="4368C99C" w:rsidR="00ED2812" w:rsidRDefault="00F54D76">
            <w:r>
              <w:t xml:space="preserve">This appraisal employs the Sales Comparison Approach as the primary valuation method, supported by the Income Capitalization Approach. Small light industrial service garage buildings such as the subject are most often purchased by owner-users, who base purchase decisions on the prices paid for competing buildings; the Sales Comparison Approach therefore best reflects buyer behavior for this property type. The Income Capitalization Approach, based on market rents for comparable small-bay industrial space, serves as a test of reasonableness. The Cost Approach was considered but not developed given the age of the improvements (built 1982).</w:t>
            </w:r>
          </w:p>
        </w:tc>
      </w:tr>
    </w:tbl>
    <w:p w14:paraId="7D67F719" w14:textId="77777777" w:rsidR="00DB6EE2" w:rsidRDefault="00DB6EE2">
      <w:pPr>
        <w:rPr>
          <w:sz w:val="24"/>
          <w:szCs w:val="24"/>
        </w:rPr>
      </w:pPr>
    </w:p>
    <w:p w14:paraId="187F750B" w14:textId="77777777" w:rsidR="00474CA6" w:rsidRDefault="00474CA6">
      <w:pPr>
        <w:rPr>
          <w:sz w:val="32"/>
          <w:szCs w:val="32"/>
        </w:rPr>
      </w:pPr>
    </w:p>
    <w:p w14:paraId="6CB9DD51" w14:textId="77777777" w:rsidR="00E110A0" w:rsidRDefault="00E110A0">
      <w:pPr>
        <w:jc w:val="left"/>
        <w:rPr>
          <w:sz w:val="32"/>
          <w:szCs w:val="32"/>
        </w:rPr>
      </w:pPr>
      <w:r>
        <w:rPr>
          <w:sz w:val="32"/>
          <w:szCs w:val="32"/>
        </w:rPr>
        <w:br w:type="page"/>
      </w:r>
    </w:p>
    <w:p w14:paraId="316C60B7" w14:textId="77777777" w:rsidR="00267B94" w:rsidRDefault="00267B94" w:rsidP="00267B94">
      <w:pPr>
        <w:rPr>
          <w:b/>
          <w:bCs/>
          <w:sz w:val="32"/>
          <w:szCs w:val="32"/>
        </w:rPr>
      </w:pPr>
      <w:r>
        <w:rPr>
          <w:b/>
          <w:bCs/>
          <w:sz w:val="32"/>
          <w:szCs w:val="32"/>
        </w:rPr>
        <w:lastRenderedPageBreak/>
        <w:t>Location Map</w:t>
      </w:r>
    </w:p>
    <w:p w14:paraId="1B84F5DE" w14:textId="0F513267" w:rsidR="00177A94" w:rsidRDefault="00CE345A" w:rsidP="00CE345A">
      <w:pPr>
        <w:jc w:val="center"/>
        <w:rPr>
          <w:b/>
          <w:bCs/>
          <w:sz w:val="32"/>
          <w:szCs w:val="32"/>
        </w:rPr>
      </w:pPr>
      <w:r>
        <w:rPr>
          <w:b/>
          <w:bCs/>
          <w:sz w:val="32"/>
          <w:szCs w:val="32"/>
        </w:rPr>
        <w:drawing>
          <wp:inline distT="0" distB="0" distL="0" distR="0" wp14:anchorId="3907404E" wp14:editId="6B2068B9">
            <wp:extent cx="5943600" cy="4537075"/>
            <wp:effectExtent l="0" t="0" r="0" b="0"/>
            <wp:docPr id="181424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7289" name=""/>
                    <pic:cNvPicPr/>
                  </pic:nvPicPr>
                  <pic:blipFill>
                    <a:blip r:embed="rId19"/>
                    <a:stretch>
                      <a:fillRect/>
                    </a:stretch>
                  </pic:blipFill>
                  <pic:spPr>
                    <a:xfrm>
                      <a:off x="0" y="0"/>
                      <a:ext cx="5943600" cy="4537075"/>
                    </a:xfrm>
                    <a:prstGeom prst="rect">
                      <a:avLst/>
                    </a:prstGeom>
                  </pic:spPr>
                </pic:pic>
              </a:graphicData>
            </a:graphic>
          </wp:inline>
        </w:drawing>
      </w:r>
    </w:p>
    <w:p w14:paraId="7F014E69" w14:textId="193965FE" w:rsidR="00177A94" w:rsidRDefault="00177A94" w:rsidP="00267B94">
      <w:pPr>
        <w:rPr>
          <w:b/>
          <w:bCs/>
          <w:sz w:val="32"/>
          <w:szCs w:val="32"/>
        </w:rPr>
      </w:pPr>
    </w:p>
    <w:p w14:paraId="5A8F5CE4" w14:textId="2DEF038F" w:rsidR="0039653C" w:rsidRPr="00307D60" w:rsidRDefault="0039653C" w:rsidP="00267B94">
      <w:r>
        <w:t xml:space="preserve">The subject property is located in the north Denver industrial corridor in unincorporated Adams County (Denver mailing address), along E 55th Avenue between Broadway and Washington Street. The subject has good proximity to I-25, I-270, I-76 and I-70.</w:t>
      </w:r>
    </w:p>
    <w:p w14:paraId="19756DDE" w14:textId="77777777" w:rsidR="00177A94" w:rsidRDefault="00177A94" w:rsidP="00267B94">
      <w:pPr>
        <w:rPr>
          <w:b/>
          <w:bCs/>
          <w:sz w:val="32"/>
          <w:szCs w:val="32"/>
        </w:rPr>
      </w:pPr>
    </w:p>
    <w:p w14:paraId="7EFFB92A" w14:textId="77777777" w:rsidR="00CE345A" w:rsidRDefault="00CE345A" w:rsidP="00267B94">
      <w:pPr>
        <w:rPr>
          <w:b/>
          <w:bCs/>
          <w:sz w:val="32"/>
          <w:szCs w:val="32"/>
        </w:rPr>
      </w:pPr>
    </w:p>
    <w:p w14:paraId="1891B615" w14:textId="77777777" w:rsidR="00CE345A" w:rsidRDefault="00CE345A" w:rsidP="00267B94">
      <w:pPr>
        <w:rPr>
          <w:b/>
          <w:bCs/>
          <w:sz w:val="32"/>
          <w:szCs w:val="32"/>
        </w:rPr>
      </w:pPr>
    </w:p>
    <w:p w14:paraId="717B3C3A" w14:textId="77777777" w:rsidR="00CE345A" w:rsidRDefault="00CE345A" w:rsidP="00267B94">
      <w:pPr>
        <w:rPr>
          <w:b/>
          <w:bCs/>
          <w:sz w:val="32"/>
          <w:szCs w:val="32"/>
        </w:rPr>
      </w:pPr>
    </w:p>
    <w:p w14:paraId="638BEFAB" w14:textId="77777777" w:rsidR="003459B5" w:rsidRDefault="00D21EDF" w:rsidP="00DB00E4">
      <w:pPr>
        <w:pStyle w:val="Heading1"/>
      </w:pPr>
      <w:bookmarkStart w:id="3" w:name="_Toc228359487"/>
      <w:r>
        <w:lastRenderedPageBreak/>
        <w:t>Market &amp; Neighborhood Description</w:t>
      </w:r>
      <w:bookmarkEnd w:id="3"/>
    </w:p>
    <w:p w14:paraId="0A765282" w14:textId="6BDDE2DB" w:rsidR="00415EDE" w:rsidRDefault="00415EDE" w:rsidP="001F58A5"/>
    <w:p w14:paraId="7D6D33EE" w14:textId="5977B898" w:rsidR="00415EDE" w:rsidRDefault="00CE345A" w:rsidP="00C13C5D">
      <w:pPr>
        <w:jc w:val="center"/>
      </w:pPr>
      <w:r>
        <w:drawing>
          <wp:inline distT="0" distB="0" distL="0" distR="0" wp14:anchorId="60F186FE" wp14:editId="2354683C">
            <wp:extent cx="5943600" cy="3891280"/>
            <wp:effectExtent l="0" t="0" r="0" b="0"/>
            <wp:docPr id="148460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01283" name=""/>
                    <pic:cNvPicPr/>
                  </pic:nvPicPr>
                  <pic:blipFill>
                    <a:blip r:embed="rId20"/>
                    <a:stretch>
                      <a:fillRect/>
                    </a:stretch>
                  </pic:blipFill>
                  <pic:spPr>
                    <a:xfrm>
                      <a:off x="0" y="0"/>
                      <a:ext cx="5943600" cy="3891280"/>
                    </a:xfrm>
                    <a:prstGeom prst="rect">
                      <a:avLst/>
                    </a:prstGeom>
                  </pic:spPr>
                </pic:pic>
              </a:graphicData>
            </a:graphic>
          </wp:inline>
        </w:drawing>
      </w:r>
    </w:p>
    <w:p w14:paraId="58213EC9" w14:textId="77777777" w:rsidR="00415EDE" w:rsidRDefault="00415EDE" w:rsidP="00C13C5D">
      <w:pPr>
        <w:jc w:val="center"/>
      </w:pPr>
    </w:p>
    <w:p w14:paraId="2BC42947" w14:textId="67A38D34" w:rsidR="001F58A5" w:rsidRPr="001F58A5" w:rsidRDefault="0039653C" w:rsidP="001F58A5">
      <w:pPr>
        <w:spacing w:after="0" w:line="300" w:lineRule="atLeast"/>
        <w:jc w:val="left"/>
        <w:rPr>
          <w:rFonts w:ascii="Segoe UI" w:eastAsia="Times New Roman" w:hAnsi="Segoe UI" w:cs="Segoe UI"/>
          <w:sz w:val="21"/>
          <w:szCs w:val="21"/>
        </w:rPr>
      </w:pPr>
      <w:r>
        <w:rPr>
          <w:rFonts w:ascii="Segoe UI" w:eastAsia="Times New Roman" w:hAnsi="Segoe UI" w:cs="Segoe UI"/>
          <w:sz w:val="21"/>
          <w:szCs w:val="21"/>
        </w:rPr>
        <w:t xml:space="preserve">The subject is located along E 55th Avenue, between Broadway and Washington Street, within an established industrial neighborhood of older small- to mid-size warehouse, contractor-yard and service-garage buildings. E 52nd Avenue and E 58th Avenue provide east–west access to Washington Street, Broadway and I-25.</w:t>
      </w:r>
    </w:p>
    <w:p w14:paraId="0E727D97" w14:textId="77777777" w:rsidR="00415EDE" w:rsidRDefault="00415EDE" w:rsidP="00C13C5D">
      <w:pPr>
        <w:jc w:val="center"/>
      </w:pPr>
    </w:p>
    <w:p w14:paraId="38C84273" w14:textId="77777777" w:rsidR="00415EDE" w:rsidRDefault="00415EDE" w:rsidP="00C13C5D">
      <w:pPr>
        <w:jc w:val="center"/>
      </w:pPr>
    </w:p>
    <w:p w14:paraId="6C558E68" w14:textId="77777777" w:rsidR="00CE345A" w:rsidRDefault="00CE345A" w:rsidP="00C13C5D">
      <w:pPr>
        <w:jc w:val="center"/>
      </w:pPr>
    </w:p>
    <w:p w14:paraId="59BE8205" w14:textId="77777777" w:rsidR="00CE345A" w:rsidRDefault="00CE345A" w:rsidP="00C13C5D">
      <w:pPr>
        <w:jc w:val="center"/>
      </w:pPr>
    </w:p>
    <w:p w14:paraId="0FEA33BB" w14:textId="77777777" w:rsidR="00CE345A" w:rsidRDefault="00CE345A" w:rsidP="00C13C5D">
      <w:pPr>
        <w:jc w:val="center"/>
      </w:pPr>
    </w:p>
    <w:p w14:paraId="783D09EF" w14:textId="77777777" w:rsidR="00CE345A" w:rsidRDefault="00CE345A" w:rsidP="00C13C5D">
      <w:pPr>
        <w:jc w:val="center"/>
      </w:pPr>
    </w:p>
    <w:p w14:paraId="6807EBCF" w14:textId="77777777" w:rsidR="00CE345A" w:rsidRDefault="00CE345A" w:rsidP="00C13C5D">
      <w:pPr>
        <w:jc w:val="center"/>
      </w:pPr>
    </w:p>
    <w:p w14:paraId="57F84D43" w14:textId="77777777" w:rsidR="0039653C" w:rsidRDefault="0039653C" w:rsidP="00C13C5D">
      <w:pPr>
        <w:jc w:val="center"/>
      </w:pPr>
    </w:p>
    <w:p w14:paraId="27FF692E" w14:textId="00743CCA" w:rsidR="00D46A9B" w:rsidRDefault="00734462" w:rsidP="00415EDE">
      <w:pPr>
        <w:jc w:val="left"/>
        <w:rPr>
          <w:b/>
          <w:bCs/>
          <w:sz w:val="32"/>
          <w:szCs w:val="32"/>
        </w:rPr>
      </w:pPr>
      <w:r>
        <w:rPr>
          <w:b/>
          <w:bCs/>
          <w:sz w:val="32"/>
          <w:szCs w:val="32"/>
        </w:rPr>
        <w:lastRenderedPageBreak/>
        <w:t>Industrial Market</w:t>
      </w:r>
    </w:p>
    <w:p w14:paraId="45C3EC23" w14:textId="51665C36" w:rsidR="00734462" w:rsidRDefault="00734462" w:rsidP="00415EDE">
      <w:pPr>
        <w:jc w:val="left"/>
        <w:rPr>
          <w:b/>
          <w:bCs/>
        </w:rPr>
      </w:pPr>
      <w:r>
        <w:rPr>
          <w:b/>
          <w:bCs/>
        </w:rPr>
        <w:t>Denver Metro 1/1/2022 – 6/30/2024 (2,500sf-15,000sf)</w:t>
      </w:r>
    </w:p>
    <w:p w14:paraId="779F06A2" w14:textId="52A9CCB7" w:rsidR="00CC6D13" w:rsidRDefault="00CC6D13" w:rsidP="00415EDE">
      <w:pPr>
        <w:jc w:val="left"/>
        <w:rPr>
          <w:i/>
          <w:iCs/>
          <w:sz w:val="16"/>
          <w:szCs w:val="16"/>
        </w:rPr>
      </w:pPr>
      <w:r>
        <w:rPr>
          <w:i/>
          <w:iCs/>
          <w:sz w:val="16"/>
          <w:szCs w:val="16"/>
        </w:rPr>
        <w:t>Source: Costar</w:t>
      </w:r>
    </w:p>
    <w:p w14:paraId="4E5C012C" w14:textId="0BBFA81F" w:rsidR="00CC6D13" w:rsidRDefault="00CC6D13" w:rsidP="00CC6D13">
      <w:pPr>
        <w:spacing w:after="0" w:line="300" w:lineRule="atLeast"/>
        <w:jc w:val="left"/>
        <w:rPr>
          <w:rFonts w:ascii="Segoe UI" w:eastAsia="Times New Roman" w:hAnsi="Segoe UI" w:cs="Segoe UI"/>
          <w:sz w:val="21"/>
          <w:szCs w:val="21"/>
        </w:rPr>
      </w:pPr>
      <w:r>
        <w:rPr>
          <w:rFonts w:ascii="Segoe UI" w:eastAsia="Times New Roman" w:hAnsi="Segoe UI" w:cs="Segoe UI"/>
          <w:sz w:val="21"/>
          <w:szCs w:val="21"/>
        </w:rPr>
        <w:t xml:space="preserve">The following summary is based on industrial market data provided by CoStar, reflecting trends in the Denver Metro area from January 2022 through June 2024 for buildings between 2,500 and 15,000 square feet. Overall, sale prices per square foot showed an average in the low $200’s, with an early spike followed by stabilization around the low</w:t>
        <w:noBreakHyphen/>
        <w:t xml:space="preserve">$200s by 2024 Q2. Asking rents generally trended upward over the period, peaking near $13.80 per square foot in 2024 Q2 before easing slightly. Vacancy rates rose steadily through 2023 and reached approximately 11% in 2024 Q2 before beginning to decline. Cap rates continued to compress into early 2024, hitting roughly 5.9% in Q2, before increasing again, indicating shifting investor sentiment and adjustments in pricing.</w:t>
      </w:r>
    </w:p>
    <w:p w14:paraId="146D9FCF" w14:textId="77777777" w:rsidR="00CC6D13" w:rsidRPr="00CC6D13" w:rsidRDefault="00CC6D13" w:rsidP="00CC6D13">
      <w:pPr>
        <w:spacing w:after="0" w:line="300" w:lineRule="atLeast"/>
        <w:jc w:val="left"/>
        <w:rPr>
          <w:rFonts w:ascii="Segoe UI" w:eastAsia="Times New Roman" w:hAnsi="Segoe UI" w:cs="Segoe UI"/>
          <w:sz w:val="21"/>
          <w:szCs w:val="21"/>
        </w:rPr>
      </w:pPr>
    </w:p>
    <w:p w14:paraId="0A629487" w14:textId="4F292EF3" w:rsidR="00734462" w:rsidRDefault="00734462" w:rsidP="00CC6D13">
      <w:pPr>
        <w:jc w:val="center"/>
        <w:rPr>
          <w:b/>
          <w:bCs/>
          <w:sz w:val="32"/>
          <w:szCs w:val="32"/>
        </w:rPr>
      </w:pPr>
      <w:r>
        <w:rPr>
          <w:b/>
          <w:bCs/>
          <w:noProof/>
          <w:sz w:val="32"/>
          <w:szCs w:val="32"/>
        </w:rPr>
        <w:drawing>
          <wp:inline distT="0" distB="0" distL="0" distR="0" wp14:anchorId="2DD38C92" wp14:editId="1E04EEBB">
            <wp:extent cx="4123426" cy="2371724"/>
            <wp:effectExtent l="0" t="0" r="0" b="0"/>
            <wp:docPr id="7047680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67963" cy="2397341"/>
                    </a:xfrm>
                    <a:prstGeom prst="rect">
                      <a:avLst/>
                    </a:prstGeom>
                    <a:noFill/>
                    <a:ln>
                      <a:noFill/>
                    </a:ln>
                  </pic:spPr>
                </pic:pic>
              </a:graphicData>
            </a:graphic>
          </wp:inline>
        </w:drawing>
      </w:r>
    </w:p>
    <w:p w14:paraId="5FC97E9E" w14:textId="5B344265" w:rsidR="00734462" w:rsidRDefault="00734462" w:rsidP="00734462">
      <w:pPr>
        <w:jc w:val="center"/>
        <w:rPr>
          <w:b/>
          <w:bCs/>
          <w:sz w:val="32"/>
          <w:szCs w:val="32"/>
        </w:rPr>
      </w:pPr>
      <w:r>
        <w:rPr>
          <w:b/>
          <w:bCs/>
          <w:noProof/>
          <w:sz w:val="32"/>
          <w:szCs w:val="32"/>
        </w:rPr>
        <w:drawing>
          <wp:inline distT="0" distB="0" distL="0" distR="0" wp14:anchorId="177E181E" wp14:editId="5016521A">
            <wp:extent cx="4123427" cy="2395855"/>
            <wp:effectExtent l="0" t="0" r="0" b="4445"/>
            <wp:docPr id="12894117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55242" cy="2414341"/>
                    </a:xfrm>
                    <a:prstGeom prst="rect">
                      <a:avLst/>
                    </a:prstGeom>
                    <a:noFill/>
                  </pic:spPr>
                </pic:pic>
              </a:graphicData>
            </a:graphic>
          </wp:inline>
        </w:drawing>
      </w:r>
    </w:p>
    <w:p w14:paraId="38668951" w14:textId="77777777" w:rsidR="00734462" w:rsidRDefault="00734462" w:rsidP="00734462">
      <w:pPr>
        <w:jc w:val="center"/>
        <w:rPr>
          <w:b/>
          <w:bCs/>
          <w:sz w:val="32"/>
          <w:szCs w:val="32"/>
        </w:rPr>
      </w:pPr>
      <w:r>
        <w:rPr>
          <w:b/>
          <w:bCs/>
          <w:noProof/>
          <w:sz w:val="32"/>
          <w:szCs w:val="32"/>
        </w:rPr>
        <w:lastRenderedPageBreak/>
        <w:drawing>
          <wp:inline distT="0" distB="0" distL="0" distR="0" wp14:anchorId="449CBE5F" wp14:editId="34A37C8B">
            <wp:extent cx="5033701" cy="3131388"/>
            <wp:effectExtent l="0" t="0" r="0" b="0"/>
            <wp:docPr id="14509656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69666" cy="3153761"/>
                    </a:xfrm>
                    <a:prstGeom prst="rect">
                      <a:avLst/>
                    </a:prstGeom>
                    <a:noFill/>
                    <a:ln>
                      <a:noFill/>
                    </a:ln>
                  </pic:spPr>
                </pic:pic>
              </a:graphicData>
            </a:graphic>
          </wp:inline>
        </w:drawing>
      </w:r>
    </w:p>
    <w:p w14:paraId="4828F81D" w14:textId="77777777" w:rsidR="00734462" w:rsidRDefault="00734462" w:rsidP="00734462">
      <w:pPr>
        <w:jc w:val="center"/>
        <w:rPr>
          <w:b/>
          <w:bCs/>
          <w:sz w:val="32"/>
          <w:szCs w:val="32"/>
        </w:rPr>
      </w:pPr>
    </w:p>
    <w:p w14:paraId="5E28BD1D" w14:textId="35206F9C" w:rsidR="00734462" w:rsidRDefault="00734462" w:rsidP="00734462">
      <w:pPr>
        <w:jc w:val="center"/>
        <w:rPr>
          <w:b/>
          <w:bCs/>
          <w:sz w:val="32"/>
          <w:szCs w:val="32"/>
        </w:rPr>
      </w:pPr>
      <w:r>
        <w:rPr>
          <w:b/>
          <w:bCs/>
          <w:noProof/>
          <w:sz w:val="32"/>
          <w:szCs w:val="32"/>
        </w:rPr>
        <w:drawing>
          <wp:inline distT="0" distB="0" distL="0" distR="0" wp14:anchorId="1DEA44B0" wp14:editId="4310FBF5">
            <wp:extent cx="5098211" cy="3159693"/>
            <wp:effectExtent l="0" t="0" r="7620" b="3175"/>
            <wp:docPr id="2191122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29435" cy="3179044"/>
                    </a:xfrm>
                    <a:prstGeom prst="rect">
                      <a:avLst/>
                    </a:prstGeom>
                    <a:noFill/>
                    <a:ln>
                      <a:noFill/>
                    </a:ln>
                  </pic:spPr>
                </pic:pic>
              </a:graphicData>
            </a:graphic>
          </wp:inline>
        </w:drawing>
      </w:r>
    </w:p>
    <w:p w14:paraId="051BC687" w14:textId="66C35AA2" w:rsidR="00456738" w:rsidRDefault="00456738" w:rsidP="00F96FC2">
      <w:pPr>
        <w:jc w:val="center"/>
        <w:sectPr w:rsidR="00456738" w:rsidSect="00F279C8">
          <w:headerReference w:type="default" r:id="rId2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E6FBBD5" w14:textId="77777777" w:rsidR="00580428" w:rsidRDefault="00DB00E4" w:rsidP="00DB00E4">
      <w:pPr>
        <w:pStyle w:val="Heading1"/>
      </w:pPr>
      <w:bookmarkStart w:id="4" w:name="_Toc228359488"/>
      <w:r>
        <w:lastRenderedPageBreak/>
        <w:t>Site Description</w:t>
      </w:r>
      <w:bookmarkEnd w:id="4"/>
      <w:r>
        <w:t xml:space="preserve"> </w:t>
      </w:r>
    </w:p>
    <w:p w14:paraId="2F85AA07" w14:textId="29081F81" w:rsidR="000A521E" w:rsidRDefault="000A521E" w:rsidP="000A521E">
      <w:r>
        <w:t xml:space="preserve">The subject site is located along E 55th Avenue, in unincorporated Adams County, Colorado (Denver postal address). The characteristics of the site are summarized as follows:</w:t>
      </w:r>
    </w:p>
    <w:p w14:paraId="35D8AB9B" w14:textId="77777777" w:rsidR="000A521E" w:rsidRPr="00063875" w:rsidRDefault="000A521E" w:rsidP="008D528D">
      <w:pPr>
        <w:pStyle w:val="Heading20"/>
      </w:pPr>
      <w:r>
        <w:t>Site Characteristics</w:t>
      </w:r>
    </w:p>
    <w:tbl>
      <w:tblPr>
        <w:tblW w:w="0" w:type="auto"/>
        <w:tblLook w:val="04A0" w:firstRow="1" w:lastRow="0" w:firstColumn="1" w:lastColumn="0" w:noHBand="0" w:noVBand="1"/>
      </w:tblPr>
      <w:tblGrid>
        <w:gridCol w:w="3034"/>
        <w:gridCol w:w="6326"/>
      </w:tblGrid>
      <w:tr w:rsidR="000A521E" w:rsidRPr="00D9589E" w14:paraId="158C8E3C" w14:textId="77777777" w:rsidTr="008F2578">
        <w:tc>
          <w:tcPr>
            <w:tcW w:w="3034" w:type="dxa"/>
          </w:tcPr>
          <w:p w14:paraId="543C23B6" w14:textId="77777777" w:rsidR="000A521E" w:rsidRDefault="000A521E" w:rsidP="008F2578">
            <w:pPr>
              <w:pStyle w:val="3ptAfter"/>
            </w:pPr>
            <w:r>
              <w:t>Gross Land Area:</w:t>
            </w:r>
          </w:p>
        </w:tc>
        <w:tc>
          <w:tcPr>
            <w:tcW w:w="6326" w:type="dxa"/>
          </w:tcPr>
          <w:p w14:paraId="2232E51F" w14:textId="2C98C23C" w:rsidR="00ED2812" w:rsidRDefault="00CC6D13">
            <w:r>
              <w:t xml:space="preserve">0.230 Acres or 10,019 SF</w:t>
            </w:r>
          </w:p>
        </w:tc>
      </w:tr>
      <w:tr w:rsidR="000A521E" w:rsidRPr="00D9589E" w14:paraId="36316075" w14:textId="77777777" w:rsidTr="008F2578">
        <w:tc>
          <w:tcPr>
            <w:tcW w:w="3034" w:type="dxa"/>
          </w:tcPr>
          <w:p w14:paraId="4C396192" w14:textId="77777777" w:rsidR="000A521E" w:rsidRDefault="000A521E" w:rsidP="008F2578">
            <w:pPr>
              <w:pStyle w:val="3ptAfter"/>
            </w:pPr>
            <w:r>
              <w:t>Usable Land Area:</w:t>
            </w:r>
          </w:p>
        </w:tc>
        <w:tc>
          <w:tcPr>
            <w:tcW w:w="6326" w:type="dxa"/>
          </w:tcPr>
          <w:p w14:paraId="50610CB5" w14:textId="3AF293A5" w:rsidR="00ED2812" w:rsidRDefault="00CC6D13">
            <w:r>
              <w:t xml:space="preserve">0.230 Acres or 10,019 SF</w:t>
            </w:r>
          </w:p>
        </w:tc>
      </w:tr>
      <w:tr w:rsidR="000A521E" w:rsidRPr="005E32E6" w14:paraId="7A8414F7" w14:textId="77777777" w:rsidTr="008F2578">
        <w:tc>
          <w:tcPr>
            <w:tcW w:w="3034" w:type="dxa"/>
          </w:tcPr>
          <w:p w14:paraId="1F4E4724" w14:textId="2F0CA85E" w:rsidR="000A521E" w:rsidRPr="005E32E6" w:rsidRDefault="000A521E" w:rsidP="008F2578">
            <w:pPr>
              <w:pStyle w:val="3ptAfter"/>
              <w:rPr>
                <w:b/>
                <w:bCs w:val="0"/>
              </w:rPr>
            </w:pPr>
          </w:p>
        </w:tc>
        <w:tc>
          <w:tcPr>
            <w:tcW w:w="6326" w:type="dxa"/>
          </w:tcPr>
          <w:p w14:paraId="190BF35E" w14:textId="414FD78A" w:rsidR="00ED2812" w:rsidRDefault="00ED2812"/>
        </w:tc>
      </w:tr>
      <w:tr w:rsidR="000A521E" w:rsidRPr="00D9589E" w14:paraId="5AE8BA7C" w14:textId="77777777" w:rsidTr="008F2578">
        <w:tc>
          <w:tcPr>
            <w:tcW w:w="3034" w:type="dxa"/>
          </w:tcPr>
          <w:p w14:paraId="3825544C" w14:textId="77777777" w:rsidR="000A521E" w:rsidRDefault="000A521E" w:rsidP="008F2578">
            <w:pPr>
              <w:pStyle w:val="3ptAfter"/>
            </w:pPr>
            <w:r>
              <w:t>Shape:</w:t>
            </w:r>
          </w:p>
        </w:tc>
        <w:tc>
          <w:tcPr>
            <w:tcW w:w="6326" w:type="dxa"/>
          </w:tcPr>
          <w:p w14:paraId="0B1FB829" w14:textId="3E6E6AD9" w:rsidR="00ED2812" w:rsidRDefault="00CC6D13">
            <w:r>
              <w:t xml:space="preserve">Rectangular (approx. 50’ x 201’)</w:t>
            </w:r>
          </w:p>
        </w:tc>
      </w:tr>
      <w:tr w:rsidR="000A521E" w:rsidRPr="00D9589E" w14:paraId="760E30D3" w14:textId="77777777" w:rsidTr="008F2578">
        <w:tc>
          <w:tcPr>
            <w:tcW w:w="3034" w:type="dxa"/>
          </w:tcPr>
          <w:p w14:paraId="2D470CBA" w14:textId="77777777" w:rsidR="000A521E" w:rsidRDefault="000A521E" w:rsidP="008F2578">
            <w:pPr>
              <w:pStyle w:val="3ptAfter"/>
            </w:pPr>
            <w:r>
              <w:t>Topography:</w:t>
            </w:r>
          </w:p>
        </w:tc>
        <w:tc>
          <w:tcPr>
            <w:tcW w:w="6326" w:type="dxa"/>
          </w:tcPr>
          <w:p w14:paraId="19C001B5" w14:textId="46B782E6" w:rsidR="00ED2812" w:rsidRDefault="001F58A5">
            <w:r>
              <w:t>Level</w:t>
            </w:r>
          </w:p>
        </w:tc>
      </w:tr>
      <w:tr w:rsidR="000A521E" w:rsidRPr="00D9589E" w14:paraId="592B861D" w14:textId="77777777" w:rsidTr="008F2578">
        <w:tc>
          <w:tcPr>
            <w:tcW w:w="3034" w:type="dxa"/>
          </w:tcPr>
          <w:p w14:paraId="19741813" w14:textId="77777777" w:rsidR="000A521E" w:rsidRDefault="000A521E" w:rsidP="008F2578">
            <w:pPr>
              <w:pStyle w:val="3ptAfter"/>
            </w:pPr>
            <w:r>
              <w:t>Drainage:</w:t>
            </w:r>
          </w:p>
        </w:tc>
        <w:tc>
          <w:tcPr>
            <w:tcW w:w="6326" w:type="dxa"/>
          </w:tcPr>
          <w:p w14:paraId="15CC497A" w14:textId="20D62D4F" w:rsidR="00ED2812" w:rsidRDefault="00CC6D13">
            <w:r>
              <w:t>Assumed Adequate</w:t>
            </w:r>
          </w:p>
        </w:tc>
      </w:tr>
      <w:tr w:rsidR="000A521E" w:rsidRPr="00D9589E" w14:paraId="5675A722" w14:textId="77777777" w:rsidTr="008F2578">
        <w:tc>
          <w:tcPr>
            <w:tcW w:w="3034" w:type="dxa"/>
          </w:tcPr>
          <w:p w14:paraId="63C64471" w14:textId="77777777" w:rsidR="000A521E" w:rsidRDefault="000A521E" w:rsidP="008F2578">
            <w:pPr>
              <w:pStyle w:val="3ptAfter"/>
            </w:pPr>
            <w:r>
              <w:t>Utilities:</w:t>
            </w:r>
          </w:p>
        </w:tc>
        <w:tc>
          <w:tcPr>
            <w:tcW w:w="6326" w:type="dxa"/>
          </w:tcPr>
          <w:p w14:paraId="483C9039" w14:textId="4239E883" w:rsidR="00ED2812" w:rsidRDefault="001F58A5">
            <w:r>
              <w:t>To Site</w:t>
            </w:r>
          </w:p>
        </w:tc>
      </w:tr>
      <w:tr w:rsidR="000A521E" w:rsidRPr="00D9589E" w14:paraId="021C1892" w14:textId="77777777" w:rsidTr="008F2578">
        <w:tc>
          <w:tcPr>
            <w:tcW w:w="3034" w:type="dxa"/>
          </w:tcPr>
          <w:p w14:paraId="672031C2" w14:textId="77777777" w:rsidR="000A521E" w:rsidRDefault="000A521E" w:rsidP="008F2578">
            <w:pPr>
              <w:pStyle w:val="3ptAfter"/>
            </w:pPr>
            <w:r>
              <w:t>Interior or Corner:</w:t>
            </w:r>
          </w:p>
        </w:tc>
        <w:tc>
          <w:tcPr>
            <w:tcW w:w="6326" w:type="dxa"/>
          </w:tcPr>
          <w:p w14:paraId="5921D603" w14:textId="28357672" w:rsidR="00ED2812" w:rsidRDefault="00CC6D13">
            <w:r>
              <w:t>Interior</w:t>
            </w:r>
          </w:p>
        </w:tc>
      </w:tr>
    </w:tbl>
    <w:p w14:paraId="383C8D87" w14:textId="51632896" w:rsidR="000A521E" w:rsidRPr="00063875" w:rsidRDefault="000A521E" w:rsidP="001F58A5">
      <w:pPr>
        <w:pStyle w:val="Heading20"/>
      </w:pPr>
      <w:r>
        <w:t>Adjacent Land Uses</w:t>
      </w:r>
    </w:p>
    <w:tbl>
      <w:tblPr>
        <w:tblW w:w="0" w:type="auto"/>
        <w:tblLook w:val="04A0" w:firstRow="1" w:lastRow="0" w:firstColumn="1" w:lastColumn="0" w:noHBand="0" w:noVBand="1"/>
      </w:tblPr>
      <w:tblGrid>
        <w:gridCol w:w="3019"/>
        <w:gridCol w:w="6341"/>
      </w:tblGrid>
      <w:tr w:rsidR="005D1D01" w:rsidRPr="00D9589E" w14:paraId="3C3E7994" w14:textId="77777777" w:rsidTr="008F2578">
        <w:tc>
          <w:tcPr>
            <w:tcW w:w="3078" w:type="dxa"/>
          </w:tcPr>
          <w:p w14:paraId="060E415F" w14:textId="77777777" w:rsidR="000A521E" w:rsidRPr="00D9589E" w:rsidRDefault="000A521E" w:rsidP="008F2578">
            <w:pPr>
              <w:pStyle w:val="3ptAfter"/>
            </w:pPr>
            <w:r>
              <w:t>North:</w:t>
            </w:r>
          </w:p>
        </w:tc>
        <w:tc>
          <w:tcPr>
            <w:tcW w:w="6480" w:type="dxa"/>
          </w:tcPr>
          <w:p w14:paraId="6BEE9E5E" w14:textId="4CA78914" w:rsidR="00ED2812" w:rsidRDefault="00CC6D13">
            <w:r>
              <w:t>Industrial</w:t>
            </w:r>
          </w:p>
        </w:tc>
      </w:tr>
      <w:tr w:rsidR="005D1D01" w:rsidRPr="00D9589E" w14:paraId="6D3F35A2" w14:textId="77777777" w:rsidTr="008F2578">
        <w:tc>
          <w:tcPr>
            <w:tcW w:w="3078" w:type="dxa"/>
          </w:tcPr>
          <w:p w14:paraId="43CAFF4D" w14:textId="77777777" w:rsidR="000A521E" w:rsidRPr="00D9589E" w:rsidRDefault="000A521E" w:rsidP="008F2578">
            <w:pPr>
              <w:pStyle w:val="3ptAfter"/>
            </w:pPr>
            <w:r>
              <w:t>South:</w:t>
            </w:r>
          </w:p>
        </w:tc>
        <w:tc>
          <w:tcPr>
            <w:tcW w:w="6480" w:type="dxa"/>
          </w:tcPr>
          <w:p w14:paraId="5DB11353" w14:textId="0A0B07AD" w:rsidR="00ED2812" w:rsidRDefault="00CC6D13">
            <w:r>
              <w:t>Industrial</w:t>
            </w:r>
          </w:p>
        </w:tc>
      </w:tr>
      <w:tr w:rsidR="005D1D01" w:rsidRPr="00D9589E" w14:paraId="6C850D21" w14:textId="77777777" w:rsidTr="008F2578">
        <w:tc>
          <w:tcPr>
            <w:tcW w:w="3078" w:type="dxa"/>
          </w:tcPr>
          <w:p w14:paraId="2CF989EE" w14:textId="77777777" w:rsidR="000A521E" w:rsidRPr="00D9589E" w:rsidRDefault="000A521E" w:rsidP="008F2578">
            <w:pPr>
              <w:pStyle w:val="3ptAfter"/>
            </w:pPr>
            <w:r>
              <w:t>East:</w:t>
            </w:r>
          </w:p>
        </w:tc>
        <w:tc>
          <w:tcPr>
            <w:tcW w:w="6480" w:type="dxa"/>
          </w:tcPr>
          <w:p w14:paraId="7C2D2F85" w14:textId="4416B1E0" w:rsidR="00ED2812" w:rsidRDefault="00CC6D13">
            <w:r>
              <w:t>Industrial</w:t>
            </w:r>
          </w:p>
        </w:tc>
      </w:tr>
      <w:tr w:rsidR="005D1D01" w:rsidRPr="00D9589E" w14:paraId="36596E48" w14:textId="77777777" w:rsidTr="008F2578">
        <w:tc>
          <w:tcPr>
            <w:tcW w:w="3078" w:type="dxa"/>
          </w:tcPr>
          <w:p w14:paraId="4755A918" w14:textId="77777777" w:rsidR="000A521E" w:rsidRPr="00D9589E" w:rsidRDefault="000A521E" w:rsidP="008F2578">
            <w:pPr>
              <w:pStyle w:val="3ptAfter"/>
            </w:pPr>
            <w:r>
              <w:t>West:</w:t>
            </w:r>
          </w:p>
        </w:tc>
        <w:tc>
          <w:tcPr>
            <w:tcW w:w="6480" w:type="dxa"/>
          </w:tcPr>
          <w:p w14:paraId="3C44CC2B" w14:textId="418E2970" w:rsidR="00ED2812" w:rsidRDefault="00CC6D13">
            <w:r>
              <w:t>Industrial</w:t>
            </w:r>
          </w:p>
        </w:tc>
      </w:tr>
    </w:tbl>
    <w:p w14:paraId="1FE87FC6" w14:textId="77777777" w:rsidR="000A521E" w:rsidRPr="007233AA" w:rsidRDefault="000A521E" w:rsidP="000A521E">
      <w:pPr>
        <w:pStyle w:val="Heading20"/>
      </w:pPr>
      <w:r>
        <w:t>Site Ratings</w:t>
      </w:r>
    </w:p>
    <w:tbl>
      <w:tblPr>
        <w:tblW w:w="9558" w:type="dxa"/>
        <w:tblLook w:val="0680" w:firstRow="0" w:lastRow="0" w:firstColumn="1" w:lastColumn="0" w:noHBand="1" w:noVBand="1"/>
      </w:tblPr>
      <w:tblGrid>
        <w:gridCol w:w="3078"/>
        <w:gridCol w:w="6480"/>
      </w:tblGrid>
      <w:tr w:rsidR="000A521E" w:rsidRPr="00F116D5" w14:paraId="0CDECE9E" w14:textId="77777777" w:rsidTr="008F2578">
        <w:tc>
          <w:tcPr>
            <w:tcW w:w="3078" w:type="dxa"/>
          </w:tcPr>
          <w:p w14:paraId="357A8A93" w14:textId="77777777" w:rsidR="000A521E" w:rsidRPr="0033446C" w:rsidRDefault="000A521E" w:rsidP="008F2578">
            <w:pPr>
              <w:pStyle w:val="3ptAfter"/>
            </w:pPr>
            <w:r>
              <w:t>Access:</w:t>
            </w:r>
          </w:p>
        </w:tc>
        <w:tc>
          <w:tcPr>
            <w:tcW w:w="6480" w:type="dxa"/>
          </w:tcPr>
          <w:p w14:paraId="3922F35B" w14:textId="6BAD9654" w:rsidR="00ED2812" w:rsidRDefault="00CC6D13">
            <w:r>
              <w:t>Average</w:t>
            </w:r>
          </w:p>
        </w:tc>
      </w:tr>
      <w:tr w:rsidR="000A521E" w:rsidRPr="00F116D5" w14:paraId="35C58C17" w14:textId="77777777" w:rsidTr="008F2578">
        <w:tc>
          <w:tcPr>
            <w:tcW w:w="3078" w:type="dxa"/>
          </w:tcPr>
          <w:p w14:paraId="5AA92DBB" w14:textId="77777777" w:rsidR="000A521E" w:rsidRPr="00F116D5" w:rsidRDefault="000A521E" w:rsidP="008F2578">
            <w:pPr>
              <w:pStyle w:val="3ptAfter"/>
            </w:pPr>
            <w:r>
              <w:t>Visibility:</w:t>
            </w:r>
          </w:p>
        </w:tc>
        <w:tc>
          <w:tcPr>
            <w:tcW w:w="6480" w:type="dxa"/>
          </w:tcPr>
          <w:p w14:paraId="274C50D4" w14:textId="6D452640" w:rsidR="00ED2812" w:rsidRDefault="00CC6D13">
            <w:r>
              <w:t>Average</w:t>
            </w:r>
          </w:p>
        </w:tc>
      </w:tr>
    </w:tbl>
    <w:p w14:paraId="769C153C" w14:textId="77777777" w:rsidR="000A521E" w:rsidRDefault="000A521E" w:rsidP="000A521E">
      <w:pPr>
        <w:pStyle w:val="Heading20"/>
      </w:pPr>
      <w:r>
        <w:t>Zoning Designation</w:t>
      </w:r>
    </w:p>
    <w:tbl>
      <w:tblPr>
        <w:tblW w:w="0" w:type="auto"/>
        <w:tblLook w:val="0680" w:firstRow="0" w:lastRow="0" w:firstColumn="1" w:lastColumn="0" w:noHBand="1" w:noVBand="1"/>
      </w:tblPr>
      <w:tblGrid>
        <w:gridCol w:w="3026"/>
        <w:gridCol w:w="6154"/>
      </w:tblGrid>
      <w:tr w:rsidR="000A521E" w:rsidRPr="00F116D5" w14:paraId="5D6EB125" w14:textId="77777777" w:rsidTr="00945642">
        <w:tc>
          <w:tcPr>
            <w:tcW w:w="3026" w:type="dxa"/>
          </w:tcPr>
          <w:p w14:paraId="5CE7988E" w14:textId="77777777" w:rsidR="000A521E" w:rsidRPr="00F116D5" w:rsidRDefault="000A521E" w:rsidP="008F2578">
            <w:pPr>
              <w:pStyle w:val="3ptAfter"/>
            </w:pPr>
            <w:r>
              <w:t>Zoning Jurisdiction:</w:t>
            </w:r>
          </w:p>
        </w:tc>
        <w:tc>
          <w:tcPr>
            <w:tcW w:w="6154" w:type="dxa"/>
          </w:tcPr>
          <w:p w14:paraId="3BD45FDF" w14:textId="77777777" w:rsidR="00ED2812" w:rsidRDefault="00F54D76">
            <w:r>
              <w:t>Adams County (unincorporated)</w:t>
            </w:r>
          </w:p>
        </w:tc>
      </w:tr>
      <w:tr w:rsidR="000A521E" w:rsidRPr="00F116D5" w14:paraId="3ED48592" w14:textId="77777777" w:rsidTr="00945642">
        <w:tc>
          <w:tcPr>
            <w:tcW w:w="3026" w:type="dxa"/>
          </w:tcPr>
          <w:p w14:paraId="7A8ECF0D" w14:textId="77777777" w:rsidR="000A521E" w:rsidRPr="00F116D5" w:rsidRDefault="000A521E" w:rsidP="008F2578">
            <w:pPr>
              <w:pStyle w:val="3ptAfter"/>
            </w:pPr>
            <w:r>
              <w:t>Zoning Classification:</w:t>
            </w:r>
          </w:p>
        </w:tc>
        <w:tc>
          <w:tcPr>
            <w:tcW w:w="6154" w:type="dxa"/>
          </w:tcPr>
          <w:p w14:paraId="53AA142B" w14:textId="7EEC1CF3" w:rsidR="00ED2812" w:rsidRDefault="00CC6D13">
            <w:r>
              <w:t>I-1 (Light Industrial)</w:t>
            </w:r>
          </w:p>
        </w:tc>
      </w:tr>
    </w:tbl>
    <w:p w14:paraId="1E5177B5" w14:textId="77777777" w:rsidR="008C2A6A" w:rsidRDefault="008C2A6A" w:rsidP="007A6D34">
      <w:pPr>
        <w:pStyle w:val="Heading1"/>
      </w:pPr>
      <w:bookmarkStart w:id="5" w:name="_Toc228359489"/>
    </w:p>
    <w:p w14:paraId="02A4EC5A" w14:textId="6FA81599" w:rsidR="00DB00E4" w:rsidRDefault="007A6D34" w:rsidP="007A6D34">
      <w:pPr>
        <w:pStyle w:val="Heading1"/>
      </w:pPr>
      <w:r>
        <w:t>Improvement Description</w:t>
      </w:r>
      <w:bookmarkEnd w:id="5"/>
    </w:p>
    <w:p w14:paraId="0C0BE954" w14:textId="64F03EDA" w:rsidR="00F354B9" w:rsidRPr="00063875" w:rsidRDefault="00F354B9" w:rsidP="00F354B9">
      <w:r>
        <w:t xml:space="preserve">The subject consists of a single light industrial service garage building consisting of 2,800 square feet of building area. The building provides free-span warehouse space with minimal office (approximately 176 SF) including a restroom and shower, two 12’ x 10’ drive-in doors with drive-through capability, epoxy-coated floors, evaporative (swamp) cooling and distributed air lines. The site includes approximately 2,500 SF of fenced yard for secure outdoor storage.</w:t>
      </w:r>
    </w:p>
    <w:tbl>
      <w:tblPr>
        <w:tblW w:w="9360" w:type="dxa"/>
        <w:tblLook w:val="04A0" w:firstRow="1" w:lastRow="0" w:firstColumn="1" w:lastColumn="0" w:noHBand="0" w:noVBand="1"/>
      </w:tblPr>
      <w:tblGrid>
        <w:gridCol w:w="2880"/>
        <w:gridCol w:w="6480"/>
      </w:tblGrid>
      <w:tr w:rsidR="00F354B9" w:rsidRPr="009F2C56" w14:paraId="214D6D0B" w14:textId="77777777" w:rsidTr="008F2578">
        <w:tc>
          <w:tcPr>
            <w:tcW w:w="2880" w:type="dxa"/>
          </w:tcPr>
          <w:p w14:paraId="4002EA93" w14:textId="77777777" w:rsidR="00F354B9" w:rsidRPr="00D72A37" w:rsidRDefault="00F354B9" w:rsidP="008F2578">
            <w:pPr>
              <w:pStyle w:val="3ptAfter"/>
              <w:jc w:val="left"/>
            </w:pPr>
            <w:r>
              <w:t>Property Type:</w:t>
            </w:r>
          </w:p>
        </w:tc>
        <w:tc>
          <w:tcPr>
            <w:tcW w:w="6480" w:type="dxa"/>
          </w:tcPr>
          <w:p w14:paraId="4AEDD692" w14:textId="16CD03EC" w:rsidR="00ED2812" w:rsidRDefault="008C2A6A">
            <w:r>
              <w:t xml:space="preserve">Industrial </w:t>
            </w:r>
          </w:p>
        </w:tc>
      </w:tr>
      <w:tr w:rsidR="00F354B9" w:rsidRPr="009F2C56" w14:paraId="2779DFF6" w14:textId="77777777" w:rsidTr="008F2578">
        <w:tc>
          <w:tcPr>
            <w:tcW w:w="2880" w:type="dxa"/>
          </w:tcPr>
          <w:p w14:paraId="325CF5D8" w14:textId="77777777" w:rsidR="00F354B9" w:rsidRPr="006F0F19" w:rsidRDefault="00F354B9" w:rsidP="008F2578">
            <w:pPr>
              <w:pStyle w:val="3ptAfter"/>
              <w:jc w:val="left"/>
            </w:pPr>
            <w:r>
              <w:t>Property Subtype:</w:t>
            </w:r>
          </w:p>
        </w:tc>
        <w:tc>
          <w:tcPr>
            <w:tcW w:w="6480" w:type="dxa"/>
          </w:tcPr>
          <w:p w14:paraId="335037CF" w14:textId="7D066C7D" w:rsidR="00ED2812" w:rsidRDefault="008C2A6A">
            <w:r>
              <w:t>Service Garage</w:t>
            </w:r>
          </w:p>
        </w:tc>
      </w:tr>
      <w:tr w:rsidR="00F354B9" w:rsidRPr="009F2C56" w14:paraId="00B10DD1" w14:textId="77777777" w:rsidTr="008F2578">
        <w:tc>
          <w:tcPr>
            <w:tcW w:w="2880" w:type="dxa"/>
          </w:tcPr>
          <w:p w14:paraId="09919917" w14:textId="77777777" w:rsidR="00F354B9" w:rsidRPr="006F0F19" w:rsidRDefault="00F354B9" w:rsidP="008F2578">
            <w:pPr>
              <w:pStyle w:val="3ptAfter"/>
              <w:jc w:val="left"/>
            </w:pPr>
            <w:r>
              <w:t>Occupancy Type:</w:t>
            </w:r>
          </w:p>
        </w:tc>
        <w:tc>
          <w:tcPr>
            <w:tcW w:w="6480" w:type="dxa"/>
          </w:tcPr>
          <w:p w14:paraId="31AACE17" w14:textId="7A7CE9E6" w:rsidR="00ED2812" w:rsidRDefault="00F54D76">
            <w:r>
              <w:t xml:space="preserve">Tenant </w:t>
            </w:r>
          </w:p>
        </w:tc>
      </w:tr>
      <w:tr w:rsidR="00F354B9" w:rsidRPr="009F2C56" w14:paraId="427ACAED" w14:textId="77777777" w:rsidTr="008F2578">
        <w:tc>
          <w:tcPr>
            <w:tcW w:w="2880" w:type="dxa"/>
          </w:tcPr>
          <w:p w14:paraId="236BCD04" w14:textId="77777777" w:rsidR="00F354B9" w:rsidRPr="006F0F19" w:rsidRDefault="00F354B9" w:rsidP="008F2578">
            <w:pPr>
              <w:pStyle w:val="3ptAfter"/>
              <w:jc w:val="left"/>
            </w:pPr>
            <w:r>
              <w:t>Tenancy:</w:t>
            </w:r>
          </w:p>
        </w:tc>
        <w:tc>
          <w:tcPr>
            <w:tcW w:w="6480" w:type="dxa"/>
          </w:tcPr>
          <w:p w14:paraId="79A4CDDF" w14:textId="4F8E6D8C" w:rsidR="00ED2812" w:rsidRDefault="008C2A6A">
            <w:r>
              <w:t>Single Tenant</w:t>
            </w:r>
          </w:p>
        </w:tc>
      </w:tr>
      <w:tr w:rsidR="00F354B9" w:rsidRPr="009F2C56" w14:paraId="703B2155" w14:textId="77777777" w:rsidTr="008F2578">
        <w:tc>
          <w:tcPr>
            <w:tcW w:w="2880" w:type="dxa"/>
          </w:tcPr>
          <w:p w14:paraId="7BC7BF55" w14:textId="77777777" w:rsidR="00F354B9" w:rsidRPr="006F0F19" w:rsidRDefault="00F354B9" w:rsidP="008F2578">
            <w:pPr>
              <w:pStyle w:val="3ptAfter"/>
              <w:jc w:val="left"/>
            </w:pPr>
            <w:r>
              <w:t>Investment Class:</w:t>
            </w:r>
          </w:p>
        </w:tc>
        <w:tc>
          <w:tcPr>
            <w:tcW w:w="6480" w:type="dxa"/>
          </w:tcPr>
          <w:p w14:paraId="39042CE5" w14:textId="6FCB3471" w:rsidR="00ED2812" w:rsidRDefault="008C2A6A">
            <w:r>
              <w:t>C</w:t>
            </w:r>
          </w:p>
        </w:tc>
      </w:tr>
      <w:tr w:rsidR="00F354B9" w:rsidRPr="009F2C56" w14:paraId="4EC92F16" w14:textId="77777777" w:rsidTr="008F2578">
        <w:tc>
          <w:tcPr>
            <w:tcW w:w="2880" w:type="dxa"/>
          </w:tcPr>
          <w:p w14:paraId="277AB969" w14:textId="77777777" w:rsidR="00F354B9" w:rsidRPr="006F0F19" w:rsidRDefault="00F354B9" w:rsidP="008F2578">
            <w:pPr>
              <w:pStyle w:val="3ptAfter"/>
              <w:jc w:val="left"/>
            </w:pPr>
            <w:r>
              <w:t>Number of Buildings:</w:t>
            </w:r>
          </w:p>
        </w:tc>
        <w:tc>
          <w:tcPr>
            <w:tcW w:w="6480" w:type="dxa"/>
          </w:tcPr>
          <w:p w14:paraId="2A27AA9E" w14:textId="7CC528C6" w:rsidR="00ED2812" w:rsidRDefault="008C2A6A">
            <w:r>
              <w:t>1</w:t>
            </w:r>
          </w:p>
        </w:tc>
      </w:tr>
      <w:tr w:rsidR="00F354B9" w:rsidRPr="009F2C56" w14:paraId="5B90FB06" w14:textId="77777777" w:rsidTr="008F2578">
        <w:tc>
          <w:tcPr>
            <w:tcW w:w="2880" w:type="dxa"/>
          </w:tcPr>
          <w:p w14:paraId="172047F8" w14:textId="77777777" w:rsidR="00F354B9" w:rsidRPr="006F0F19" w:rsidRDefault="00F354B9" w:rsidP="008F2578">
            <w:pPr>
              <w:pStyle w:val="3ptAfter"/>
              <w:jc w:val="left"/>
            </w:pPr>
            <w:r>
              <w:t>Number of Stories</w:t>
            </w:r>
          </w:p>
        </w:tc>
        <w:tc>
          <w:tcPr>
            <w:tcW w:w="6480" w:type="dxa"/>
          </w:tcPr>
          <w:p w14:paraId="4C75BAED" w14:textId="77777777" w:rsidR="00ED2812" w:rsidRDefault="00F54D76">
            <w:r>
              <w:t>1</w:t>
            </w:r>
          </w:p>
        </w:tc>
      </w:tr>
      <w:tr w:rsidR="00F354B9" w:rsidRPr="009F2C56" w14:paraId="4663C94C" w14:textId="77777777" w:rsidTr="008F2578">
        <w:tc>
          <w:tcPr>
            <w:tcW w:w="2880" w:type="dxa"/>
          </w:tcPr>
          <w:p w14:paraId="63FB08B8" w14:textId="77777777" w:rsidR="00F354B9" w:rsidRPr="006F0F19" w:rsidRDefault="00F354B9" w:rsidP="008F2578">
            <w:pPr>
              <w:pStyle w:val="3ptAfter"/>
              <w:jc w:val="left"/>
            </w:pPr>
            <w:r>
              <w:t>Construction Class:</w:t>
            </w:r>
          </w:p>
        </w:tc>
        <w:tc>
          <w:tcPr>
            <w:tcW w:w="6480" w:type="dxa"/>
          </w:tcPr>
          <w:p w14:paraId="308A5821" w14:textId="77777777" w:rsidR="00ED2812" w:rsidRDefault="00F54D76">
            <w:r>
              <w:t>C</w:t>
            </w:r>
          </w:p>
        </w:tc>
      </w:tr>
      <w:tr w:rsidR="00F354B9" w:rsidRPr="009F2C56" w14:paraId="6F9C8DB1" w14:textId="77777777" w:rsidTr="008F2578">
        <w:tc>
          <w:tcPr>
            <w:tcW w:w="2880" w:type="dxa"/>
          </w:tcPr>
          <w:p w14:paraId="7D2E443E" w14:textId="77777777" w:rsidR="00F354B9" w:rsidRPr="006F0F19" w:rsidRDefault="00F354B9" w:rsidP="008F2578">
            <w:pPr>
              <w:pStyle w:val="3ptAfter"/>
              <w:jc w:val="left"/>
            </w:pPr>
            <w:r>
              <w:t>Construction Quality:</w:t>
            </w:r>
          </w:p>
        </w:tc>
        <w:tc>
          <w:tcPr>
            <w:tcW w:w="6480" w:type="dxa"/>
          </w:tcPr>
          <w:p w14:paraId="72FD0458" w14:textId="77777777" w:rsidR="00ED2812" w:rsidRDefault="00F54D76">
            <w:r>
              <w:t>Average</w:t>
            </w:r>
          </w:p>
        </w:tc>
      </w:tr>
      <w:tr w:rsidR="00F354B9" w:rsidRPr="009F2C56" w14:paraId="559E1D64" w14:textId="77777777" w:rsidTr="008F2578">
        <w:tc>
          <w:tcPr>
            <w:tcW w:w="2880" w:type="dxa"/>
          </w:tcPr>
          <w:p w14:paraId="63F4A487" w14:textId="77777777" w:rsidR="00F354B9" w:rsidRPr="006F0F19" w:rsidRDefault="00F354B9" w:rsidP="008F2578">
            <w:pPr>
              <w:pStyle w:val="3ptAfter"/>
              <w:jc w:val="left"/>
            </w:pPr>
            <w:r>
              <w:t>Gross Building Area (GBA):</w:t>
            </w:r>
          </w:p>
        </w:tc>
        <w:tc>
          <w:tcPr>
            <w:tcW w:w="6480" w:type="dxa"/>
          </w:tcPr>
          <w:p w14:paraId="3B58B82B" w14:textId="3856A107" w:rsidR="00ED2812" w:rsidRDefault="008C2A6A">
            <w:r>
              <w:t xml:space="preserve">2,800 SF</w:t>
            </w:r>
          </w:p>
        </w:tc>
      </w:tr>
      <w:tr w:rsidR="00F354B9" w:rsidRPr="009F2C56" w14:paraId="4514BC7B" w14:textId="77777777" w:rsidTr="008F2578">
        <w:tc>
          <w:tcPr>
            <w:tcW w:w="2880" w:type="dxa"/>
          </w:tcPr>
          <w:p w14:paraId="2DDA6204" w14:textId="77777777" w:rsidR="00F354B9" w:rsidRPr="006F0F19" w:rsidRDefault="00F354B9" w:rsidP="008F2578">
            <w:pPr>
              <w:pStyle w:val="3ptAfter"/>
              <w:jc w:val="left"/>
            </w:pPr>
            <w:r>
              <w:t>Net Rentable Area (NRA):</w:t>
            </w:r>
          </w:p>
        </w:tc>
        <w:tc>
          <w:tcPr>
            <w:tcW w:w="6480" w:type="dxa"/>
          </w:tcPr>
          <w:p w14:paraId="2DEF0161" w14:textId="7B289D67" w:rsidR="00ED2812" w:rsidRDefault="008C2A6A">
            <w:r>
              <w:t xml:space="preserve">2,800 SF</w:t>
            </w:r>
          </w:p>
        </w:tc>
      </w:tr>
    </w:tbl>
    <w:p w14:paraId="478F9725" w14:textId="77777777" w:rsidR="00F354B9" w:rsidRDefault="00F354B9" w:rsidP="00F354B9">
      <w:pPr>
        <w:pStyle w:val="Heading20"/>
      </w:pPr>
      <w:r>
        <w:t>Ratios &amp; Parking</w:t>
      </w:r>
    </w:p>
    <w:tbl>
      <w:tblPr>
        <w:tblW w:w="9360" w:type="dxa"/>
        <w:tblLook w:val="0680" w:firstRow="0" w:lastRow="0" w:firstColumn="1" w:lastColumn="0" w:noHBand="1" w:noVBand="1"/>
      </w:tblPr>
      <w:tblGrid>
        <w:gridCol w:w="2880"/>
        <w:gridCol w:w="6480"/>
      </w:tblGrid>
      <w:tr w:rsidR="00F354B9" w:rsidRPr="009F2C56" w14:paraId="0DE4C951" w14:textId="77777777" w:rsidTr="008F2578">
        <w:trPr>
          <w:trHeight w:val="288"/>
        </w:trPr>
        <w:tc>
          <w:tcPr>
            <w:tcW w:w="2880" w:type="dxa"/>
          </w:tcPr>
          <w:p w14:paraId="6AA645D3" w14:textId="77777777" w:rsidR="00F354B9" w:rsidRPr="003D03A0" w:rsidRDefault="00F354B9" w:rsidP="008F2578">
            <w:pPr>
              <w:pStyle w:val="3ptAfter"/>
              <w:jc w:val="left"/>
            </w:pPr>
            <w:r>
              <w:t>Land-to-Building Ratio:</w:t>
            </w:r>
          </w:p>
        </w:tc>
        <w:tc>
          <w:tcPr>
            <w:tcW w:w="6480" w:type="dxa"/>
          </w:tcPr>
          <w:p w14:paraId="07D19243" w14:textId="21EC5E73" w:rsidR="00ED2812" w:rsidRDefault="008C2A6A">
            <w:r>
              <w:t xml:space="preserve">3.58 to 1</w:t>
            </w:r>
          </w:p>
        </w:tc>
      </w:tr>
      <w:tr w:rsidR="00F354B9" w:rsidRPr="009F2C56" w14:paraId="16F9AEBE" w14:textId="77777777" w:rsidTr="008F2578">
        <w:tc>
          <w:tcPr>
            <w:tcW w:w="2880" w:type="dxa"/>
          </w:tcPr>
          <w:p w14:paraId="1D0BEC03" w14:textId="77777777" w:rsidR="00F354B9" w:rsidRPr="003D03A0" w:rsidRDefault="00F354B9" w:rsidP="008F2578">
            <w:pPr>
              <w:pStyle w:val="3ptAfter"/>
              <w:jc w:val="left"/>
            </w:pPr>
            <w:r>
              <w:t>Parking Spaces:</w:t>
            </w:r>
          </w:p>
        </w:tc>
        <w:tc>
          <w:tcPr>
            <w:tcW w:w="6480" w:type="dxa"/>
          </w:tcPr>
          <w:p w14:paraId="6D6A02C8" w14:textId="137C7F01" w:rsidR="00ED2812" w:rsidRDefault="008C2A6A">
            <w:r>
              <w:t>Surface (unstriped)</w:t>
            </w:r>
          </w:p>
        </w:tc>
      </w:tr>
    </w:tbl>
    <w:p w14:paraId="543F96AE" w14:textId="77777777" w:rsidR="00F354B9" w:rsidRPr="00CE4E6C" w:rsidRDefault="00F354B9" w:rsidP="00F354B9">
      <w:pPr>
        <w:pStyle w:val="Heading20"/>
      </w:pPr>
      <w:r>
        <w:t>Age / Life</w:t>
      </w:r>
    </w:p>
    <w:tbl>
      <w:tblPr>
        <w:tblW w:w="9360" w:type="dxa"/>
        <w:tblLook w:val="0680" w:firstRow="0" w:lastRow="0" w:firstColumn="1" w:lastColumn="0" w:noHBand="1" w:noVBand="1"/>
      </w:tblPr>
      <w:tblGrid>
        <w:gridCol w:w="2880"/>
        <w:gridCol w:w="6480"/>
      </w:tblGrid>
      <w:tr w:rsidR="00F354B9" w:rsidRPr="004B2324" w14:paraId="586C5BBB" w14:textId="77777777" w:rsidTr="008F2578">
        <w:tc>
          <w:tcPr>
            <w:tcW w:w="2880" w:type="dxa"/>
          </w:tcPr>
          <w:p w14:paraId="268481E8" w14:textId="77777777" w:rsidR="00F354B9" w:rsidRPr="003D03A0" w:rsidRDefault="00F354B9" w:rsidP="008F2578">
            <w:pPr>
              <w:pStyle w:val="3ptAfter"/>
              <w:jc w:val="left"/>
            </w:pPr>
            <w:r>
              <w:t>Year Built:</w:t>
            </w:r>
          </w:p>
        </w:tc>
        <w:tc>
          <w:tcPr>
            <w:tcW w:w="6480" w:type="dxa"/>
          </w:tcPr>
          <w:p w14:paraId="44785BF3" w14:textId="657AB51E" w:rsidR="00ED2812" w:rsidRDefault="00F54D76">
            <w:r>
              <w:t>1982</w:t>
            </w:r>
          </w:p>
        </w:tc>
      </w:tr>
      <w:tr w:rsidR="00F354B9" w:rsidRPr="00397B14" w14:paraId="32D7D7F0" w14:textId="77777777" w:rsidTr="008F2578">
        <w:tc>
          <w:tcPr>
            <w:tcW w:w="2880" w:type="dxa"/>
          </w:tcPr>
          <w:p w14:paraId="2335FBA0" w14:textId="77777777" w:rsidR="00F354B9" w:rsidRPr="003D03A0" w:rsidRDefault="00F354B9" w:rsidP="008F2578">
            <w:pPr>
              <w:pStyle w:val="3ptAfter"/>
              <w:jc w:val="left"/>
            </w:pPr>
            <w:r>
              <w:t>Condition:</w:t>
            </w:r>
          </w:p>
        </w:tc>
        <w:tc>
          <w:tcPr>
            <w:tcW w:w="6480" w:type="dxa"/>
          </w:tcPr>
          <w:p w14:paraId="6902FE04" w14:textId="18F6A670" w:rsidR="00ED2812" w:rsidRDefault="00030011">
            <w:r>
              <w:t>Average</w:t>
            </w:r>
          </w:p>
        </w:tc>
      </w:tr>
      <w:tr w:rsidR="00F354B9" w:rsidRPr="00397B14" w14:paraId="5EE394FF" w14:textId="77777777" w:rsidTr="008F2578">
        <w:tc>
          <w:tcPr>
            <w:tcW w:w="2880" w:type="dxa"/>
          </w:tcPr>
          <w:p w14:paraId="1D83EF07" w14:textId="77777777" w:rsidR="00F354B9" w:rsidRPr="003D03A0" w:rsidRDefault="00F354B9" w:rsidP="008F2578">
            <w:pPr>
              <w:pStyle w:val="3ptAfter"/>
              <w:jc w:val="left"/>
            </w:pPr>
            <w:r>
              <w:t>Actual Age:</w:t>
            </w:r>
          </w:p>
        </w:tc>
        <w:tc>
          <w:tcPr>
            <w:tcW w:w="6480" w:type="dxa"/>
          </w:tcPr>
          <w:p w14:paraId="6975950A" w14:textId="75FC3D45" w:rsidR="00ED2812" w:rsidRDefault="00F54D76">
            <w:r>
              <w:t xml:space="preserve">44 years</w:t>
            </w:r>
          </w:p>
        </w:tc>
      </w:tr>
      <w:tr w:rsidR="00F354B9" w:rsidRPr="00397B14" w14:paraId="158F0FBF" w14:textId="77777777" w:rsidTr="008F2578">
        <w:tc>
          <w:tcPr>
            <w:tcW w:w="2880" w:type="dxa"/>
          </w:tcPr>
          <w:p w14:paraId="5BD7D7D9" w14:textId="5FF68F3A" w:rsidR="00F354B9" w:rsidRPr="003D03A0" w:rsidRDefault="00F354B9" w:rsidP="008F2578">
            <w:pPr>
              <w:pStyle w:val="3ptAfter"/>
              <w:jc w:val="left"/>
            </w:pPr>
          </w:p>
        </w:tc>
        <w:tc>
          <w:tcPr>
            <w:tcW w:w="6480" w:type="dxa"/>
          </w:tcPr>
          <w:p w14:paraId="0280782D" w14:textId="0A2C48EE" w:rsidR="00ED2812" w:rsidRDefault="00ED2812"/>
        </w:tc>
      </w:tr>
      <w:tr w:rsidR="00F354B9" w:rsidRPr="00397B14" w14:paraId="068D7D0A" w14:textId="77777777" w:rsidTr="008F2578">
        <w:tc>
          <w:tcPr>
            <w:tcW w:w="2880" w:type="dxa"/>
          </w:tcPr>
          <w:p w14:paraId="2C5BCB1C" w14:textId="377130C1" w:rsidR="00F354B9" w:rsidRPr="003D03A0" w:rsidRDefault="00F354B9" w:rsidP="008F2578">
            <w:pPr>
              <w:pStyle w:val="3ptAfter"/>
              <w:jc w:val="left"/>
            </w:pPr>
          </w:p>
        </w:tc>
        <w:tc>
          <w:tcPr>
            <w:tcW w:w="6480" w:type="dxa"/>
          </w:tcPr>
          <w:p w14:paraId="588BCEE8" w14:textId="10E189D3" w:rsidR="00ED2812" w:rsidRDefault="00ED2812"/>
        </w:tc>
      </w:tr>
      <w:tr w:rsidR="00F354B9" w:rsidRPr="00397B14" w14:paraId="2BAF0056" w14:textId="77777777" w:rsidTr="008F2578">
        <w:tc>
          <w:tcPr>
            <w:tcW w:w="2880" w:type="dxa"/>
          </w:tcPr>
          <w:p w14:paraId="7D02AB8A" w14:textId="14638965" w:rsidR="00F354B9" w:rsidRPr="003D03A0" w:rsidRDefault="00F354B9" w:rsidP="008F2578">
            <w:pPr>
              <w:pStyle w:val="3ptAfter"/>
              <w:jc w:val="left"/>
            </w:pPr>
          </w:p>
        </w:tc>
        <w:tc>
          <w:tcPr>
            <w:tcW w:w="6480" w:type="dxa"/>
          </w:tcPr>
          <w:p w14:paraId="6A7BD533" w14:textId="0C68326F" w:rsidR="00ED2812" w:rsidRDefault="00ED2812"/>
        </w:tc>
      </w:tr>
    </w:tbl>
    <w:p w14:paraId="53AF29AF" w14:textId="77777777" w:rsidR="00030011" w:rsidRDefault="00030011" w:rsidP="006078D2">
      <w:pPr>
        <w:rPr>
          <w:b/>
          <w:bCs/>
          <w:sz w:val="32"/>
          <w:szCs w:val="32"/>
        </w:rPr>
      </w:pPr>
    </w:p>
    <w:p w14:paraId="4E42E073" w14:textId="585285B1" w:rsidR="00BB0E37" w:rsidRDefault="00BB0E37" w:rsidP="006078D2">
      <w:pPr>
        <w:rPr>
          <w:b/>
          <w:bCs/>
          <w:sz w:val="32"/>
          <w:szCs w:val="32"/>
        </w:rPr>
      </w:pPr>
      <w:r>
        <w:rPr>
          <w:b/>
          <w:bCs/>
          <w:sz w:val="32"/>
          <w:szCs w:val="32"/>
        </w:rPr>
        <w:lastRenderedPageBreak/>
        <w:t>Subject Photos</w:t>
      </w:r>
    </w:p>
    <w:p w14:paraId="35E945DF" w14:textId="6C374E39" w:rsidR="00BB0E37" w:rsidRDefault="00E4606B" w:rsidP="008C2A6A">
      <w:pPr>
        <w:rPr>
          <w:b/>
          <w:bCs/>
          <w:sz w:val="32"/>
          <w:szCs w:val="32"/>
        </w:rPr>
      </w:pPr>
      <w:r>
        <w:rPr>
          <w:b/>
          <w:bCs/>
          <w:sz w:val="32"/>
          <w:szCs w:val="32"/>
          <w:highlight w:val="yellow"/>
        </w:rPr>
        <w:t xml:space="preserve">(Subject photos to be inserted – date of inspection)</w:t>
      </w:r>
    </w:p>
    <w:p w14:paraId="082C3FBC" w14:textId="6AEB9EC8" w:rsidR="00E4606B" w:rsidRDefault="008C2A6A" w:rsidP="00BB0E37">
      <w:pPr>
        <w:jc w:val="center"/>
        <w:rPr>
          <w:b/>
          <w:bCs/>
          <w:sz w:val="32"/>
          <w:szCs w:val="32"/>
        </w:rPr>
      </w:pPr>
      <w:r>
        <w:rPr>
          <w:b/>
          <w:bCs/>
          <w:noProof/>
          <w:sz w:val="32"/>
          <w:szCs w:val="32"/>
        </w:rPr>
        <w:drawing>
          <wp:inline distT="0" distB="0" distL="0" distR="0" wp14:anchorId="27D4A4F1" wp14:editId="4795AA1E">
            <wp:extent cx="4351199" cy="2898475"/>
            <wp:effectExtent l="0" t="0" r="0" b="0"/>
            <wp:docPr id="18241226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65384" cy="2907924"/>
                    </a:xfrm>
                    <a:prstGeom prst="rect">
                      <a:avLst/>
                    </a:prstGeom>
                    <a:noFill/>
                    <a:ln>
                      <a:noFill/>
                    </a:ln>
                  </pic:spPr>
                </pic:pic>
              </a:graphicData>
            </a:graphic>
          </wp:inline>
        </w:drawing>
      </w:r>
    </w:p>
    <w:p w14:paraId="4974B7E2" w14:textId="553E5B6F" w:rsidR="008C2A6A" w:rsidRDefault="008C2A6A" w:rsidP="00BB0E37">
      <w:pPr>
        <w:jc w:val="center"/>
        <w:rPr>
          <w:b/>
          <w:bCs/>
          <w:sz w:val="32"/>
          <w:szCs w:val="32"/>
        </w:rPr>
      </w:pPr>
      <w:r>
        <w:rPr>
          <w:b/>
          <w:bCs/>
          <w:noProof/>
          <w:sz w:val="32"/>
          <w:szCs w:val="32"/>
        </w:rPr>
        <w:drawing>
          <wp:inline distT="0" distB="0" distL="0" distR="0" wp14:anchorId="19510A09" wp14:editId="16FEC9F0">
            <wp:extent cx="4364149" cy="2907102"/>
            <wp:effectExtent l="0" t="0" r="0" b="7620"/>
            <wp:docPr id="14639876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70670" cy="2911446"/>
                    </a:xfrm>
                    <a:prstGeom prst="rect">
                      <a:avLst/>
                    </a:prstGeom>
                    <a:noFill/>
                    <a:ln>
                      <a:noFill/>
                    </a:ln>
                  </pic:spPr>
                </pic:pic>
              </a:graphicData>
            </a:graphic>
          </wp:inline>
        </w:drawing>
      </w:r>
    </w:p>
    <w:p w14:paraId="2797D252" w14:textId="77777777" w:rsidR="008C2A6A" w:rsidRDefault="008C2A6A" w:rsidP="00BB0E37">
      <w:pPr>
        <w:jc w:val="center"/>
        <w:rPr>
          <w:b/>
          <w:bCs/>
          <w:sz w:val="32"/>
          <w:szCs w:val="32"/>
        </w:rPr>
      </w:pPr>
    </w:p>
    <w:p w14:paraId="07801922" w14:textId="78D8C769" w:rsidR="008C2A6A" w:rsidRDefault="008C2A6A" w:rsidP="00BB0E37">
      <w:pPr>
        <w:jc w:val="center"/>
        <w:rPr>
          <w:b/>
          <w:bCs/>
          <w:sz w:val="32"/>
          <w:szCs w:val="32"/>
        </w:rPr>
      </w:pPr>
      <w:r>
        <w:rPr>
          <w:b/>
          <w:bCs/>
          <w:noProof/>
          <w:sz w:val="32"/>
          <w:szCs w:val="32"/>
        </w:rPr>
        <w:lastRenderedPageBreak/>
        <w:drawing>
          <wp:inline distT="0" distB="0" distL="0" distR="0" wp14:anchorId="5374995D" wp14:editId="16A36FA5">
            <wp:extent cx="5076399" cy="3381554"/>
            <wp:effectExtent l="0" t="0" r="0" b="9525"/>
            <wp:docPr id="11957054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97094" cy="3395340"/>
                    </a:xfrm>
                    <a:prstGeom prst="rect">
                      <a:avLst/>
                    </a:prstGeom>
                    <a:noFill/>
                    <a:ln>
                      <a:noFill/>
                    </a:ln>
                  </pic:spPr>
                </pic:pic>
              </a:graphicData>
            </a:graphic>
          </wp:inline>
        </w:drawing>
      </w:r>
    </w:p>
    <w:p w14:paraId="62C90EC4" w14:textId="617D0644" w:rsidR="008C2A6A" w:rsidRDefault="008C2A6A" w:rsidP="00BB0E37">
      <w:pPr>
        <w:jc w:val="center"/>
        <w:rPr>
          <w:b/>
          <w:bCs/>
          <w:sz w:val="32"/>
          <w:szCs w:val="32"/>
        </w:rPr>
      </w:pPr>
      <w:r>
        <w:rPr>
          <w:b/>
          <w:bCs/>
          <w:noProof/>
          <w:sz w:val="32"/>
          <w:szCs w:val="32"/>
        </w:rPr>
        <w:drawing>
          <wp:inline distT="0" distB="0" distL="0" distR="0" wp14:anchorId="7DA29519" wp14:editId="51467280">
            <wp:extent cx="5089585" cy="3390338"/>
            <wp:effectExtent l="0" t="0" r="0" b="635"/>
            <wp:docPr id="20380412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04282" cy="3400128"/>
                    </a:xfrm>
                    <a:prstGeom prst="rect">
                      <a:avLst/>
                    </a:prstGeom>
                    <a:noFill/>
                    <a:ln>
                      <a:noFill/>
                    </a:ln>
                  </pic:spPr>
                </pic:pic>
              </a:graphicData>
            </a:graphic>
          </wp:inline>
        </w:drawing>
      </w:r>
    </w:p>
    <w:p w14:paraId="34DE0CC4" w14:textId="3E6112BD" w:rsidR="008C2A6A" w:rsidRDefault="008C2A6A" w:rsidP="00BB0E37">
      <w:pPr>
        <w:jc w:val="center"/>
        <w:rPr>
          <w:b/>
          <w:bCs/>
          <w:sz w:val="32"/>
          <w:szCs w:val="32"/>
        </w:rPr>
      </w:pPr>
      <w:r>
        <w:rPr>
          <w:b/>
          <w:bCs/>
          <w:noProof/>
          <w:sz w:val="32"/>
          <w:szCs w:val="32"/>
        </w:rPr>
        <w:lastRenderedPageBreak/>
        <w:drawing>
          <wp:inline distT="0" distB="0" distL="0" distR="0" wp14:anchorId="33BBDF54" wp14:editId="793DC1F3">
            <wp:extent cx="4939501" cy="3295290"/>
            <wp:effectExtent l="0" t="0" r="0" b="635"/>
            <wp:docPr id="11986211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50014" cy="3302304"/>
                    </a:xfrm>
                    <a:prstGeom prst="rect">
                      <a:avLst/>
                    </a:prstGeom>
                    <a:noFill/>
                    <a:ln>
                      <a:noFill/>
                    </a:ln>
                  </pic:spPr>
                </pic:pic>
              </a:graphicData>
            </a:graphic>
          </wp:inline>
        </w:drawing>
      </w:r>
    </w:p>
    <w:p w14:paraId="275D86D7" w14:textId="75937315" w:rsidR="008C2A6A" w:rsidRDefault="008C2A6A" w:rsidP="00BB0E37">
      <w:pPr>
        <w:jc w:val="center"/>
        <w:rPr>
          <w:b/>
          <w:bCs/>
          <w:sz w:val="32"/>
          <w:szCs w:val="32"/>
        </w:rPr>
      </w:pPr>
      <w:r>
        <w:rPr>
          <w:b/>
          <w:bCs/>
          <w:noProof/>
          <w:sz w:val="32"/>
          <w:szCs w:val="32"/>
        </w:rPr>
        <w:drawing>
          <wp:inline distT="0" distB="0" distL="0" distR="0" wp14:anchorId="70A2B206" wp14:editId="1D5C4E8A">
            <wp:extent cx="4960189" cy="3309092"/>
            <wp:effectExtent l="0" t="0" r="0" b="5715"/>
            <wp:docPr id="21059547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71647" cy="3316736"/>
                    </a:xfrm>
                    <a:prstGeom prst="rect">
                      <a:avLst/>
                    </a:prstGeom>
                    <a:noFill/>
                    <a:ln>
                      <a:noFill/>
                    </a:ln>
                  </pic:spPr>
                </pic:pic>
              </a:graphicData>
            </a:graphic>
          </wp:inline>
        </w:drawing>
      </w:r>
    </w:p>
    <w:p w14:paraId="4F3A38DE" w14:textId="023B7CAE" w:rsidR="008C2A6A" w:rsidRDefault="008C2A6A" w:rsidP="00BB0E37">
      <w:pPr>
        <w:jc w:val="center"/>
        <w:rPr>
          <w:b/>
          <w:bCs/>
          <w:sz w:val="32"/>
          <w:szCs w:val="32"/>
        </w:rPr>
      </w:pPr>
      <w:r>
        <w:rPr>
          <w:b/>
          <w:bCs/>
          <w:noProof/>
          <w:sz w:val="32"/>
          <w:szCs w:val="32"/>
        </w:rPr>
        <w:lastRenderedPageBreak/>
        <w:drawing>
          <wp:inline distT="0" distB="0" distL="0" distR="0" wp14:anchorId="6DE70ADB" wp14:editId="01B1CEEF">
            <wp:extent cx="5081738" cy="3390181"/>
            <wp:effectExtent l="0" t="0" r="5080" b="1270"/>
            <wp:docPr id="21182682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01989" cy="3403691"/>
                    </a:xfrm>
                    <a:prstGeom prst="rect">
                      <a:avLst/>
                    </a:prstGeom>
                    <a:noFill/>
                    <a:ln>
                      <a:noFill/>
                    </a:ln>
                  </pic:spPr>
                </pic:pic>
              </a:graphicData>
            </a:graphic>
          </wp:inline>
        </w:drawing>
      </w:r>
    </w:p>
    <w:p w14:paraId="6B489FEF" w14:textId="407E6A81" w:rsidR="008C2A6A" w:rsidRDefault="008C2A6A" w:rsidP="00BB0E37">
      <w:pPr>
        <w:jc w:val="center"/>
        <w:rPr>
          <w:b/>
          <w:bCs/>
          <w:sz w:val="32"/>
          <w:szCs w:val="32"/>
        </w:rPr>
      </w:pPr>
      <w:r>
        <w:rPr>
          <w:b/>
          <w:bCs/>
          <w:noProof/>
          <w:sz w:val="32"/>
          <w:szCs w:val="32"/>
        </w:rPr>
        <w:drawing>
          <wp:inline distT="0" distB="0" distL="0" distR="0" wp14:anchorId="7F7FA155" wp14:editId="69CD3D33">
            <wp:extent cx="5132717" cy="3424191"/>
            <wp:effectExtent l="0" t="0" r="0" b="5080"/>
            <wp:docPr id="3348960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140568" cy="3429428"/>
                    </a:xfrm>
                    <a:prstGeom prst="rect">
                      <a:avLst/>
                    </a:prstGeom>
                    <a:noFill/>
                    <a:ln>
                      <a:noFill/>
                    </a:ln>
                  </pic:spPr>
                </pic:pic>
              </a:graphicData>
            </a:graphic>
          </wp:inline>
        </w:drawing>
      </w:r>
    </w:p>
    <w:p w14:paraId="380B9938" w14:textId="08F32B06" w:rsidR="00E4606B" w:rsidRDefault="00E4606B" w:rsidP="00E1389F">
      <w:pPr>
        <w:jc w:val="center"/>
        <w:rPr>
          <w:b/>
          <w:bCs/>
          <w:noProof/>
          <w:sz w:val="32"/>
          <w:szCs w:val="32"/>
        </w:rPr>
      </w:pPr>
    </w:p>
    <w:p w14:paraId="6ABF39C0" w14:textId="77777777" w:rsidR="00E4606B" w:rsidRDefault="00E4606B" w:rsidP="001C7A9B">
      <w:pPr>
        <w:rPr>
          <w:b/>
          <w:bCs/>
          <w:noProof/>
          <w:sz w:val="32"/>
          <w:szCs w:val="32"/>
        </w:rPr>
      </w:pPr>
    </w:p>
    <w:p w14:paraId="163DF6FB" w14:textId="6D5792FF" w:rsidR="006078D2" w:rsidRDefault="006078D2" w:rsidP="006078D2">
      <w:pPr>
        <w:rPr>
          <w:b/>
          <w:bCs/>
          <w:sz w:val="32"/>
          <w:szCs w:val="32"/>
        </w:rPr>
      </w:pPr>
      <w:r>
        <w:rPr>
          <w:b/>
          <w:bCs/>
          <w:sz w:val="32"/>
          <w:szCs w:val="32"/>
        </w:rPr>
        <w:lastRenderedPageBreak/>
        <w:t>Assessor’s Map</w:t>
      </w:r>
    </w:p>
    <w:p w14:paraId="37E9C905" w14:textId="09E2B558" w:rsidR="006078D2" w:rsidRDefault="001C7A9B" w:rsidP="006078D2">
      <w:pPr>
        <w:rPr>
          <w:b/>
          <w:bCs/>
          <w:sz w:val="32"/>
          <w:szCs w:val="32"/>
        </w:rPr>
      </w:pPr>
      <w:r>
        <w:rPr>
          <w:sz w:val="32"/>
          <w:szCs w:val="32"/>
        </w:rPr>
        <w:drawing>
          <wp:inline distT="0" distB="0" distL="0" distR="0" wp14:anchorId="59539F7F" wp14:editId="77F414C2">
            <wp:extent cx="5943600" cy="4131310"/>
            <wp:effectExtent l="0" t="0" r="0" b="2540"/>
            <wp:docPr id="34670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03623" name=""/>
                    <pic:cNvPicPr/>
                  </pic:nvPicPr>
                  <pic:blipFill>
                    <a:blip r:embed="rId34"/>
                    <a:stretch>
                      <a:fillRect/>
                    </a:stretch>
                  </pic:blipFill>
                  <pic:spPr>
                    <a:xfrm>
                      <a:off x="0" y="0"/>
                      <a:ext cx="5943600" cy="4131310"/>
                    </a:xfrm>
                    <a:prstGeom prst="rect">
                      <a:avLst/>
                    </a:prstGeom>
                  </pic:spPr>
                </pic:pic>
              </a:graphicData>
            </a:graphic>
          </wp:inline>
        </w:drawing>
        <w:br w:type="page"/>
      </w:r>
    </w:p>
    <w:p w14:paraId="25A67979" w14:textId="36C7C514" w:rsidR="006078D2" w:rsidRDefault="006078D2" w:rsidP="00A31618">
      <w:pPr>
        <w:rPr>
          <w:b/>
          <w:bCs/>
          <w:sz w:val="32"/>
          <w:szCs w:val="32"/>
        </w:rPr>
      </w:pPr>
      <w:r>
        <w:rPr>
          <w:b/>
          <w:bCs/>
          <w:sz w:val="32"/>
          <w:szCs w:val="32"/>
        </w:rPr>
        <w:lastRenderedPageBreak/>
        <w:t>Zoning Map</w:t>
      </w:r>
    </w:p>
    <w:p w14:paraId="4B70E286" w14:textId="742E7EEA" w:rsidR="006078D2" w:rsidRDefault="00A31618" w:rsidP="006078D2">
      <w:pPr>
        <w:rPr>
          <w:b/>
          <w:bCs/>
          <w:sz w:val="32"/>
          <w:szCs w:val="32"/>
        </w:rPr>
      </w:pPr>
      <w:r>
        <w:rPr>
          <w:b/>
          <w:bCs/>
          <w:sz w:val="32"/>
          <w:szCs w:val="32"/>
        </w:rPr>
        <w:drawing>
          <wp:inline distT="0" distB="0" distL="0" distR="0" wp14:anchorId="5FE312AF" wp14:editId="2550B923">
            <wp:extent cx="5401429" cy="4324954"/>
            <wp:effectExtent l="0" t="0" r="8890" b="0"/>
            <wp:docPr id="90848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86641" name=""/>
                    <pic:cNvPicPr/>
                  </pic:nvPicPr>
                  <pic:blipFill>
                    <a:blip r:embed="rId35"/>
                    <a:stretch>
                      <a:fillRect/>
                    </a:stretch>
                  </pic:blipFill>
                  <pic:spPr>
                    <a:xfrm>
                      <a:off x="0" y="0"/>
                      <a:ext cx="5401429" cy="4324954"/>
                    </a:xfrm>
                    <a:prstGeom prst="rect">
                      <a:avLst/>
                    </a:prstGeom>
                  </pic:spPr>
                </pic:pic>
              </a:graphicData>
            </a:graphic>
          </wp:inline>
        </w:drawing>
        <w:br w:type="page"/>
        <w:lastRenderedPageBreak/>
        <w:t>Flood Map</w:t>
      </w:r>
    </w:p>
    <w:p w14:paraId="78C58FDD" w14:textId="7825E4EC" w:rsidR="00A31618" w:rsidRDefault="00A31618" w:rsidP="006078D2">
      <w:pPr>
        <w:rPr>
          <w:b/>
          <w:bCs/>
          <w:sz w:val="32"/>
          <w:szCs w:val="32"/>
        </w:rPr>
      </w:pPr>
      <w:r>
        <w:rPr>
          <w:b/>
          <w:bCs/>
          <w:sz w:val="32"/>
          <w:szCs w:val="32"/>
          <w:highlight w:val="yellow"/>
        </w:rPr>
        <w:t xml:space="preserve">Flood zone: confirm on the FEMA FIRM (panel no. and zone) before issuing.</w:t>
      </w:r>
    </w:p>
    <w:p w14:paraId="21C9112E" w14:textId="426C728C" w:rsidR="006078D2" w:rsidRDefault="00A31618" w:rsidP="006078D2">
      <w:pPr>
        <w:rPr>
          <w:b/>
          <w:bCs/>
          <w:sz w:val="32"/>
          <w:szCs w:val="32"/>
        </w:rPr>
      </w:pPr>
      <w:r>
        <w:rPr>
          <w:b/>
          <w:bCs/>
          <w:noProof/>
          <w:sz w:val="32"/>
          <w:szCs w:val="32"/>
        </w:rPr>
        <w:drawing>
          <wp:inline distT="0" distB="0" distL="0" distR="0" wp14:anchorId="2234D652" wp14:editId="1314374C">
            <wp:extent cx="5940018" cy="4814429"/>
            <wp:effectExtent l="0" t="0" r="3810" b="5715"/>
            <wp:docPr id="15653432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50342" cy="4822797"/>
                    </a:xfrm>
                    <a:prstGeom prst="rect">
                      <a:avLst/>
                    </a:prstGeom>
                    <a:noFill/>
                  </pic:spPr>
                </pic:pic>
              </a:graphicData>
            </a:graphic>
          </wp:inline>
        </w:drawing>
      </w:r>
      <w:r>
        <w:rPr>
          <w:b/>
          <w:bCs/>
          <w:sz w:val="32"/>
          <w:szCs w:val="32"/>
        </w:rPr>
        <w:br w:type="page"/>
      </w:r>
    </w:p>
    <w:p w14:paraId="4069B88F" w14:textId="77777777" w:rsidR="00AE07E1" w:rsidRDefault="006078D2" w:rsidP="006078D2">
      <w:pPr>
        <w:pStyle w:val="Heading1"/>
      </w:pPr>
      <w:bookmarkStart w:id="6" w:name="_Toc403652329"/>
      <w:bookmarkStart w:id="7" w:name="_Toc38446827"/>
      <w:bookmarkStart w:id="8" w:name="_Toc192756784"/>
      <w:bookmarkStart w:id="9" w:name="_Toc228359490"/>
      <w:r>
        <w:lastRenderedPageBreak/>
        <w:t>Highest and Best Use</w:t>
      </w:r>
      <w:bookmarkEnd w:id="6"/>
      <w:r>
        <w:t xml:space="preserve"> Analysis</w:t>
      </w:r>
      <w:bookmarkEnd w:id="7"/>
      <w:bookmarkEnd w:id="8"/>
      <w:bookmarkEnd w:id="9"/>
    </w:p>
    <w:p w14:paraId="32DA1154" w14:textId="77777777" w:rsidR="00AE07E1" w:rsidRDefault="00AE07E1" w:rsidP="00AE07E1">
      <w:r>
        <w:rPr>
          <w:rFonts w:cs="Segoe UI"/>
        </w:rPr>
        <w:t xml:space="preserve">The Highest and Best Use of a property is the use that is legally permissible, physically possible, and financially feasible which results in the highest value. </w:t>
      </w:r>
      <w:r>
        <w:t xml:space="preserve">An opinion of the highest and best use results from consideration of the criteria noted above under the market conditions or likely conditions as of the effective date of value. Determination of highest and best use results from the judgment and analytical skills of the appraiser. It represents an opinion, not a fact. In appraisal practice, the concept of highest and best use represents the premise upon which value is based. </w:t>
      </w:r>
    </w:p>
    <w:p w14:paraId="72D79303" w14:textId="77777777" w:rsidR="00AE07E1" w:rsidRPr="00DD0BEC" w:rsidRDefault="00AE07E1" w:rsidP="00AE07E1">
      <w:pPr>
        <w:pStyle w:val="Heading20"/>
      </w:pPr>
      <w:r>
        <w:t xml:space="preserve">Highest and Best Use </w:t>
      </w:r>
      <w:fldSimple w:instr=" DOCVARIABLE HBU_Label_Vacant_Title \* MERGEFORMAT ">
        <w:r>
          <w:t>As Though Vacant</w:t>
        </w:r>
      </w:fldSimple>
      <w:bookmarkStart w:id="10" w:name="_Hlk107225016"/>
    </w:p>
    <w:p w14:paraId="532FCF94" w14:textId="77777777" w:rsidR="00AE07E1" w:rsidRPr="007A1D5B" w:rsidRDefault="00AE07E1" w:rsidP="00AE07E1">
      <w:r>
        <w:t xml:space="preserve">The primary determinants of the highest and best use </w:t>
      </w:r>
      <w:fldSimple w:instr=" DOCVARIABLE HBU_Label_Vacant_Text \* MERGEFORMAT ">
        <w:r>
          <w:t>as though vacant</w:t>
        </w:r>
      </w:fldSimple>
      <w:r>
        <w:t xml:space="preserve"> are (1) Legal permissibility, (2) Physical possibility, (3) Financial feasibility, and (4) Maximum productivity.</w:t>
      </w:r>
    </w:p>
    <w:bookmarkEnd w:id="10"/>
    <w:p w14:paraId="6C3B3369" w14:textId="77777777" w:rsidR="00AE07E1" w:rsidRPr="00EC1835" w:rsidRDefault="00AE07E1" w:rsidP="00AE07E1">
      <w:pPr>
        <w:pStyle w:val="Heading30"/>
      </w:pPr>
      <w:r>
        <w:t>Legally Permissible</w:t>
      </w:r>
    </w:p>
    <w:p w14:paraId="36302A66" w14:textId="51D6417E" w:rsidR="00AE07E1" w:rsidRDefault="00B86F92" w:rsidP="00AE07E1">
      <w:pPr>
        <w:rPr>
          <w:color w:val="000000"/>
        </w:rPr>
      </w:pPr>
      <w:r>
        <w:t xml:space="preserve">The subject is zoned I-1. All uses under the I-1 zoning district are permitted. There are no known easements, encroachments, covenants or other use restrictions that would unduly limit or impede continued use.</w:t>
      </w:r>
    </w:p>
    <w:p w14:paraId="70D74A37" w14:textId="77777777" w:rsidR="00AE07E1" w:rsidRPr="00EC1835" w:rsidRDefault="00AE07E1" w:rsidP="00AE07E1">
      <w:pPr>
        <w:pStyle w:val="Heading30"/>
      </w:pPr>
      <w:r>
        <w:t>Physically Possible</w:t>
      </w:r>
    </w:p>
    <w:p w14:paraId="0E4724E8" w14:textId="412CB12D" w:rsidR="00AE07E1" w:rsidRDefault="00AE07E1" w:rsidP="00AE07E1">
      <w:bookmarkStart w:id="11" w:name="_Hlk107225025"/>
      <w:r>
        <w:t>The physical characteristics of the subject site are presented in the Site Description and allow for a number of potential uses. Elements such as size, shape, availability of</w:t>
      </w:r>
      <w:r>
        <w:rPr>
          <w:rFonts w:eastAsia="Times New Roman" w:cs="Segoe UI"/>
          <w:szCs w:val="20"/>
        </w:rPr>
        <w:t xml:space="preserve"> utilities, known hazards (flood, environmental, etc.), and other potential influences were considered. </w:t>
      </w:r>
      <w:sdt>
        <w:sdtPr>
          <w:alias w:val="?? PhyscallyPossibleUtility"/>
          <w:tag w:val="?? PhyscallyPossibleUtility"/>
          <w:id w:val="361484129"/>
          <w:placeholder>
            <w:docPart w:val="86C8B1C88DAF4A5984604C7A0D0A990A"/>
          </w:placeholder>
          <w:comboBox>
            <w:listItem w:displayText="No physical attributes materially limit legally permissible and appropriate development." w:value="No physical attributes materially limit legally permissible and appropriate development."/>
            <w:listItem w:displayText="The utility of the site is adversely impacted by the characteristics noted in the Site Description." w:value="The utility of the site is adversely impacted by the characteristics noted in the Site Description."/>
          </w:comboBox>
        </w:sdtPr>
        <w:sdtEndPr/>
        <w:sdtContent>
          <w:r>
            <w:t>No physical attributes materially limit legally permissible and appropriate development.</w:t>
          </w:r>
        </w:sdtContent>
      </w:sdt>
      <w:r>
        <w:t xml:space="preserve"> The most probable use of the site is for light industrial development.</w:t>
      </w:r>
    </w:p>
    <w:bookmarkEnd w:id="11"/>
    <w:p w14:paraId="5A5F94BF" w14:textId="77777777" w:rsidR="00AE07E1" w:rsidRPr="00EC1835" w:rsidRDefault="00AE07E1" w:rsidP="00AE07E1">
      <w:pPr>
        <w:pStyle w:val="Heading30"/>
      </w:pPr>
      <w:r>
        <w:t>Financially Feasible</w:t>
      </w:r>
    </w:p>
    <w:p w14:paraId="1FDA53A2" w14:textId="1104F850" w:rsidR="00AE07E1" w:rsidRDefault="00AE07E1" w:rsidP="00AE07E1">
      <w:r>
        <w:t xml:space="preserve">A review of published yield, rental and occupancy rates suggests that there is </w:t>
      </w:r>
      <w:bookmarkStart w:id="12" w:name="_Hlk47884736"/>
      <w:sdt>
        <w:sdtPr>
          <w:alias w:val="Select..."/>
          <w:tag w:val="vpa"/>
          <w:id w:val="768588761"/>
          <w:placeholder>
            <w:docPart w:val="98D3BB3EF6B040D0A83AE30FA58E8BB0"/>
          </w:placeholder>
          <w:comboBox>
            <w:listItem w:displayText="a balanced supply" w:value="a balanced supply1"/>
            <w:listItem w:displayText="an oversupply" w:value="an oversupply2"/>
            <w:listItem w:displayText="an undersupply" w:value="an undersupply3"/>
            <w:listItem w:displayText=" " w:value=" 4"/>
          </w:comboBox>
        </w:sdtPr>
        <w:sdtEndPr/>
        <w:sdtContent>
          <w:r>
            <w:t>a</w:t>
          </w:r>
        </w:sdtContent>
      </w:sdt>
      <w:r>
        <w:t xml:space="preserve"> </w:t>
      </w:r>
      <w:bookmarkEnd w:id="12"/>
      <w:r>
        <w:t xml:space="preserve">demand for light industrial properties within the submarket. Therefore, near-term development of a light industrial use is considered to be financially feasible. </w:t>
      </w:r>
    </w:p>
    <w:p w14:paraId="15C72514" w14:textId="77777777" w:rsidR="00AE07E1" w:rsidRPr="00EC1835" w:rsidRDefault="00AE07E1" w:rsidP="00AE07E1">
      <w:pPr>
        <w:pStyle w:val="Heading30"/>
      </w:pPr>
      <w:r>
        <w:t>Maximally Productive</w:t>
      </w:r>
    </w:p>
    <w:p w14:paraId="13E61EB9" w14:textId="18406090" w:rsidR="00AE07E1" w:rsidRPr="005070AE" w:rsidRDefault="00AE07E1" w:rsidP="00AE07E1">
      <w:pPr>
        <w:rPr>
          <w:rFonts w:cs="Segoe UI"/>
        </w:rPr>
      </w:pPr>
      <w:r>
        <w:t xml:space="preserve">Among the financially feasible uses, the use that results in the highest value (the maximally productive use) is the highest and best use. Considering these factors, the maximally productive use </w:t>
      </w:r>
      <w:fldSimple w:instr=" DOCVARIABLE HBU_Label_Vacant_Text \* MERGEFORMAT ">
        <w:r>
          <w:t>as though vacant</w:t>
        </w:r>
      </w:fldSimple>
      <w:r>
        <w:t xml:space="preserve"> is </w:t>
      </w:r>
      <w:sdt>
        <w:sdtPr>
          <w:alias w:val="?? for/to"/>
          <w:tag w:val="?? for/to"/>
          <w:id w:val="1098064424"/>
          <w:placeholder>
            <w:docPart w:val="F75CEE36406D4C339669DA8643D720B7"/>
          </w:placeholder>
          <w:comboBox>
            <w:listItem w:value="Choose an item."/>
            <w:listItem w:displayText="for" w:value="for"/>
            <w:listItem w:displayText="to" w:value="to"/>
          </w:comboBox>
        </w:sdtPr>
        <w:sdtEndPr/>
        <w:sdtContent>
          <w:r>
            <w:t>for</w:t>
          </w:r>
        </w:sdtContent>
      </w:sdt>
      <w:r>
        <w:t xml:space="preserve"> light industrial development</w:t>
      </w:r>
      <w:r>
        <w:rPr>
          <w:rFonts w:cs="Segoe UI"/>
        </w:rPr>
        <w:t>.</w:t>
      </w:r>
    </w:p>
    <w:p w14:paraId="7E356A5B" w14:textId="77777777" w:rsidR="00AE07E1" w:rsidRPr="0086155E" w:rsidRDefault="00AE07E1" w:rsidP="00AE07E1">
      <w:pPr>
        <w:pStyle w:val="Heading30"/>
      </w:pPr>
      <w:r>
        <w:t xml:space="preserve">Highest and Best Use </w:t>
      </w:r>
      <w:fldSimple w:instr=" DOCVARIABLE HBU_Label_Vacant_Title \* MERGEFORMAT ">
        <w:r>
          <w:t>As Though Vacant</w:t>
        </w:r>
      </w:fldSimple>
      <w:r>
        <w:t xml:space="preserve"> Conclusion</w:t>
      </w:r>
    </w:p>
    <w:p w14:paraId="623E2C61" w14:textId="372CE333" w:rsidR="00AE07E1" w:rsidRDefault="00AE07E1" w:rsidP="00AE07E1">
      <w:r>
        <w:t xml:space="preserve">The conclusion of the highest and best use As Though Vacant is for light industrial development.</w:t>
      </w:r>
    </w:p>
    <w:p w14:paraId="4F5AE5B7" w14:textId="77777777" w:rsidR="00384BFA" w:rsidRDefault="00384BFA" w:rsidP="00AE07E1"/>
    <w:p w14:paraId="063960E1" w14:textId="77777777" w:rsidR="00AE07E1" w:rsidRPr="00DD0BEC" w:rsidRDefault="00AE07E1" w:rsidP="00AE07E1">
      <w:pPr>
        <w:pStyle w:val="Heading20"/>
      </w:pPr>
      <w:r>
        <w:t xml:space="preserve">Highest and Best Use </w:t>
      </w:r>
      <w:fldSimple w:instr=" DOCVARIABLE HBU_Label_Improved_Title \* MERGEFORMAT ">
        <w:r>
          <w:t>As Improved</w:t>
        </w:r>
      </w:fldSimple>
    </w:p>
    <w:p w14:paraId="624650D5" w14:textId="77777777" w:rsidR="00AE07E1" w:rsidRDefault="00AE07E1" w:rsidP="00AE07E1">
      <w:r>
        <w:t xml:space="preserve">The determination of the highest and best use of the subject property </w:t>
      </w:r>
      <w:fldSimple w:instr=" DOCVARIABLE HBU_Label_Improved_Text \* MERGEFORMAT ">
        <w:r>
          <w:t>as improved</w:t>
        </w:r>
      </w:fldSimple>
      <w:r>
        <w:t xml:space="preserve"> is focused on three possible conditions that may represent the maximally productive use of the property: (1) continuation of </w:t>
        <w:lastRenderedPageBreak/>
        <w:t>the existing use, (2) modification of the existing use, or (3) demolition and redevelopment of the land. In addition, the presence of surplus or excess land is identified.</w:t>
      </w:r>
    </w:p>
    <w:p w14:paraId="3E97E4F4" w14:textId="35D166AD" w:rsidR="00AE07E1" w:rsidRPr="00BC7F6D" w:rsidRDefault="00AE07E1" w:rsidP="00AE07E1">
      <w:pPr>
        <w:rPr>
          <w:b/>
        </w:rPr>
      </w:pPr>
      <w:bookmarkStart w:id="13" w:name="_Hlk114063096"/>
      <w:bookmarkEnd w:id="13"/>
      <w:r>
        <w:t xml:space="preserve">As noted, the analyzed use of the subject property is as a light industrial service garage. The subject improvements were completed in 1982 and, as of the date of value, are assumed to be in average condition.</w:t>
      </w:r>
    </w:p>
    <w:p w14:paraId="64373BDB" w14:textId="77777777" w:rsidR="00AE07E1" w:rsidRPr="00970544" w:rsidRDefault="00AE07E1" w:rsidP="00AE07E1">
      <w:pPr>
        <w:pStyle w:val="Heading30"/>
      </w:pPr>
      <w:r>
        <w:t>Continuation of Existing Use</w:t>
      </w:r>
    </w:p>
    <w:p w14:paraId="36002AE2" w14:textId="77777777" w:rsidR="00AE07E1" w:rsidRPr="00970544" w:rsidRDefault="00B30975" w:rsidP="00AE07E1">
      <w:r>
        <w:rPr>
          <w:rFonts w:cs="Segoe UI"/>
        </w:rPr>
        <w:t xml:space="preserve">Retaining the improvements as </w:t>
      </w:r>
      <w:sdt>
        <w:sdtPr>
          <w:rPr>
            <w:rFonts w:cs="Segoe UI"/>
          </w:rPr>
          <w:alias w:val="??ImpStatus"/>
          <w:tag w:val="??ImpStatus"/>
          <w:id w:val="-1387408749"/>
          <w:placeholder>
            <w:docPart w:val="2E35B9D07091487FBEE8B45444400943"/>
          </w:placeholder>
          <w:comboBox>
            <w:listItem w:displayText="they exist" w:value="they exist"/>
            <w:listItem w:displayText="they exist with all noted items of deferred maintenance cured" w:value="they exist with all noted items of deferred maintenance cured"/>
            <w:listItem w:displayText="if improved as proposed" w:value="if improved as proposed"/>
          </w:comboBox>
        </w:sdtPr>
        <w:sdtEndPr/>
        <w:sdtContent>
          <w:r>
            <w:rPr>
              <w:rFonts w:cs="Segoe UI"/>
            </w:rPr>
            <w:t>they exist</w:t>
          </w:r>
        </w:sdtContent>
      </w:sdt>
      <w:r>
        <w:rPr>
          <w:rFonts w:cs="Segoe UI"/>
        </w:rPr>
        <w:t xml:space="preserve"> </w:t>
      </w:r>
      <w:sdt>
        <w:sdtPr>
          <w:alias w:val="Select..."/>
          <w:tag w:val="vpa"/>
          <w:id w:val="-1347858281"/>
          <w:placeholder>
            <w:docPart w:val="B060EE3507C446A8865DDC9B56873E24"/>
          </w:placeholder>
          <w:comboBox>
            <w:listItem w:displayText="meets" w:value="meets1"/>
            <w:listItem w:displayText="does not meet" w:value="does not meet2"/>
          </w:comboBox>
        </w:sdtPr>
        <w:sdtEndPr/>
        <w:sdtContent>
          <w:r>
            <w:t>meets</w:t>
          </w:r>
        </w:sdtContent>
      </w:sdt>
      <w:r>
        <w:rPr>
          <w:rFonts w:cs="Segoe UI"/>
        </w:rPr>
        <w:t xml:space="preserve"> the tests for legal permissibility and physical possibility. Further, m</w:t>
      </w:r>
      <w:r>
        <w:t xml:space="preserve">arket demand and existing supply levels </w:t>
      </w:r>
      <w:sdt>
        <w:sdtPr>
          <w:alias w:val="Select..."/>
          <w:tag w:val="vpa"/>
          <w:id w:val="-1109740143"/>
          <w:placeholder>
            <w:docPart w:val="1674366293354182A5B1AD0390F061BE"/>
          </w:placeholder>
          <w:comboBox>
            <w:listItem w:displayText="provide" w:value="provide"/>
            <w:listItem w:displayText="does not provide" w:value="does not provide"/>
          </w:comboBox>
        </w:sdtPr>
        <w:sdtEndPr/>
        <w:sdtContent>
          <w:r>
            <w:t>provide</w:t>
          </w:r>
        </w:sdtContent>
      </w:sdt>
      <w:r>
        <w:t xml:space="preserve"> economic support for continuation of the existing use.    </w:t>
      </w:r>
    </w:p>
    <w:p w14:paraId="3F79F046" w14:textId="77777777" w:rsidR="00AE07E1" w:rsidRDefault="00AE07E1" w:rsidP="00AE07E1">
      <w:pPr>
        <w:pStyle w:val="Heading30"/>
      </w:pPr>
      <w:r>
        <w:t>Modification of the Existing Use</w:t>
      </w:r>
    </w:p>
    <w:p w14:paraId="440394E8" w14:textId="77777777" w:rsidR="00AE07E1" w:rsidRDefault="00AE07E1" w:rsidP="00AE07E1">
      <w:r>
        <w:t xml:space="preserve">The existing use </w:t>
      </w:r>
      <w:sdt>
        <w:sdtPr>
          <w:alias w:val="?? for/to"/>
          <w:tag w:val="?? for/to"/>
          <w:id w:val="-424420488"/>
          <w:placeholder>
            <w:docPart w:val="6DC174EB2B134E78894A2D88139E1FEA"/>
          </w:placeholder>
          <w:comboBox>
            <w:listItem w:value="Choose an item."/>
            <w:listItem w:displayText="meets" w:value="meets"/>
            <w:listItem w:displayText="does not meet" w:value="does not meet"/>
          </w:comboBox>
        </w:sdtPr>
        <w:sdtEndPr/>
        <w:sdtContent>
          <w:r>
            <w:t>meets</w:t>
          </w:r>
        </w:sdtContent>
      </w:sdt>
      <w:r>
        <w:t xml:space="preserve"> market expectations. </w:t>
      </w:r>
      <w:sdt>
        <w:sdtPr>
          <w:alias w:val="Select..."/>
          <w:tag w:val="vpa"/>
          <w:id w:val="1006554382"/>
          <w:placeholder>
            <w:docPart w:val="5E76E8D7CD8C41E1B2BD76DACE30FACE"/>
          </w:placeholder>
          <w:comboBox>
            <w:listItem w:displayText="Therefore, modification of the existing use is not financially feasible." w:value="Therefore, modification of the existing use is not financially feasible."/>
            <w:listItem w:displayText="However, the subject property is leased and ownership does not have the right to change the use until the space is recaptured. Therefore, modification of the existing use is not legally permissible." w:value="However, the subject property is leased and ownership does not have the right to change the use until the space is recaptured. Therefore, modification of the existing use is not legally permissible."/>
            <w:listItem w:displayText="Modification of the use for &lt;probable use&gt; use meets the tests for legal permissibility and physical possibility. However, market demand and existing supply levels do not provide economic support for modification of the existing use. " w:value="Modification of the use for &lt;probable use&gt; use meets the tests for legal permissibility and physical possibility. However, market demand and existing supply levels do not provide economic support for modification of the existing use. "/>
            <w:listItem w:displayText="Modification of the use for &lt;probable use&gt; use meets the tests for legal permissibility and physical possibility. Further, market demand and existing supply levels provide economic support for modification of the existing use. " w:value="Modification of the use for &lt;probable use&gt; use meets the tests for legal permissibility and physical possibility. Further, market demand and existing supply levels provide economic support for modification of the existing use. "/>
          </w:comboBox>
        </w:sdtPr>
        <w:sdtEndPr/>
        <w:sdtContent>
          <w:r>
            <w:t>Therefore, modification of the existing use is not financially feasible.</w:t>
          </w:r>
        </w:sdtContent>
      </w:sdt>
    </w:p>
    <w:p w14:paraId="58745C33" w14:textId="77777777" w:rsidR="00AE07E1" w:rsidRDefault="00AE07E1" w:rsidP="00AE07E1">
      <w:pPr>
        <w:pStyle w:val="Heading30"/>
      </w:pPr>
      <w:r>
        <w:t>Demolition and Redevelopment</w:t>
      </w:r>
    </w:p>
    <w:p w14:paraId="0301FB28" w14:textId="77777777" w:rsidR="00AE07E1" w:rsidRDefault="00B30975" w:rsidP="00AE07E1">
      <w:pPr>
        <w:rPr>
          <w:rFonts w:cs="Segoe UI"/>
        </w:rPr>
      </w:pPr>
      <w:bookmarkStart w:id="14" w:name="_Hlk114063257"/>
      <w:r>
        <w:rPr>
          <w:rFonts w:cs="Segoe UI"/>
        </w:rPr>
        <w:t xml:space="preserve">The value of the subject property </w:t>
      </w:r>
      <w:sdt>
        <w:sdtPr>
          <w:rPr>
            <w:rFonts w:cs="Segoe UI"/>
          </w:rPr>
          <w:id w:val="-2039575811"/>
          <w:placeholder>
            <w:docPart w:val="F65D2CFF06234EE0847C31ECA3795FE9"/>
          </w:placeholder>
          <w:comboBox>
            <w:listItem w:displayText="exceeds" w:value="exceeds"/>
            <w:listItem w:displayText="is less than" w:value="is less than"/>
          </w:comboBox>
        </w:sdtPr>
        <w:sdtEndPr/>
        <w:sdtContent>
          <w:r>
            <w:rPr>
              <w:rFonts w:cs="Segoe UI"/>
            </w:rPr>
            <w:t>exceeds</w:t>
          </w:r>
        </w:sdtContent>
      </w:sdt>
      <w:r>
        <w:rPr>
          <w:rFonts w:cs="Segoe UI"/>
        </w:rPr>
        <w:t xml:space="preserve"> the value of the site as though vacant less demolition costs. Therefore, demolition and redevelopment of the site </w:t>
      </w:r>
      <w:sdt>
        <w:sdtPr>
          <w:rPr>
            <w:rFonts w:cs="Segoe UI"/>
          </w:rPr>
          <w:id w:val="-185684655"/>
          <w:placeholder>
            <w:docPart w:val="E7BFA3355F234B3A80DB32284DE439D1"/>
          </w:placeholder>
          <w:comboBox>
            <w:listItem w:displayText="is" w:value="is"/>
            <w:listItem w:displayText="is not" w:value="is not"/>
          </w:comboBox>
        </w:sdtPr>
        <w:sdtEndPr/>
        <w:sdtContent>
          <w:r>
            <w:rPr>
              <w:rFonts w:cs="Segoe UI"/>
            </w:rPr>
            <w:t>is not</w:t>
          </w:r>
        </w:sdtContent>
      </w:sdt>
      <w:r>
        <w:rPr>
          <w:rFonts w:cs="Segoe UI"/>
        </w:rPr>
        <w:t xml:space="preserve"> maximally productive.</w:t>
      </w:r>
      <w:bookmarkEnd w:id="14"/>
    </w:p>
    <w:p w14:paraId="5A9083DC" w14:textId="77777777" w:rsidR="00AE07E1" w:rsidRPr="0086155E" w:rsidRDefault="00AE07E1" w:rsidP="00AE07E1">
      <w:pPr>
        <w:pStyle w:val="Heading30"/>
      </w:pPr>
      <w:r>
        <w:t xml:space="preserve">Highest and Best Use </w:t>
      </w:r>
      <w:fldSimple w:instr=" DOCVARIABLE HBU_Label_Improved_Title \* MERGEFORMAT ">
        <w:r>
          <w:t>As Improved</w:t>
        </w:r>
      </w:fldSimple>
      <w:r>
        <w:t xml:space="preserve"> Conclusion</w:t>
      </w:r>
    </w:p>
    <w:p w14:paraId="751F6264" w14:textId="34C1FE2D" w:rsidR="00AE07E1" w:rsidRPr="00DD0BEC" w:rsidRDefault="00B30975" w:rsidP="008718DA">
      <w:r>
        <w:t xml:space="preserve">The highest and best use of the subject property, </w:t>
      </w:r>
      <w:fldSimple w:instr=" DOCVARIABLE HBU_Label_Improved_Text \* MERGEFORMAT ">
        <w:r>
          <w:t>as improved</w:t>
        </w:r>
      </w:fldSimple>
      <w:r>
        <w:t xml:space="preserve">, is continuation of the existing service garage use.</w:t>
      </w:r>
    </w:p>
    <w:p w14:paraId="500E7D81" w14:textId="2AF197FB" w:rsidR="009037B5" w:rsidRDefault="00AE07E1" w:rsidP="009457A2">
      <w:r>
        <w:t xml:space="preserve">As of the date of value, the most probable buyer of the subject property is an owner-user.</w:t>
      </w:r>
    </w:p>
    <w:p w14:paraId="56F19C59" w14:textId="77777777" w:rsidR="001E223B" w:rsidRPr="009457A2" w:rsidRDefault="001E223B" w:rsidP="001E223B">
      <w:pPr>
        <w:sectPr w:rsidR="001E223B" w:rsidRPr="009457A2" w:rsidSect="00F279C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E07DE0C" w14:textId="77777777" w:rsidR="003A160F" w:rsidRDefault="003A160F" w:rsidP="003E4BD2">
      <w:pPr>
        <w:pStyle w:val="Heading1"/>
      </w:pPr>
      <w:bookmarkStart w:id="15" w:name="_Toc228359491"/>
      <w:r>
        <w:lastRenderedPageBreak/>
        <w:t>Sales Comparison Approach</w:t>
      </w:r>
      <w:bookmarkEnd w:id="15"/>
    </w:p>
    <w:p w14:paraId="5EDE326C" w14:textId="77777777" w:rsidR="003A160F" w:rsidRPr="009C7D9B" w:rsidRDefault="003A160F" w:rsidP="003A160F">
      <w:pPr>
        <w:pStyle w:val="Heading20"/>
      </w:pPr>
      <w:r>
        <w:t>Methodology</w:t>
      </w:r>
    </w:p>
    <w:p w14:paraId="0D413EB1" w14:textId="77777777" w:rsidR="003A160F" w:rsidRDefault="003A160F" w:rsidP="003A160F">
      <w:r>
        <w:t>The sales comparison approach develops an indication of market value by analyzing closed sales, listings, or pending sales of properties similar to the subject, focusing on the difference between the subject and the comparables using all appropriate elements of comparison. This approach is based on principles of supply and demand, balance, externalities, and substitution, or the premise that a buyer would pay no more for a specific property than the cost of obtaining a property with the same quality, utility, and perceived benefits of ownership.</w:t>
      </w:r>
    </w:p>
    <w:p w14:paraId="1B0EBD88" w14:textId="77777777" w:rsidR="003A160F" w:rsidRPr="009C7D9B" w:rsidRDefault="003A160F" w:rsidP="003A160F">
      <w:pPr>
        <w:pStyle w:val="Heading30"/>
      </w:pPr>
      <w:r>
        <w:t>Unit of Comparison</w:t>
      </w:r>
    </w:p>
    <w:p w14:paraId="1F89CAD9" w14:textId="77777777" w:rsidR="00717475" w:rsidRDefault="00717475" w:rsidP="00717475">
      <w:r>
        <w:t>The unit of comparison selected depends on the appraisal problem and nature of the property and is intended to explain or mirror market behavior. The primary unit of comparison in the market and applied in this analysis is price per square foot of net rentable area.</w:t>
      </w:r>
    </w:p>
    <w:p w14:paraId="0437A267" w14:textId="77777777" w:rsidR="003A160F" w:rsidRPr="009C7D9B" w:rsidRDefault="003A160F" w:rsidP="003A160F">
      <w:pPr>
        <w:pStyle w:val="Heading30"/>
      </w:pPr>
      <w:r>
        <w:t>Elements of Comparison</w:t>
      </w:r>
    </w:p>
    <w:p w14:paraId="655E0C67" w14:textId="77777777" w:rsidR="003A160F" w:rsidRPr="002503C5" w:rsidRDefault="003A160F" w:rsidP="003A160F">
      <w:bookmarkStart w:id="16" w:name="_Hlk76893966"/>
      <w:r>
        <w:t>Elements of comparison are the characteristics or attributes of properties and transactions that cause the prices of real estate to vary. The primary elements of comparison considered in sales comparison analysis are as follows: (1) real property rights conveyed, (2) financing terms, (3) conditions of sale, (4) expenditures made immediately after purchase, (5) market conditions, (6) location, (7) physical characteristics, (8) economic characteristics, (9) legal characteristics, and (10) non-real components of value.</w:t>
      </w:r>
    </w:p>
    <w:p w14:paraId="640EB417" w14:textId="77777777" w:rsidR="003A160F" w:rsidRPr="009C7D9B" w:rsidRDefault="003A160F" w:rsidP="003A160F">
      <w:pPr>
        <w:pStyle w:val="Heading30"/>
      </w:pPr>
      <w:bookmarkStart w:id="17" w:name="_Hlk109311456"/>
      <w:bookmarkEnd w:id="16"/>
      <w:r>
        <w:t>Comparable Sales Data</w:t>
      </w:r>
    </w:p>
    <w:p w14:paraId="231FCD0B" w14:textId="6DAE34CB" w:rsidR="003A160F" w:rsidRDefault="003A160F" w:rsidP="003A160F">
      <w:bookmarkStart w:id="18" w:name="_Hlk61958417"/>
      <w:r>
        <w:t xml:space="preserve">The market was studied to identify sales and listings of comparable properties with a focus on those that appeal to the most probable buyer of the subject property. These properties typically attract similar occupants based on location and appeal and have similar risk profiles. </w:t>
      </w:r>
      <w:bookmarkStart w:id="19" w:name="_Hlk111014111"/>
      <w:r>
        <w:t>Of these transactions, sufficient sales data was available for the following sale comparables, which were analyzed to estimate a unit value for the subject property.</w:t>
      </w:r>
      <w:bookmarkEnd w:id="19"/>
      <w:r>
        <w:t xml:space="preserve"> </w:t>
      </w:r>
    </w:p>
    <w:bookmarkEnd w:id="17"/>
    <w:bookmarkEnd w:id="18"/>
    <w:p w14:paraId="1609EE0C" w14:textId="77777777" w:rsidR="003A160F" w:rsidRDefault="003A160F">
      <w:pPr>
        <w:jc w:val="left"/>
        <w:rPr>
          <w:rFonts w:eastAsiaTheme="majorEastAsia" w:cstheme="majorBidi"/>
          <w:b/>
          <w:sz w:val="26"/>
          <w:szCs w:val="26"/>
        </w:rPr>
      </w:pPr>
      <w:r>
        <w:br w:type="page"/>
      </w:r>
    </w:p>
    <w:p w14:paraId="15FE0E0A" w14:textId="77777777" w:rsidR="003A160F" w:rsidRDefault="003A160F" w:rsidP="003A160F">
      <w:pPr>
        <w:pStyle w:val="Heading2"/>
      </w:pPr>
      <w:bookmarkStart w:id="20" w:name="_Toc210134084"/>
      <w:r>
        <w:lastRenderedPageBreak/>
        <w:t>Comparable Improved Sales</w:t>
      </w:r>
      <w:bookmarkEnd w:id="20"/>
    </w:p>
    <w:p w14:paraId="4E6D5AA4" w14:textId="77777777" w:rsidR="003A160F" w:rsidRPr="001A4C51" w:rsidRDefault="003A160F" w:rsidP="003A160F"/>
    <w:p w14:paraId="7CDD6A45" w14:textId="01AA1D75" w:rsidR="003A160F" w:rsidRDefault="00CC62E8" w:rsidP="003A160F">
      <w:pPr>
        <w:jc w:val="center"/>
      </w:pPr>
      <w:r>
        <w:rPr>
          <w:i/>
          <w:noProof/>
        </w:rPr>
        <w:drawing>
          <wp:inline distT="0" distB="0" distL="0" distR="0" wp14:anchorId="07A7D2B3" wp14:editId="392F223F">
            <wp:extent cx="5934710" cy="3959225"/>
            <wp:effectExtent l="0" t="0" r="8890" b="3175"/>
            <wp:docPr id="5580495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4710" cy="3959225"/>
                    </a:xfrm>
                    <a:prstGeom prst="rect">
                      <a:avLst/>
                    </a:prstGeom>
                    <a:noFill/>
                    <a:ln>
                      <a:noFill/>
                    </a:ln>
                  </pic:spPr>
                </pic:pic>
              </a:graphicData>
            </a:graphic>
          </wp:inline>
        </w:drawing>
      </w:r>
    </w:p>
    <w:p>
      <w:pPr>
        <w:spacing w:before="0" w:after="0"/>
      </w:pPr>
    </w:p>
    <w:tbl>
      <w:tblPr>
        <w:tblW w:w="9360" w:type="dxa"/>
        <w:jc w:val="center"/>
        <w:tblBorders>
          <w:top w:val="single" w:sz="4" w:space="0" w:color="BFBFBF"/>
          <w:bottom w:val="single" w:sz="4" w:space="0" w:color="BFBFBF"/>
          <w:insideH w:val="single" w:sz="2" w:space="0" w:color="D9D9D9"/>
        </w:tblBorders>
        <w:tblLayout w:type="fixed"/>
        <w:tblCellMar>
          <w:left w:w="60" w:type="dxa"/>
          <w:right w:w="60" w:type="dxa"/>
        </w:tblCellMar>
      </w:tblPr>
      <w:tblGrid>
        <w:gridCol w:w="400"/>
        <w:gridCol w:w="1700"/>
        <w:gridCol w:w="1250"/>
        <w:gridCol w:w="950"/>
        <w:gridCol w:w="1050"/>
        <w:gridCol w:w="800"/>
        <w:gridCol w:w="900"/>
        <w:gridCol w:w="650"/>
        <w:gridCol w:w="950"/>
        <w:gridCol w:w="710"/>
      </w:tblGrid>
      <w:tr>
        <w:trPr>
          <w:cantSplit/>
        </w:trPr>
        <w:tc>
          <w:tcPr>
            <w:tcW w:w="9360" w:type="dxa"/>
            <w:gridSpan w:val="10"/>
            <w:shd w:val="clear" w:color="auto" w:fill="005710"/>
            <w:vAlign w:val="center"/>
          </w:tcPr>
          <w:p>
            <w:pPr>
              <w:spacing w:before="0" w:after="0" w:line="240" w:lineRule="auto"/>
              <w:jc w:val="center"/>
            </w:pPr>
            <w:r>
              <w:rPr>
                <w:rFonts w:ascii="Arial" w:hAnsi="Arial" w:cs="Arial"/>
                <w:b/>
                <w:color w:val="FFFFFF"/>
                <w:sz w:val="16"/>
                <w:szCs w:val="16"/>
              </w:rPr>
              <w:t xml:space="preserve">COMPARABLE IMPROVED SALES</w:t>
            </w:r>
          </w:p>
        </w:tc>
      </w:tr>
      <w:tr>
        <w:trPr>
          <w:cantSplit/>
        </w:trPr>
        <w:tc>
          <w:tcPr>
            <w:tcW w:w="400" w:type="dxa"/>
            <w:shd w:val="clear" w:color="auto" w:fill="808080"/>
            <w:vAlign w:val="center"/>
          </w:tcPr>
          <w:p>
            <w:pPr>
              <w:spacing w:before="0" w:after="0" w:line="240" w:lineRule="auto"/>
              <w:jc w:val="center"/>
            </w:pPr>
            <w:r>
              <w:rPr>
                <w:rFonts w:ascii="Arial" w:hAnsi="Arial" w:cs="Arial"/>
                <w:b/>
                <w:color w:val="FFFFFF"/>
                <w:sz w:val="14"/>
                <w:szCs w:val="14"/>
              </w:rPr>
              <w:t xml:space="preserve">No.</w:t>
            </w:r>
          </w:p>
        </w:tc>
        <w:tc>
          <w:tcPr>
            <w:tcW w:w="1700" w:type="dxa"/>
            <w:shd w:val="clear" w:color="auto" w:fill="808080"/>
            <w:vAlign w:val="center"/>
          </w:tcPr>
          <w:p>
            <w:pPr>
              <w:spacing w:before="0" w:after="0" w:line="240" w:lineRule="auto"/>
              <w:jc w:val="center"/>
            </w:pPr>
            <w:r>
              <w:rPr>
                <w:rFonts w:ascii="Arial" w:hAnsi="Arial" w:cs="Arial"/>
                <w:b/>
                <w:color w:val="FFFFFF"/>
                <w:sz w:val="14"/>
                <w:szCs w:val="14"/>
              </w:rPr>
              <w:t xml:space="preserve">Address</w:t>
            </w:r>
          </w:p>
        </w:tc>
        <w:tc>
          <w:tcPr>
            <w:tcW w:w="1250" w:type="dxa"/>
            <w:shd w:val="clear" w:color="auto" w:fill="808080"/>
            <w:vAlign w:val="center"/>
          </w:tcPr>
          <w:p>
            <w:pPr>
              <w:spacing w:before="0" w:after="0" w:line="240" w:lineRule="auto"/>
              <w:jc w:val="center"/>
            </w:pPr>
            <w:r>
              <w:rPr>
                <w:rFonts w:ascii="Arial" w:hAnsi="Arial" w:cs="Arial"/>
                <w:b/>
                <w:color w:val="FFFFFF"/>
                <w:sz w:val="14"/>
                <w:szCs w:val="14"/>
              </w:rPr>
              <w:t xml:space="preserve">City</w:t>
            </w:r>
          </w:p>
        </w:tc>
        <w:tc>
          <w:tcPr>
            <w:tcW w:w="950" w:type="dxa"/>
            <w:shd w:val="clear" w:color="auto" w:fill="808080"/>
            <w:vAlign w:val="center"/>
          </w:tcPr>
          <w:p>
            <w:pPr>
              <w:spacing w:before="0" w:after="0" w:line="240" w:lineRule="auto"/>
              <w:jc w:val="center"/>
            </w:pPr>
            <w:r>
              <w:rPr>
                <w:rFonts w:ascii="Arial" w:hAnsi="Arial" w:cs="Arial"/>
                <w:b/>
                <w:color w:val="FFFFFF"/>
                <w:sz w:val="14"/>
                <w:szCs w:val="14"/>
              </w:rPr>
              <w:t xml:space="preserve">Sale Date</w:t>
            </w:r>
          </w:p>
        </w:tc>
        <w:tc>
          <w:tcPr>
            <w:tcW w:w="1050" w:type="dxa"/>
            <w:shd w:val="clear" w:color="auto" w:fill="808080"/>
            <w:vAlign w:val="center"/>
          </w:tcPr>
          <w:p>
            <w:pPr>
              <w:spacing w:before="0" w:after="0" w:line="240" w:lineRule="auto"/>
              <w:jc w:val="center"/>
            </w:pPr>
            <w:r>
              <w:rPr>
                <w:rFonts w:ascii="Arial" w:hAnsi="Arial" w:cs="Arial"/>
                <w:b/>
                <w:color w:val="FFFFFF"/>
                <w:sz w:val="14"/>
                <w:szCs w:val="14"/>
              </w:rPr>
              <w:t xml:space="preserve">Price</w:t>
            </w:r>
          </w:p>
        </w:tc>
        <w:tc>
          <w:tcPr>
            <w:tcW w:w="800" w:type="dxa"/>
            <w:shd w:val="clear" w:color="auto" w:fill="808080"/>
            <w:vAlign w:val="center"/>
          </w:tcPr>
          <w:p>
            <w:pPr>
              <w:spacing w:before="0" w:after="0" w:line="240" w:lineRule="auto"/>
              <w:jc w:val="center"/>
            </w:pPr>
            <w:r>
              <w:rPr>
                <w:rFonts w:ascii="Arial" w:hAnsi="Arial" w:cs="Arial"/>
                <w:b/>
                <w:color w:val="FFFFFF"/>
                <w:sz w:val="14"/>
                <w:szCs w:val="14"/>
              </w:rPr>
              <w:t xml:space="preserve">Bldg SF</w:t>
            </w:r>
          </w:p>
        </w:tc>
        <w:tc>
          <w:tcPr>
            <w:tcW w:w="900" w:type="dxa"/>
            <w:shd w:val="clear" w:color="auto" w:fill="808080"/>
            <w:vAlign w:val="center"/>
          </w:tcPr>
          <w:p>
            <w:pPr>
              <w:spacing w:before="0" w:after="0" w:line="240" w:lineRule="auto"/>
              <w:jc w:val="center"/>
            </w:pPr>
            <w:r>
              <w:rPr>
                <w:rFonts w:ascii="Arial" w:hAnsi="Arial" w:cs="Arial"/>
                <w:b/>
                <w:color w:val="FFFFFF"/>
                <w:sz w:val="14"/>
                <w:szCs w:val="14"/>
              </w:rPr>
              <w:t xml:space="preserve">$/SF</w:t>
            </w:r>
          </w:p>
        </w:tc>
        <w:tc>
          <w:tcPr>
            <w:tcW w:w="650" w:type="dxa"/>
            <w:shd w:val="clear" w:color="auto" w:fill="808080"/>
            <w:vAlign w:val="center"/>
          </w:tcPr>
          <w:p>
            <w:pPr>
              <w:spacing w:before="0" w:after="0" w:line="240" w:lineRule="auto"/>
              <w:jc w:val="center"/>
            </w:pPr>
            <w:r>
              <w:rPr>
                <w:rFonts w:ascii="Arial" w:hAnsi="Arial" w:cs="Arial"/>
                <w:b/>
                <w:color w:val="FFFFFF"/>
                <w:sz w:val="14"/>
                <w:szCs w:val="14"/>
              </w:rPr>
              <w:t xml:space="preserve">YOC</w:t>
            </w:r>
          </w:p>
        </w:tc>
        <w:tc>
          <w:tcPr>
            <w:tcW w:w="950" w:type="dxa"/>
            <w:shd w:val="clear" w:color="auto" w:fill="808080"/>
            <w:vAlign w:val="center"/>
          </w:tcPr>
          <w:p>
            <w:pPr>
              <w:spacing w:before="0" w:after="0" w:line="240" w:lineRule="auto"/>
              <w:jc w:val="center"/>
            </w:pPr>
            <w:r>
              <w:rPr>
                <w:rFonts w:ascii="Arial" w:hAnsi="Arial" w:cs="Arial"/>
                <w:b/>
                <w:color w:val="FFFFFF"/>
                <w:sz w:val="14"/>
                <w:szCs w:val="14"/>
              </w:rPr>
              <w:t xml:space="preserve">Land SF</w:t>
            </w:r>
          </w:p>
        </w:tc>
        <w:tc>
          <w:tcPr>
            <w:tcW w:w="710" w:type="dxa"/>
            <w:shd w:val="clear" w:color="auto" w:fill="808080"/>
            <w:vAlign w:val="center"/>
          </w:tcPr>
          <w:p>
            <w:pPr>
              <w:spacing w:before="0" w:after="0" w:line="240" w:lineRule="auto"/>
              <w:jc w:val="center"/>
            </w:pPr>
            <w:r>
              <w:rPr>
                <w:rFonts w:ascii="Arial" w:hAnsi="Arial" w:cs="Arial"/>
                <w:b/>
                <w:color w:val="FFFFFF"/>
                <w:sz w:val="14"/>
                <w:szCs w:val="14"/>
              </w:rPr>
              <w:t xml:space="preserve">L:B</w:t>
            </w:r>
          </w:p>
        </w:tc>
      </w:tr>
      <w:tr>
        <w:trPr>
          <w:cantSplit/>
        </w:trPr>
        <w:tc>
          <w:tcPr>
            <w:tcW w:w="400" w:type="dxa"/>
            <w:shd w:val="clear" w:color="auto" w:fill="EEF3F8"/>
            <w:vAlign w:val="center"/>
          </w:tcPr>
          <w:p>
            <w:pPr>
              <w:spacing w:before="0" w:after="0" w:line="240" w:lineRule="auto"/>
              <w:jc w:val="center"/>
            </w:pPr>
            <w:r>
              <w:rPr>
                <w:rFonts w:ascii="Arial" w:hAnsi="Arial" w:cs="Arial"/>
                <w:sz w:val="14"/>
                <w:szCs w:val="14"/>
              </w:rPr>
              <w:t xml:space="preserve">S</w:t>
            </w:r>
          </w:p>
        </w:tc>
        <w:tc>
          <w:tcPr>
            <w:tcW w:w="1700" w:type="dxa"/>
            <w:shd w:val="clear" w:color="auto" w:fill="EEF3F8"/>
            <w:vAlign w:val="center"/>
          </w:tcPr>
          <w:p>
            <w:pPr>
              <w:spacing w:before="0" w:after="0" w:line="240" w:lineRule="auto"/>
              <w:jc w:val="left"/>
            </w:pPr>
            <w:r>
              <w:rPr>
                <w:rFonts w:ascii="Arial" w:hAnsi="Arial" w:cs="Arial"/>
                <w:sz w:val="14"/>
                <w:szCs w:val="14"/>
              </w:rPr>
              <w:t xml:space="preserve">387 E 55th Ave</w:t>
            </w:r>
          </w:p>
        </w:tc>
        <w:tc>
          <w:tcPr>
            <w:tcW w:w="1250" w:type="dxa"/>
            <w:shd w:val="clear" w:color="auto" w:fill="EEF3F8"/>
            <w:vAlign w:val="center"/>
          </w:tcPr>
          <w:p>
            <w:pPr>
              <w:spacing w:before="0" w:after="0" w:line="240" w:lineRule="auto"/>
              <w:jc w:val="left"/>
            </w:pPr>
            <w:r>
              <w:rPr>
                <w:rFonts w:ascii="Arial" w:hAnsi="Arial" w:cs="Arial"/>
                <w:sz w:val="14"/>
                <w:szCs w:val="14"/>
              </w:rPr>
              <w:t xml:space="preserve">Denver</w:t>
            </w:r>
          </w:p>
        </w:tc>
        <w:tc>
          <w:tcPr>
            <w:tcW w:w="950" w:type="dxa"/>
            <w:shd w:val="clear" w:color="auto" w:fill="EEF3F8"/>
            <w:vAlign w:val="center"/>
          </w:tcPr>
          <w:p>
            <w:pPr>
              <w:spacing w:before="0" w:after="0" w:line="240" w:lineRule="auto"/>
              <w:jc w:val="center"/>
            </w:pPr>
            <w:r>
              <w:rPr>
                <w:rFonts w:ascii="Arial" w:hAnsi="Arial" w:cs="Arial"/>
                <w:sz w:val="14"/>
                <w:szCs w:val="14"/>
              </w:rPr>
              <w:t xml:space="preserve">N/A</w:t>
            </w:r>
          </w:p>
        </w:tc>
        <w:tc>
          <w:tcPr>
            <w:tcW w:w="1050" w:type="dxa"/>
            <w:shd w:val="clear" w:color="auto" w:fill="EEF3F8"/>
            <w:vAlign w:val="center"/>
          </w:tcPr>
          <w:p>
            <w:pPr>
              <w:spacing w:before="0" w:after="0" w:line="240" w:lineRule="auto"/>
              <w:jc w:val="right"/>
            </w:pPr>
            <w:r>
              <w:rPr>
                <w:rFonts w:ascii="Arial" w:hAnsi="Arial" w:cs="Arial"/>
                <w:sz w:val="14"/>
                <w:szCs w:val="14"/>
              </w:rPr>
              <w:t xml:space="preserve">N/A</w:t>
            </w:r>
          </w:p>
        </w:tc>
        <w:tc>
          <w:tcPr>
            <w:tcW w:w="800" w:type="dxa"/>
            <w:shd w:val="clear" w:color="auto" w:fill="EEF3F8"/>
            <w:vAlign w:val="center"/>
          </w:tcPr>
          <w:p>
            <w:pPr>
              <w:spacing w:before="0" w:after="0" w:line="240" w:lineRule="auto"/>
              <w:jc w:val="right"/>
            </w:pPr>
            <w:r>
              <w:rPr>
                <w:rFonts w:ascii="Arial" w:hAnsi="Arial" w:cs="Arial"/>
                <w:sz w:val="14"/>
                <w:szCs w:val="14"/>
              </w:rPr>
              <w:t xml:space="preserve">2,800</w:t>
            </w:r>
          </w:p>
        </w:tc>
        <w:tc>
          <w:tcPr>
            <w:tcW w:w="900" w:type="dxa"/>
            <w:shd w:val="clear" w:color="auto" w:fill="EEF3F8"/>
            <w:vAlign w:val="center"/>
          </w:tcPr>
          <w:p>
            <w:pPr>
              <w:spacing w:before="0" w:after="0" w:line="240" w:lineRule="auto"/>
              <w:jc w:val="left"/>
            </w:pPr>
            <w:r>
              <w:rPr>
                <w:rFonts w:ascii="Arial" w:hAnsi="Arial" w:cs="Arial"/>
                <w:sz w:val="14"/>
                <w:szCs w:val="14"/>
              </w:rPr>
              <w:t xml:space="preserve"/>
            </w:r>
          </w:p>
        </w:tc>
        <w:tc>
          <w:tcPr>
            <w:tcW w:w="650" w:type="dxa"/>
            <w:shd w:val="clear" w:color="auto" w:fill="EEF3F8"/>
            <w:vAlign w:val="center"/>
          </w:tcPr>
          <w:p>
            <w:pPr>
              <w:spacing w:before="0" w:after="0" w:line="240" w:lineRule="auto"/>
              <w:jc w:val="center"/>
            </w:pPr>
            <w:r>
              <w:rPr>
                <w:rFonts w:ascii="Arial" w:hAnsi="Arial" w:cs="Arial"/>
                <w:sz w:val="14"/>
                <w:szCs w:val="14"/>
              </w:rPr>
              <w:t xml:space="preserve">1982</w:t>
            </w:r>
          </w:p>
        </w:tc>
        <w:tc>
          <w:tcPr>
            <w:tcW w:w="950" w:type="dxa"/>
            <w:shd w:val="clear" w:color="auto" w:fill="EEF3F8"/>
            <w:vAlign w:val="center"/>
          </w:tcPr>
          <w:p>
            <w:pPr>
              <w:spacing w:before="0" w:after="0" w:line="240" w:lineRule="auto"/>
              <w:jc w:val="right"/>
            </w:pPr>
            <w:r>
              <w:rPr>
                <w:rFonts w:ascii="Arial" w:hAnsi="Arial" w:cs="Arial"/>
                <w:sz w:val="14"/>
                <w:szCs w:val="14"/>
              </w:rPr>
              <w:t xml:space="preserve">10,019</w:t>
            </w:r>
          </w:p>
        </w:tc>
        <w:tc>
          <w:tcPr>
            <w:tcW w:w="710" w:type="dxa"/>
            <w:shd w:val="clear" w:color="auto" w:fill="EEF3F8"/>
            <w:vAlign w:val="center"/>
          </w:tcPr>
          <w:p>
            <w:pPr>
              <w:spacing w:before="0" w:after="0" w:line="240" w:lineRule="auto"/>
              <w:jc w:val="right"/>
            </w:pPr>
            <w:r>
              <w:rPr>
                <w:rFonts w:ascii="Arial" w:hAnsi="Arial" w:cs="Arial"/>
                <w:sz w:val="14"/>
                <w:szCs w:val="14"/>
              </w:rPr>
              <w:t xml:space="preserve">3.58</w:t>
            </w:r>
          </w:p>
        </w:tc>
      </w:tr>
      <w:tr>
        <w:trPr>
          <w:cantSplit/>
        </w:trPr>
        <w:tc>
          <w:tcPr>
            <w:tcW w:w="400" w:type="dxa"/>
            <w:vAlign w:val="center"/>
          </w:tcPr>
          <w:p>
            <w:pPr>
              <w:spacing w:before="0" w:after="0" w:line="240" w:lineRule="auto"/>
              <w:jc w:val="center"/>
            </w:pPr>
            <w:r>
              <w:rPr>
                <w:rFonts w:ascii="Arial" w:hAnsi="Arial" w:cs="Arial"/>
                <w:sz w:val="14"/>
                <w:szCs w:val="14"/>
              </w:rPr>
              <w:t xml:space="preserve">1</w:t>
            </w:r>
          </w:p>
        </w:tc>
        <w:tc>
          <w:tcPr>
            <w:tcW w:w="1700" w:type="dxa"/>
            <w:vAlign w:val="center"/>
          </w:tcPr>
          <w:p>
            <w:pPr>
              <w:spacing w:before="0" w:after="0" w:line="240" w:lineRule="auto"/>
              <w:jc w:val="left"/>
            </w:pPr>
            <w:r>
              <w:rPr>
                <w:rFonts w:ascii="Arial" w:hAnsi="Arial" w:cs="Arial"/>
                <w:sz w:val="14"/>
                <w:szCs w:val="14"/>
              </w:rPr>
              <w:t xml:space="preserve">4309 Elati St</w:t>
            </w:r>
          </w:p>
        </w:tc>
        <w:tc>
          <w:tcPr>
            <w:tcW w:w="1250" w:type="dxa"/>
            <w:vAlign w:val="center"/>
          </w:tcPr>
          <w:p>
            <w:pPr>
              <w:spacing w:before="0" w:after="0" w:line="240" w:lineRule="auto"/>
              <w:jc w:val="left"/>
            </w:pPr>
            <w:r>
              <w:rPr>
                <w:rFonts w:ascii="Arial" w:hAnsi="Arial" w:cs="Arial"/>
                <w:sz w:val="14"/>
                <w:szCs w:val="14"/>
              </w:rPr>
              <w:t xml:space="preserve">Denver</w:t>
            </w:r>
          </w:p>
        </w:tc>
        <w:tc>
          <w:tcPr>
            <w:tcW w:w="950" w:type="dxa"/>
            <w:vAlign w:val="center"/>
          </w:tcPr>
          <w:p>
            <w:pPr>
              <w:spacing w:before="0" w:after="0" w:line="240" w:lineRule="auto"/>
              <w:jc w:val="center"/>
            </w:pPr>
            <w:r>
              <w:rPr>
                <w:rFonts w:ascii="Arial" w:hAnsi="Arial" w:cs="Arial"/>
                <w:sz w:val="14"/>
                <w:szCs w:val="14"/>
              </w:rPr>
              <w:t xml:space="preserve">6/30/2022</w:t>
            </w:r>
          </w:p>
        </w:tc>
        <w:tc>
          <w:tcPr>
            <w:tcW w:w="1050" w:type="dxa"/>
            <w:vAlign w:val="center"/>
          </w:tcPr>
          <w:p>
            <w:pPr>
              <w:spacing w:before="0" w:after="0" w:line="240" w:lineRule="auto"/>
              <w:jc w:val="right"/>
            </w:pPr>
            <w:r>
              <w:rPr>
                <w:rFonts w:ascii="Arial" w:hAnsi="Arial" w:cs="Arial"/>
                <w:sz w:val="14"/>
                <w:szCs w:val="14"/>
              </w:rPr>
              <w:t xml:space="preserve">$865,000</w:t>
            </w:r>
          </w:p>
        </w:tc>
        <w:tc>
          <w:tcPr>
            <w:tcW w:w="800" w:type="dxa"/>
            <w:vAlign w:val="center"/>
          </w:tcPr>
          <w:p>
            <w:pPr>
              <w:spacing w:before="0" w:after="0" w:line="240" w:lineRule="auto"/>
              <w:jc w:val="right"/>
            </w:pPr>
            <w:r>
              <w:rPr>
                <w:rFonts w:ascii="Arial" w:hAnsi="Arial" w:cs="Arial"/>
                <w:sz w:val="14"/>
                <w:szCs w:val="14"/>
              </w:rPr>
              <w:t xml:space="preserve">3,000</w:t>
            </w:r>
          </w:p>
        </w:tc>
        <w:tc>
          <w:tcPr>
            <w:tcW w:w="900" w:type="dxa"/>
            <w:vAlign w:val="center"/>
          </w:tcPr>
          <w:p>
            <w:pPr>
              <w:spacing w:before="0" w:after="0" w:line="240" w:lineRule="auto"/>
              <w:jc w:val="right"/>
            </w:pPr>
            <w:r>
              <w:rPr>
                <w:rFonts w:ascii="Arial" w:hAnsi="Arial" w:cs="Arial"/>
                <w:sz w:val="14"/>
                <w:szCs w:val="14"/>
              </w:rPr>
              <w:t xml:space="preserve">$288.33</w:t>
            </w:r>
          </w:p>
        </w:tc>
        <w:tc>
          <w:tcPr>
            <w:tcW w:w="650" w:type="dxa"/>
            <w:vAlign w:val="center"/>
          </w:tcPr>
          <w:p>
            <w:pPr>
              <w:spacing w:before="0" w:after="0" w:line="240" w:lineRule="auto"/>
              <w:jc w:val="center"/>
            </w:pPr>
            <w:r>
              <w:rPr>
                <w:rFonts w:ascii="Arial" w:hAnsi="Arial" w:cs="Arial"/>
                <w:sz w:val="14"/>
                <w:szCs w:val="14"/>
              </w:rPr>
              <w:t xml:space="preserve">1953</w:t>
            </w:r>
          </w:p>
        </w:tc>
        <w:tc>
          <w:tcPr>
            <w:tcW w:w="950" w:type="dxa"/>
            <w:vAlign w:val="center"/>
          </w:tcPr>
          <w:p>
            <w:pPr>
              <w:spacing w:before="0" w:after="0" w:line="240" w:lineRule="auto"/>
              <w:jc w:val="right"/>
            </w:pPr>
            <w:r>
              <w:rPr>
                <w:rFonts w:ascii="Arial" w:hAnsi="Arial" w:cs="Arial"/>
                <w:sz w:val="14"/>
                <w:szCs w:val="14"/>
              </w:rPr>
              <w:t xml:space="preserve">12,968</w:t>
            </w:r>
          </w:p>
        </w:tc>
        <w:tc>
          <w:tcPr>
            <w:tcW w:w="710" w:type="dxa"/>
            <w:vAlign w:val="center"/>
          </w:tcPr>
          <w:p>
            <w:pPr>
              <w:spacing w:before="0" w:after="0" w:line="240" w:lineRule="auto"/>
              <w:jc w:val="right"/>
            </w:pPr>
            <w:r>
              <w:rPr>
                <w:rFonts w:ascii="Arial" w:hAnsi="Arial" w:cs="Arial"/>
                <w:sz w:val="14"/>
                <w:szCs w:val="14"/>
              </w:rPr>
              <w:t xml:space="preserve">4.32</w:t>
            </w:r>
          </w:p>
        </w:tc>
      </w:tr>
      <w:tr>
        <w:trPr>
          <w:cantSplit/>
        </w:trPr>
        <w:tc>
          <w:tcPr>
            <w:tcW w:w="400" w:type="dxa"/>
            <w:vAlign w:val="center"/>
          </w:tcPr>
          <w:p>
            <w:pPr>
              <w:spacing w:before="0" w:after="0" w:line="240" w:lineRule="auto"/>
              <w:jc w:val="center"/>
            </w:pPr>
            <w:r>
              <w:rPr>
                <w:rFonts w:ascii="Arial" w:hAnsi="Arial" w:cs="Arial"/>
                <w:sz w:val="14"/>
                <w:szCs w:val="14"/>
              </w:rPr>
              <w:t xml:space="preserve">2</w:t>
            </w:r>
          </w:p>
        </w:tc>
        <w:tc>
          <w:tcPr>
            <w:tcW w:w="1700" w:type="dxa"/>
            <w:vAlign w:val="center"/>
          </w:tcPr>
          <w:p>
            <w:pPr>
              <w:spacing w:before="0" w:after="0" w:line="240" w:lineRule="auto"/>
              <w:jc w:val="left"/>
            </w:pPr>
            <w:r>
              <w:rPr>
                <w:rFonts w:ascii="Arial" w:hAnsi="Arial" w:cs="Arial"/>
                <w:sz w:val="14"/>
                <w:szCs w:val="14"/>
              </w:rPr>
              <w:t xml:space="preserve">4161 Elati St</w:t>
            </w:r>
          </w:p>
        </w:tc>
        <w:tc>
          <w:tcPr>
            <w:tcW w:w="1250" w:type="dxa"/>
            <w:vAlign w:val="center"/>
          </w:tcPr>
          <w:p>
            <w:pPr>
              <w:spacing w:before="0" w:after="0" w:line="240" w:lineRule="auto"/>
              <w:jc w:val="left"/>
            </w:pPr>
            <w:r>
              <w:rPr>
                <w:rFonts w:ascii="Arial" w:hAnsi="Arial" w:cs="Arial"/>
                <w:sz w:val="14"/>
                <w:szCs w:val="14"/>
              </w:rPr>
              <w:t xml:space="preserve">Denver</w:t>
            </w:r>
          </w:p>
        </w:tc>
        <w:tc>
          <w:tcPr>
            <w:tcW w:w="950" w:type="dxa"/>
            <w:vAlign w:val="center"/>
          </w:tcPr>
          <w:p>
            <w:pPr>
              <w:spacing w:before="0" w:after="0" w:line="240" w:lineRule="auto"/>
              <w:jc w:val="center"/>
            </w:pPr>
            <w:r>
              <w:rPr>
                <w:rFonts w:ascii="Arial" w:hAnsi="Arial" w:cs="Arial"/>
                <w:sz w:val="14"/>
                <w:szCs w:val="14"/>
              </w:rPr>
              <w:t xml:space="preserve">5/10/2024</w:t>
            </w:r>
          </w:p>
        </w:tc>
        <w:tc>
          <w:tcPr>
            <w:tcW w:w="1050" w:type="dxa"/>
            <w:vAlign w:val="center"/>
          </w:tcPr>
          <w:p>
            <w:pPr>
              <w:spacing w:before="0" w:after="0" w:line="240" w:lineRule="auto"/>
              <w:jc w:val="right"/>
            </w:pPr>
            <w:r>
              <w:rPr>
                <w:rFonts w:ascii="Arial" w:hAnsi="Arial" w:cs="Arial"/>
                <w:sz w:val="14"/>
                <w:szCs w:val="14"/>
              </w:rPr>
              <w:t xml:space="preserve">$900,000</w:t>
            </w:r>
          </w:p>
        </w:tc>
        <w:tc>
          <w:tcPr>
            <w:tcW w:w="800" w:type="dxa"/>
            <w:vAlign w:val="center"/>
          </w:tcPr>
          <w:p>
            <w:pPr>
              <w:spacing w:before="0" w:after="0" w:line="240" w:lineRule="auto"/>
              <w:jc w:val="right"/>
            </w:pPr>
            <w:r>
              <w:rPr>
                <w:rFonts w:ascii="Arial" w:hAnsi="Arial" w:cs="Arial"/>
                <w:sz w:val="14"/>
                <w:szCs w:val="14"/>
              </w:rPr>
              <w:t xml:space="preserve">3,003</w:t>
            </w:r>
          </w:p>
        </w:tc>
        <w:tc>
          <w:tcPr>
            <w:tcW w:w="900" w:type="dxa"/>
            <w:vAlign w:val="center"/>
          </w:tcPr>
          <w:p>
            <w:pPr>
              <w:spacing w:before="0" w:after="0" w:line="240" w:lineRule="auto"/>
              <w:jc w:val="right"/>
            </w:pPr>
            <w:r>
              <w:rPr>
                <w:rFonts w:ascii="Arial" w:hAnsi="Arial" w:cs="Arial"/>
                <w:sz w:val="14"/>
                <w:szCs w:val="14"/>
              </w:rPr>
              <w:t xml:space="preserve">$299.70</w:t>
            </w:r>
          </w:p>
        </w:tc>
        <w:tc>
          <w:tcPr>
            <w:tcW w:w="650" w:type="dxa"/>
            <w:vAlign w:val="center"/>
          </w:tcPr>
          <w:p>
            <w:pPr>
              <w:spacing w:before="0" w:after="0" w:line="240" w:lineRule="auto"/>
              <w:jc w:val="center"/>
            </w:pPr>
            <w:r>
              <w:rPr>
                <w:rFonts w:ascii="Arial" w:hAnsi="Arial" w:cs="Arial"/>
                <w:sz w:val="14"/>
                <w:szCs w:val="14"/>
              </w:rPr>
              <w:t xml:space="preserve">1987</w:t>
            </w:r>
          </w:p>
        </w:tc>
        <w:tc>
          <w:tcPr>
            <w:tcW w:w="950" w:type="dxa"/>
            <w:vAlign w:val="center"/>
          </w:tcPr>
          <w:p>
            <w:pPr>
              <w:spacing w:before="0" w:after="0" w:line="240" w:lineRule="auto"/>
              <w:jc w:val="right"/>
            </w:pPr>
            <w:r>
              <w:rPr>
                <w:rFonts w:ascii="Arial" w:hAnsi="Arial" w:cs="Arial"/>
                <w:sz w:val="14"/>
                <w:szCs w:val="14"/>
              </w:rPr>
              <w:t xml:space="preserve">15,625</w:t>
            </w:r>
          </w:p>
        </w:tc>
        <w:tc>
          <w:tcPr>
            <w:tcW w:w="710" w:type="dxa"/>
            <w:vAlign w:val="center"/>
          </w:tcPr>
          <w:p>
            <w:pPr>
              <w:spacing w:before="0" w:after="0" w:line="240" w:lineRule="auto"/>
              <w:jc w:val="right"/>
            </w:pPr>
            <w:r>
              <w:rPr>
                <w:rFonts w:ascii="Arial" w:hAnsi="Arial" w:cs="Arial"/>
                <w:sz w:val="14"/>
                <w:szCs w:val="14"/>
              </w:rPr>
              <w:t xml:space="preserve">5.20</w:t>
            </w:r>
          </w:p>
        </w:tc>
      </w:tr>
      <w:tr>
        <w:trPr>
          <w:cantSplit/>
        </w:trPr>
        <w:tc>
          <w:tcPr>
            <w:tcW w:w="400" w:type="dxa"/>
            <w:vAlign w:val="center"/>
          </w:tcPr>
          <w:p>
            <w:pPr>
              <w:spacing w:before="0" w:after="0" w:line="240" w:lineRule="auto"/>
              <w:jc w:val="center"/>
            </w:pPr>
            <w:r>
              <w:rPr>
                <w:rFonts w:ascii="Arial" w:hAnsi="Arial" w:cs="Arial"/>
                <w:sz w:val="14"/>
                <w:szCs w:val="14"/>
              </w:rPr>
              <w:t xml:space="preserve">3</w:t>
            </w:r>
          </w:p>
        </w:tc>
        <w:tc>
          <w:tcPr>
            <w:tcW w:w="1700" w:type="dxa"/>
            <w:vAlign w:val="center"/>
          </w:tcPr>
          <w:p>
            <w:pPr>
              <w:spacing w:before="0" w:after="0" w:line="240" w:lineRule="auto"/>
              <w:jc w:val="left"/>
            </w:pPr>
            <w:r>
              <w:rPr>
                <w:rFonts w:ascii="Arial" w:hAnsi="Arial" w:cs="Arial"/>
                <w:sz w:val="14"/>
                <w:szCs w:val="14"/>
              </w:rPr>
              <w:t xml:space="preserve">6775 E 56th Ave</w:t>
            </w:r>
          </w:p>
        </w:tc>
        <w:tc>
          <w:tcPr>
            <w:tcW w:w="1250" w:type="dxa"/>
            <w:vAlign w:val="center"/>
          </w:tcPr>
          <w:p>
            <w:pPr>
              <w:spacing w:before="0" w:after="0" w:line="240" w:lineRule="auto"/>
              <w:jc w:val="left"/>
            </w:pPr>
            <w:r>
              <w:rPr>
                <w:rFonts w:ascii="Arial" w:hAnsi="Arial" w:cs="Arial"/>
                <w:sz w:val="14"/>
                <w:szCs w:val="14"/>
              </w:rPr>
              <w:t xml:space="preserve">Commerce City</w:t>
            </w:r>
          </w:p>
        </w:tc>
        <w:tc>
          <w:tcPr>
            <w:tcW w:w="950" w:type="dxa"/>
            <w:vAlign w:val="center"/>
          </w:tcPr>
          <w:p>
            <w:pPr>
              <w:spacing w:before="0" w:after="0" w:line="240" w:lineRule="auto"/>
              <w:jc w:val="center"/>
            </w:pPr>
            <w:r>
              <w:rPr>
                <w:rFonts w:ascii="Arial" w:hAnsi="Arial" w:cs="Arial"/>
                <w:sz w:val="14"/>
                <w:szCs w:val="14"/>
              </w:rPr>
              <w:t xml:space="preserve">11/4/2022</w:t>
            </w:r>
          </w:p>
        </w:tc>
        <w:tc>
          <w:tcPr>
            <w:tcW w:w="1050" w:type="dxa"/>
            <w:vAlign w:val="center"/>
          </w:tcPr>
          <w:p>
            <w:pPr>
              <w:spacing w:before="0" w:after="0" w:line="240" w:lineRule="auto"/>
              <w:jc w:val="right"/>
            </w:pPr>
            <w:r>
              <w:rPr>
                <w:rFonts w:ascii="Arial" w:hAnsi="Arial" w:cs="Arial"/>
                <w:sz w:val="14"/>
                <w:szCs w:val="14"/>
              </w:rPr>
              <w:t xml:space="preserve">$980,000</w:t>
            </w:r>
          </w:p>
        </w:tc>
        <w:tc>
          <w:tcPr>
            <w:tcW w:w="800" w:type="dxa"/>
            <w:vAlign w:val="center"/>
          </w:tcPr>
          <w:p>
            <w:pPr>
              <w:spacing w:before="0" w:after="0" w:line="240" w:lineRule="auto"/>
              <w:jc w:val="right"/>
            </w:pPr>
            <w:r>
              <w:rPr>
                <w:rFonts w:ascii="Arial" w:hAnsi="Arial" w:cs="Arial"/>
                <w:sz w:val="14"/>
                <w:szCs w:val="14"/>
              </w:rPr>
              <w:t xml:space="preserve">3,200</w:t>
            </w:r>
          </w:p>
        </w:tc>
        <w:tc>
          <w:tcPr>
            <w:tcW w:w="900" w:type="dxa"/>
            <w:vAlign w:val="center"/>
          </w:tcPr>
          <w:p>
            <w:pPr>
              <w:spacing w:before="0" w:after="0" w:line="240" w:lineRule="auto"/>
              <w:jc w:val="right"/>
            </w:pPr>
            <w:r>
              <w:rPr>
                <w:rFonts w:ascii="Arial" w:hAnsi="Arial" w:cs="Arial"/>
                <w:sz w:val="14"/>
                <w:szCs w:val="14"/>
              </w:rPr>
              <w:t xml:space="preserve">$306.25</w:t>
            </w:r>
          </w:p>
        </w:tc>
        <w:tc>
          <w:tcPr>
            <w:tcW w:w="650" w:type="dxa"/>
            <w:vAlign w:val="center"/>
          </w:tcPr>
          <w:p>
            <w:pPr>
              <w:spacing w:before="0" w:after="0" w:line="240" w:lineRule="auto"/>
              <w:jc w:val="center"/>
            </w:pPr>
            <w:r>
              <w:rPr>
                <w:rFonts w:ascii="Arial" w:hAnsi="Arial" w:cs="Arial"/>
                <w:sz w:val="14"/>
                <w:szCs w:val="14"/>
              </w:rPr>
              <w:t xml:space="preserve">1960</w:t>
            </w:r>
          </w:p>
        </w:tc>
        <w:tc>
          <w:tcPr>
            <w:tcW w:w="950" w:type="dxa"/>
            <w:vAlign w:val="center"/>
          </w:tcPr>
          <w:p>
            <w:pPr>
              <w:spacing w:before="0" w:after="0" w:line="240" w:lineRule="auto"/>
              <w:jc w:val="right"/>
            </w:pPr>
            <w:r>
              <w:rPr>
                <w:rFonts w:ascii="Arial" w:hAnsi="Arial" w:cs="Arial"/>
                <w:sz w:val="14"/>
                <w:szCs w:val="14"/>
              </w:rPr>
              <w:t xml:space="preserve">21,780</w:t>
            </w:r>
          </w:p>
        </w:tc>
        <w:tc>
          <w:tcPr>
            <w:tcW w:w="710" w:type="dxa"/>
            <w:vAlign w:val="center"/>
          </w:tcPr>
          <w:p>
            <w:pPr>
              <w:spacing w:before="0" w:after="0" w:line="240" w:lineRule="auto"/>
              <w:jc w:val="right"/>
            </w:pPr>
            <w:r>
              <w:rPr>
                <w:rFonts w:ascii="Arial" w:hAnsi="Arial" w:cs="Arial"/>
                <w:sz w:val="14"/>
                <w:szCs w:val="14"/>
              </w:rPr>
              <w:t xml:space="preserve">6.81</w:t>
            </w:r>
          </w:p>
        </w:tc>
      </w:tr>
      <w:tr>
        <w:trPr>
          <w:cantSplit/>
        </w:trPr>
        <w:tc>
          <w:tcPr>
            <w:tcW w:w="400" w:type="dxa"/>
            <w:vAlign w:val="center"/>
          </w:tcPr>
          <w:p>
            <w:pPr>
              <w:spacing w:before="0" w:after="0" w:line="240" w:lineRule="auto"/>
              <w:jc w:val="center"/>
            </w:pPr>
            <w:r>
              <w:rPr>
                <w:rFonts w:ascii="Arial" w:hAnsi="Arial" w:cs="Arial"/>
                <w:sz w:val="14"/>
                <w:szCs w:val="14"/>
              </w:rPr>
              <w:t xml:space="preserve">4</w:t>
            </w:r>
          </w:p>
        </w:tc>
        <w:tc>
          <w:tcPr>
            <w:tcW w:w="1700" w:type="dxa"/>
            <w:vAlign w:val="center"/>
          </w:tcPr>
          <w:p>
            <w:pPr>
              <w:spacing w:before="0" w:after="0" w:line="240" w:lineRule="auto"/>
              <w:jc w:val="left"/>
            </w:pPr>
            <w:r>
              <w:rPr>
                <w:rFonts w:ascii="Arial" w:hAnsi="Arial" w:cs="Arial"/>
                <w:sz w:val="14"/>
                <w:szCs w:val="14"/>
              </w:rPr>
              <w:t xml:space="preserve">5690 Lamar St</w:t>
            </w:r>
          </w:p>
        </w:tc>
        <w:tc>
          <w:tcPr>
            <w:tcW w:w="1250" w:type="dxa"/>
            <w:vAlign w:val="center"/>
          </w:tcPr>
          <w:p>
            <w:pPr>
              <w:spacing w:before="0" w:after="0" w:line="240" w:lineRule="auto"/>
              <w:jc w:val="left"/>
            </w:pPr>
            <w:r>
              <w:rPr>
                <w:rFonts w:ascii="Arial" w:hAnsi="Arial" w:cs="Arial"/>
                <w:sz w:val="14"/>
                <w:szCs w:val="14"/>
              </w:rPr>
              <w:t xml:space="preserve">Arvada</w:t>
            </w:r>
          </w:p>
        </w:tc>
        <w:tc>
          <w:tcPr>
            <w:tcW w:w="950" w:type="dxa"/>
            <w:vAlign w:val="center"/>
          </w:tcPr>
          <w:p>
            <w:pPr>
              <w:spacing w:before="0" w:after="0" w:line="240" w:lineRule="auto"/>
              <w:jc w:val="center"/>
            </w:pPr>
            <w:r>
              <w:rPr>
                <w:rFonts w:ascii="Arial" w:hAnsi="Arial" w:cs="Arial"/>
                <w:sz w:val="14"/>
                <w:szCs w:val="14"/>
              </w:rPr>
              <w:t xml:space="preserve">3/18/2024</w:t>
            </w:r>
          </w:p>
        </w:tc>
        <w:tc>
          <w:tcPr>
            <w:tcW w:w="1050" w:type="dxa"/>
            <w:vAlign w:val="center"/>
          </w:tcPr>
          <w:p>
            <w:pPr>
              <w:spacing w:before="0" w:after="0" w:line="240" w:lineRule="auto"/>
              <w:jc w:val="right"/>
            </w:pPr>
            <w:r>
              <w:rPr>
                <w:rFonts w:ascii="Arial" w:hAnsi="Arial" w:cs="Arial"/>
                <w:sz w:val="14"/>
                <w:szCs w:val="14"/>
              </w:rPr>
              <w:t xml:space="preserve">$1,000,000</w:t>
            </w:r>
          </w:p>
        </w:tc>
        <w:tc>
          <w:tcPr>
            <w:tcW w:w="800" w:type="dxa"/>
            <w:vAlign w:val="center"/>
          </w:tcPr>
          <w:p>
            <w:pPr>
              <w:spacing w:before="0" w:after="0" w:line="240" w:lineRule="auto"/>
              <w:jc w:val="right"/>
            </w:pPr>
            <w:r>
              <w:rPr>
                <w:rFonts w:ascii="Arial" w:hAnsi="Arial" w:cs="Arial"/>
                <w:sz w:val="14"/>
                <w:szCs w:val="14"/>
              </w:rPr>
              <w:t xml:space="preserve">3,143</w:t>
            </w:r>
          </w:p>
        </w:tc>
        <w:tc>
          <w:tcPr>
            <w:tcW w:w="900" w:type="dxa"/>
            <w:vAlign w:val="center"/>
          </w:tcPr>
          <w:p>
            <w:pPr>
              <w:spacing w:before="0" w:after="0" w:line="240" w:lineRule="auto"/>
              <w:jc w:val="right"/>
            </w:pPr>
            <w:r>
              <w:rPr>
                <w:rFonts w:ascii="Arial" w:hAnsi="Arial" w:cs="Arial"/>
                <w:sz w:val="14"/>
                <w:szCs w:val="14"/>
              </w:rPr>
              <w:t xml:space="preserve">$318.17</w:t>
            </w:r>
          </w:p>
        </w:tc>
        <w:tc>
          <w:tcPr>
            <w:tcW w:w="650" w:type="dxa"/>
            <w:vAlign w:val="center"/>
          </w:tcPr>
          <w:p>
            <w:pPr>
              <w:spacing w:before="0" w:after="0" w:line="240" w:lineRule="auto"/>
              <w:jc w:val="center"/>
            </w:pPr>
            <w:r>
              <w:rPr>
                <w:rFonts w:ascii="Arial" w:hAnsi="Arial" w:cs="Arial"/>
                <w:sz w:val="14"/>
                <w:szCs w:val="14"/>
              </w:rPr>
              <w:t xml:space="preserve">1969</w:t>
            </w:r>
          </w:p>
        </w:tc>
        <w:tc>
          <w:tcPr>
            <w:tcW w:w="950" w:type="dxa"/>
            <w:vAlign w:val="center"/>
          </w:tcPr>
          <w:p>
            <w:pPr>
              <w:spacing w:before="0" w:after="0" w:line="240" w:lineRule="auto"/>
              <w:jc w:val="right"/>
            </w:pPr>
            <w:r>
              <w:rPr>
                <w:rFonts w:ascii="Arial" w:hAnsi="Arial" w:cs="Arial"/>
                <w:sz w:val="14"/>
                <w:szCs w:val="14"/>
              </w:rPr>
              <w:t xml:space="preserve">10,454</w:t>
            </w:r>
          </w:p>
        </w:tc>
        <w:tc>
          <w:tcPr>
            <w:tcW w:w="710" w:type="dxa"/>
            <w:vAlign w:val="center"/>
          </w:tcPr>
          <w:p>
            <w:pPr>
              <w:spacing w:before="0" w:after="0" w:line="240" w:lineRule="auto"/>
              <w:jc w:val="right"/>
            </w:pPr>
            <w:r>
              <w:rPr>
                <w:rFonts w:ascii="Arial" w:hAnsi="Arial" w:cs="Arial"/>
                <w:sz w:val="14"/>
                <w:szCs w:val="14"/>
              </w:rPr>
              <w:t xml:space="preserve">3.33</w:t>
            </w:r>
          </w:p>
        </w:tc>
      </w:tr>
      <w:tr>
        <w:trPr>
          <w:cantSplit/>
        </w:trPr>
        <w:tc>
          <w:tcPr>
            <w:tcW w:w="400" w:type="dxa"/>
            <w:vAlign w:val="center"/>
          </w:tcPr>
          <w:p>
            <w:pPr>
              <w:spacing w:before="0" w:after="0" w:line="240" w:lineRule="auto"/>
              <w:jc w:val="center"/>
            </w:pPr>
            <w:r>
              <w:rPr>
                <w:rFonts w:ascii="Arial" w:hAnsi="Arial" w:cs="Arial"/>
                <w:sz w:val="14"/>
                <w:szCs w:val="14"/>
              </w:rPr>
              <w:t xml:space="preserve">5</w:t>
            </w:r>
          </w:p>
        </w:tc>
        <w:tc>
          <w:tcPr>
            <w:tcW w:w="1700" w:type="dxa"/>
            <w:vAlign w:val="center"/>
          </w:tcPr>
          <w:p>
            <w:pPr>
              <w:spacing w:before="0" w:after="0" w:line="240" w:lineRule="auto"/>
              <w:jc w:val="left"/>
            </w:pPr>
            <w:r>
              <w:rPr>
                <w:rFonts w:ascii="Arial" w:hAnsi="Arial" w:cs="Arial"/>
                <w:sz w:val="14"/>
                <w:szCs w:val="14"/>
              </w:rPr>
              <w:t xml:space="preserve">5503 Marshall St</w:t>
            </w:r>
          </w:p>
        </w:tc>
        <w:tc>
          <w:tcPr>
            <w:tcW w:w="1250" w:type="dxa"/>
            <w:vAlign w:val="center"/>
          </w:tcPr>
          <w:p>
            <w:pPr>
              <w:spacing w:before="0" w:after="0" w:line="240" w:lineRule="auto"/>
              <w:jc w:val="left"/>
            </w:pPr>
            <w:r>
              <w:rPr>
                <w:rFonts w:ascii="Arial" w:hAnsi="Arial" w:cs="Arial"/>
                <w:sz w:val="14"/>
                <w:szCs w:val="14"/>
              </w:rPr>
              <w:t xml:space="preserve">Arvada</w:t>
            </w:r>
          </w:p>
        </w:tc>
        <w:tc>
          <w:tcPr>
            <w:tcW w:w="950" w:type="dxa"/>
            <w:vAlign w:val="center"/>
          </w:tcPr>
          <w:p>
            <w:pPr>
              <w:spacing w:before="0" w:after="0" w:line="240" w:lineRule="auto"/>
              <w:jc w:val="center"/>
            </w:pPr>
            <w:r>
              <w:rPr>
                <w:rFonts w:ascii="Arial" w:hAnsi="Arial" w:cs="Arial"/>
                <w:sz w:val="14"/>
                <w:szCs w:val="14"/>
              </w:rPr>
              <w:t xml:space="preserve">12/30/2022</w:t>
            </w:r>
          </w:p>
        </w:tc>
        <w:tc>
          <w:tcPr>
            <w:tcW w:w="1050" w:type="dxa"/>
            <w:vAlign w:val="center"/>
          </w:tcPr>
          <w:p>
            <w:pPr>
              <w:spacing w:before="0" w:after="0" w:line="240" w:lineRule="auto"/>
              <w:jc w:val="right"/>
            </w:pPr>
            <w:r>
              <w:rPr>
                <w:rFonts w:ascii="Arial" w:hAnsi="Arial" w:cs="Arial"/>
                <w:sz w:val="14"/>
                <w:szCs w:val="14"/>
              </w:rPr>
              <w:t xml:space="preserve">$1,500,000</w:t>
            </w:r>
          </w:p>
        </w:tc>
        <w:tc>
          <w:tcPr>
            <w:tcW w:w="800" w:type="dxa"/>
            <w:vAlign w:val="center"/>
          </w:tcPr>
          <w:p>
            <w:pPr>
              <w:spacing w:before="0" w:after="0" w:line="240" w:lineRule="auto"/>
              <w:jc w:val="right"/>
            </w:pPr>
            <w:r>
              <w:rPr>
                <w:rFonts w:ascii="Arial" w:hAnsi="Arial" w:cs="Arial"/>
                <w:sz w:val="14"/>
                <w:szCs w:val="14"/>
              </w:rPr>
              <w:t xml:space="preserve">4,583</w:t>
            </w:r>
          </w:p>
        </w:tc>
        <w:tc>
          <w:tcPr>
            <w:tcW w:w="900" w:type="dxa"/>
            <w:vAlign w:val="center"/>
          </w:tcPr>
          <w:p>
            <w:pPr>
              <w:spacing w:before="0" w:after="0" w:line="240" w:lineRule="auto"/>
              <w:jc w:val="right"/>
            </w:pPr>
            <w:r>
              <w:rPr>
                <w:rFonts w:ascii="Arial" w:hAnsi="Arial" w:cs="Arial"/>
                <w:sz w:val="14"/>
                <w:szCs w:val="14"/>
              </w:rPr>
              <w:t xml:space="preserve">$327.30</w:t>
            </w:r>
          </w:p>
        </w:tc>
        <w:tc>
          <w:tcPr>
            <w:tcW w:w="650" w:type="dxa"/>
            <w:vAlign w:val="center"/>
          </w:tcPr>
          <w:p>
            <w:pPr>
              <w:spacing w:before="0" w:after="0" w:line="240" w:lineRule="auto"/>
              <w:jc w:val="center"/>
            </w:pPr>
            <w:r>
              <w:rPr>
                <w:rFonts w:ascii="Arial" w:hAnsi="Arial" w:cs="Arial"/>
                <w:sz w:val="14"/>
                <w:szCs w:val="14"/>
              </w:rPr>
              <w:t xml:space="preserve">1943</w:t>
            </w:r>
          </w:p>
        </w:tc>
        <w:tc>
          <w:tcPr>
            <w:tcW w:w="950" w:type="dxa"/>
            <w:vAlign w:val="center"/>
          </w:tcPr>
          <w:p>
            <w:pPr>
              <w:spacing w:before="0" w:after="0" w:line="240" w:lineRule="auto"/>
              <w:jc w:val="right"/>
            </w:pPr>
            <w:r>
              <w:rPr>
                <w:rFonts w:ascii="Arial" w:hAnsi="Arial" w:cs="Arial"/>
                <w:sz w:val="14"/>
                <w:szCs w:val="14"/>
              </w:rPr>
              <w:t xml:space="preserve">45,738</w:t>
            </w:r>
          </w:p>
        </w:tc>
        <w:tc>
          <w:tcPr>
            <w:tcW w:w="710" w:type="dxa"/>
            <w:vAlign w:val="center"/>
          </w:tcPr>
          <w:p>
            <w:pPr>
              <w:spacing w:before="0" w:after="0" w:line="240" w:lineRule="auto"/>
              <w:jc w:val="right"/>
            </w:pPr>
            <w:r>
              <w:rPr>
                <w:rFonts w:ascii="Arial" w:hAnsi="Arial" w:cs="Arial"/>
                <w:sz w:val="14"/>
                <w:szCs w:val="14"/>
              </w:rPr>
              <w:t xml:space="preserve">9.98</w:t>
            </w:r>
          </w:p>
        </w:tc>
      </w:tr>
      <w:tr>
        <w:trPr>
          <w:cantSplit/>
        </w:trPr>
        <w:tc>
          <w:tcPr>
            <w:tcW w:w="400" w:type="dxa"/>
            <w:vAlign w:val="center"/>
          </w:tcPr>
          <w:p>
            <w:pPr>
              <w:spacing w:before="0" w:after="0" w:line="240" w:lineRule="auto"/>
              <w:jc w:val="center"/>
            </w:pPr>
            <w:r>
              <w:rPr>
                <w:rFonts w:ascii="Arial" w:hAnsi="Arial" w:cs="Arial"/>
                <w:sz w:val="14"/>
                <w:szCs w:val="14"/>
              </w:rPr>
              <w:t xml:space="preserve">6</w:t>
            </w:r>
          </w:p>
        </w:tc>
        <w:tc>
          <w:tcPr>
            <w:tcW w:w="1700" w:type="dxa"/>
            <w:vAlign w:val="center"/>
          </w:tcPr>
          <w:p>
            <w:pPr>
              <w:spacing w:before="0" w:after="0" w:line="240" w:lineRule="auto"/>
              <w:jc w:val="left"/>
            </w:pPr>
            <w:r>
              <w:rPr>
                <w:rFonts w:ascii="Arial" w:hAnsi="Arial" w:cs="Arial"/>
                <w:sz w:val="14"/>
                <w:szCs w:val="14"/>
              </w:rPr>
              <w:t xml:space="preserve">4250 Fox St</w:t>
            </w:r>
          </w:p>
        </w:tc>
        <w:tc>
          <w:tcPr>
            <w:tcW w:w="1250" w:type="dxa"/>
            <w:vAlign w:val="center"/>
          </w:tcPr>
          <w:p>
            <w:pPr>
              <w:spacing w:before="0" w:after="0" w:line="240" w:lineRule="auto"/>
              <w:jc w:val="left"/>
            </w:pPr>
            <w:r>
              <w:rPr>
                <w:rFonts w:ascii="Arial" w:hAnsi="Arial" w:cs="Arial"/>
                <w:sz w:val="14"/>
                <w:szCs w:val="14"/>
              </w:rPr>
              <w:t xml:space="preserve">Denver</w:t>
            </w:r>
          </w:p>
        </w:tc>
        <w:tc>
          <w:tcPr>
            <w:tcW w:w="950" w:type="dxa"/>
            <w:vAlign w:val="center"/>
          </w:tcPr>
          <w:p>
            <w:pPr>
              <w:spacing w:before="0" w:after="0" w:line="240" w:lineRule="auto"/>
              <w:jc w:val="center"/>
            </w:pPr>
            <w:r>
              <w:rPr>
                <w:rFonts w:ascii="Arial" w:hAnsi="Arial" w:cs="Arial"/>
                <w:sz w:val="14"/>
                <w:szCs w:val="14"/>
              </w:rPr>
              <w:t xml:space="preserve">6/16/2022</w:t>
            </w:r>
          </w:p>
        </w:tc>
        <w:tc>
          <w:tcPr>
            <w:tcW w:w="1050" w:type="dxa"/>
            <w:vAlign w:val="center"/>
          </w:tcPr>
          <w:p>
            <w:pPr>
              <w:spacing w:before="0" w:after="0" w:line="240" w:lineRule="auto"/>
              <w:jc w:val="right"/>
            </w:pPr>
            <w:r>
              <w:rPr>
                <w:rFonts w:ascii="Arial" w:hAnsi="Arial" w:cs="Arial"/>
                <w:sz w:val="14"/>
                <w:szCs w:val="14"/>
              </w:rPr>
              <w:t xml:space="preserve">$1,265,000</w:t>
            </w:r>
          </w:p>
        </w:tc>
        <w:tc>
          <w:tcPr>
            <w:tcW w:w="800" w:type="dxa"/>
            <w:vAlign w:val="center"/>
          </w:tcPr>
          <w:p>
            <w:pPr>
              <w:spacing w:before="0" w:after="0" w:line="240" w:lineRule="auto"/>
              <w:jc w:val="right"/>
            </w:pPr>
            <w:r>
              <w:rPr>
                <w:rFonts w:ascii="Arial" w:hAnsi="Arial" w:cs="Arial"/>
                <w:sz w:val="14"/>
                <w:szCs w:val="14"/>
              </w:rPr>
              <w:t xml:space="preserve">3,840</w:t>
            </w:r>
          </w:p>
        </w:tc>
        <w:tc>
          <w:tcPr>
            <w:tcW w:w="900" w:type="dxa"/>
            <w:vAlign w:val="center"/>
          </w:tcPr>
          <w:p>
            <w:pPr>
              <w:spacing w:before="0" w:after="0" w:line="240" w:lineRule="auto"/>
              <w:jc w:val="right"/>
            </w:pPr>
            <w:r>
              <w:rPr>
                <w:rFonts w:ascii="Arial" w:hAnsi="Arial" w:cs="Arial"/>
                <w:sz w:val="14"/>
                <w:szCs w:val="14"/>
              </w:rPr>
              <w:t xml:space="preserve">$329.43</w:t>
            </w:r>
          </w:p>
        </w:tc>
        <w:tc>
          <w:tcPr>
            <w:tcW w:w="650" w:type="dxa"/>
            <w:vAlign w:val="center"/>
          </w:tcPr>
          <w:p>
            <w:pPr>
              <w:spacing w:before="0" w:after="0" w:line="240" w:lineRule="auto"/>
              <w:jc w:val="center"/>
            </w:pPr>
            <w:r>
              <w:rPr>
                <w:rFonts w:ascii="Arial" w:hAnsi="Arial" w:cs="Arial"/>
                <w:sz w:val="14"/>
                <w:szCs w:val="14"/>
              </w:rPr>
              <w:t xml:space="preserve">1972</w:t>
            </w:r>
          </w:p>
        </w:tc>
        <w:tc>
          <w:tcPr>
            <w:tcW w:w="950" w:type="dxa"/>
            <w:vAlign w:val="center"/>
          </w:tcPr>
          <w:p>
            <w:pPr>
              <w:spacing w:before="0" w:after="0" w:line="240" w:lineRule="auto"/>
              <w:jc w:val="right"/>
            </w:pPr>
            <w:r>
              <w:rPr>
                <w:rFonts w:ascii="Arial" w:hAnsi="Arial" w:cs="Arial"/>
                <w:sz w:val="14"/>
                <w:szCs w:val="14"/>
              </w:rPr>
              <w:t xml:space="preserve">6,251</w:t>
            </w:r>
          </w:p>
        </w:tc>
        <w:tc>
          <w:tcPr>
            <w:tcW w:w="710" w:type="dxa"/>
            <w:vAlign w:val="center"/>
          </w:tcPr>
          <w:p>
            <w:pPr>
              <w:spacing w:before="0" w:after="0" w:line="240" w:lineRule="auto"/>
              <w:jc w:val="right"/>
            </w:pPr>
            <w:r>
              <w:rPr>
                <w:rFonts w:ascii="Arial" w:hAnsi="Arial" w:cs="Arial"/>
                <w:sz w:val="14"/>
                <w:szCs w:val="14"/>
              </w:rPr>
              <w:t xml:space="preserve">1.63</w:t>
            </w:r>
          </w:p>
        </w:tc>
      </w:tr>
      <w:tr>
        <w:trPr>
          <w:cantSplit/>
        </w:trPr>
        <w:tc>
          <w:tcPr>
            <w:tcW w:w="400" w:type="dxa"/>
            <w:vAlign w:val="center"/>
          </w:tcPr>
          <w:p>
            <w:pPr>
              <w:spacing w:before="0" w:after="0" w:line="240" w:lineRule="auto"/>
              <w:jc w:val="center"/>
            </w:pPr>
            <w:r>
              <w:rPr>
                <w:rFonts w:ascii="Arial" w:hAnsi="Arial" w:cs="Arial"/>
                <w:sz w:val="14"/>
                <w:szCs w:val="14"/>
              </w:rPr>
              <w:t xml:space="preserve">7</w:t>
            </w:r>
          </w:p>
        </w:tc>
        <w:tc>
          <w:tcPr>
            <w:tcW w:w="1700" w:type="dxa"/>
            <w:vAlign w:val="center"/>
          </w:tcPr>
          <w:p>
            <w:pPr>
              <w:spacing w:before="0" w:after="0" w:line="240" w:lineRule="auto"/>
              <w:jc w:val="left"/>
            </w:pPr>
            <w:r>
              <w:rPr>
                <w:rFonts w:ascii="Arial" w:hAnsi="Arial" w:cs="Arial"/>
                <w:sz w:val="14"/>
                <w:szCs w:val="14"/>
              </w:rPr>
              <w:t xml:space="preserve">4810 Olive St</w:t>
            </w:r>
          </w:p>
        </w:tc>
        <w:tc>
          <w:tcPr>
            <w:tcW w:w="1250" w:type="dxa"/>
            <w:vAlign w:val="center"/>
          </w:tcPr>
          <w:p>
            <w:pPr>
              <w:spacing w:before="0" w:after="0" w:line="240" w:lineRule="auto"/>
              <w:jc w:val="left"/>
            </w:pPr>
            <w:r>
              <w:rPr>
                <w:rFonts w:ascii="Arial" w:hAnsi="Arial" w:cs="Arial"/>
                <w:sz w:val="14"/>
                <w:szCs w:val="14"/>
              </w:rPr>
              <w:t xml:space="preserve">Commerce City</w:t>
            </w:r>
          </w:p>
        </w:tc>
        <w:tc>
          <w:tcPr>
            <w:tcW w:w="950" w:type="dxa"/>
            <w:vAlign w:val="center"/>
          </w:tcPr>
          <w:p>
            <w:pPr>
              <w:spacing w:before="0" w:after="0" w:line="240" w:lineRule="auto"/>
              <w:jc w:val="center"/>
            </w:pPr>
            <w:r>
              <w:rPr>
                <w:rFonts w:ascii="Arial" w:hAnsi="Arial" w:cs="Arial"/>
                <w:sz w:val="14"/>
                <w:szCs w:val="14"/>
              </w:rPr>
              <w:t xml:space="preserve">9/27/2022</w:t>
            </w:r>
          </w:p>
        </w:tc>
        <w:tc>
          <w:tcPr>
            <w:tcW w:w="1050" w:type="dxa"/>
            <w:vAlign w:val="center"/>
          </w:tcPr>
          <w:p>
            <w:pPr>
              <w:spacing w:before="0" w:after="0" w:line="240" w:lineRule="auto"/>
              <w:jc w:val="right"/>
            </w:pPr>
            <w:r>
              <w:rPr>
                <w:rFonts w:ascii="Arial" w:hAnsi="Arial" w:cs="Arial"/>
                <w:sz w:val="14"/>
                <w:szCs w:val="14"/>
              </w:rPr>
              <w:t xml:space="preserve">$1,475,000</w:t>
            </w:r>
          </w:p>
        </w:tc>
        <w:tc>
          <w:tcPr>
            <w:tcW w:w="800" w:type="dxa"/>
            <w:vAlign w:val="center"/>
          </w:tcPr>
          <w:p>
            <w:pPr>
              <w:spacing w:before="0" w:after="0" w:line="240" w:lineRule="auto"/>
              <w:jc w:val="right"/>
            </w:pPr>
            <w:r>
              <w:rPr>
                <w:rFonts w:ascii="Arial" w:hAnsi="Arial" w:cs="Arial"/>
                <w:sz w:val="14"/>
                <w:szCs w:val="14"/>
              </w:rPr>
              <w:t xml:space="preserve">4,215</w:t>
            </w:r>
          </w:p>
        </w:tc>
        <w:tc>
          <w:tcPr>
            <w:tcW w:w="900" w:type="dxa"/>
            <w:vAlign w:val="center"/>
          </w:tcPr>
          <w:p>
            <w:pPr>
              <w:spacing w:before="0" w:after="0" w:line="240" w:lineRule="auto"/>
              <w:jc w:val="right"/>
            </w:pPr>
            <w:r>
              <w:rPr>
                <w:rFonts w:ascii="Arial" w:hAnsi="Arial" w:cs="Arial"/>
                <w:sz w:val="14"/>
                <w:szCs w:val="14"/>
              </w:rPr>
              <w:t xml:space="preserve">$349.94</w:t>
            </w:r>
          </w:p>
        </w:tc>
        <w:tc>
          <w:tcPr>
            <w:tcW w:w="650" w:type="dxa"/>
            <w:vAlign w:val="center"/>
          </w:tcPr>
          <w:p>
            <w:pPr>
              <w:spacing w:before="0" w:after="0" w:line="240" w:lineRule="auto"/>
              <w:jc w:val="center"/>
            </w:pPr>
            <w:r>
              <w:rPr>
                <w:rFonts w:ascii="Arial" w:hAnsi="Arial" w:cs="Arial"/>
                <w:sz w:val="14"/>
                <w:szCs w:val="14"/>
              </w:rPr>
              <w:t xml:space="preserve">1972</w:t>
            </w:r>
          </w:p>
        </w:tc>
        <w:tc>
          <w:tcPr>
            <w:tcW w:w="950" w:type="dxa"/>
            <w:vAlign w:val="center"/>
          </w:tcPr>
          <w:p>
            <w:pPr>
              <w:spacing w:before="0" w:after="0" w:line="240" w:lineRule="auto"/>
              <w:jc w:val="right"/>
            </w:pPr>
            <w:r>
              <w:rPr>
                <w:rFonts w:ascii="Arial" w:hAnsi="Arial" w:cs="Arial"/>
                <w:sz w:val="14"/>
                <w:szCs w:val="14"/>
              </w:rPr>
              <w:t xml:space="preserve">35,898</w:t>
            </w:r>
          </w:p>
        </w:tc>
        <w:tc>
          <w:tcPr>
            <w:tcW w:w="710" w:type="dxa"/>
            <w:vAlign w:val="center"/>
          </w:tcPr>
          <w:p>
            <w:pPr>
              <w:spacing w:before="0" w:after="0" w:line="240" w:lineRule="auto"/>
              <w:jc w:val="right"/>
            </w:pPr>
            <w:r>
              <w:rPr>
                <w:rFonts w:ascii="Arial" w:hAnsi="Arial" w:cs="Arial"/>
                <w:sz w:val="14"/>
                <w:szCs w:val="14"/>
              </w:rPr>
              <w:t xml:space="preserve">8.52</w:t>
            </w:r>
          </w:p>
        </w:tc>
      </w:tr>
      <w:tr>
        <w:trPr>
          <w:cantSplit/>
        </w:trPr>
        <w:tc>
          <w:tcPr>
            <w:tcW w:w="400" w:type="dxa"/>
            <w:vAlign w:val="center"/>
          </w:tcPr>
          <w:p>
            <w:pPr>
              <w:spacing w:before="0" w:after="0" w:line="240" w:lineRule="auto"/>
              <w:jc w:val="center"/>
            </w:pPr>
            <w:r>
              <w:rPr>
                <w:rFonts w:ascii="Arial" w:hAnsi="Arial" w:cs="Arial"/>
                <w:sz w:val="14"/>
                <w:szCs w:val="14"/>
              </w:rPr>
              <w:t xml:space="preserve">8</w:t>
            </w:r>
          </w:p>
        </w:tc>
        <w:tc>
          <w:tcPr>
            <w:tcW w:w="1700" w:type="dxa"/>
            <w:vAlign w:val="center"/>
          </w:tcPr>
          <w:p>
            <w:pPr>
              <w:spacing w:before="0" w:after="0" w:line="240" w:lineRule="auto"/>
              <w:jc w:val="left"/>
            </w:pPr>
            <w:r>
              <w:rPr>
                <w:rFonts w:ascii="Arial" w:hAnsi="Arial" w:cs="Arial"/>
                <w:sz w:val="14"/>
                <w:szCs w:val="14"/>
              </w:rPr>
              <w:t xml:space="preserve">5350 Broadway</w:t>
            </w:r>
          </w:p>
        </w:tc>
        <w:tc>
          <w:tcPr>
            <w:tcW w:w="1250" w:type="dxa"/>
            <w:vAlign w:val="center"/>
          </w:tcPr>
          <w:p>
            <w:pPr>
              <w:spacing w:before="0" w:after="0" w:line="240" w:lineRule="auto"/>
              <w:jc w:val="left"/>
            </w:pPr>
            <w:r>
              <w:rPr>
                <w:rFonts w:ascii="Arial" w:hAnsi="Arial" w:cs="Arial"/>
                <w:sz w:val="14"/>
                <w:szCs w:val="14"/>
              </w:rPr>
              <w:t xml:space="preserve">Denver</w:t>
            </w:r>
          </w:p>
        </w:tc>
        <w:tc>
          <w:tcPr>
            <w:tcW w:w="950" w:type="dxa"/>
            <w:vAlign w:val="center"/>
          </w:tcPr>
          <w:p>
            <w:pPr>
              <w:spacing w:before="0" w:after="0" w:line="240" w:lineRule="auto"/>
              <w:jc w:val="center"/>
            </w:pPr>
            <w:r>
              <w:rPr>
                <w:rFonts w:ascii="Arial" w:hAnsi="Arial" w:cs="Arial"/>
                <w:sz w:val="14"/>
                <w:szCs w:val="14"/>
              </w:rPr>
              <w:t xml:space="preserve">3/14/2022</w:t>
            </w:r>
          </w:p>
        </w:tc>
        <w:tc>
          <w:tcPr>
            <w:tcW w:w="1050" w:type="dxa"/>
            <w:vAlign w:val="center"/>
          </w:tcPr>
          <w:p>
            <w:pPr>
              <w:spacing w:before="0" w:after="0" w:line="240" w:lineRule="auto"/>
              <w:jc w:val="right"/>
            </w:pPr>
            <w:r>
              <w:rPr>
                <w:rFonts w:ascii="Arial" w:hAnsi="Arial" w:cs="Arial"/>
                <w:sz w:val="14"/>
                <w:szCs w:val="14"/>
              </w:rPr>
              <w:t xml:space="preserve">$1,300,000</w:t>
            </w:r>
          </w:p>
        </w:tc>
        <w:tc>
          <w:tcPr>
            <w:tcW w:w="800" w:type="dxa"/>
            <w:vAlign w:val="center"/>
          </w:tcPr>
          <w:p>
            <w:pPr>
              <w:spacing w:before="0" w:after="0" w:line="240" w:lineRule="auto"/>
              <w:jc w:val="right"/>
            </w:pPr>
            <w:r>
              <w:rPr>
                <w:rFonts w:ascii="Arial" w:hAnsi="Arial" w:cs="Arial"/>
                <w:sz w:val="14"/>
                <w:szCs w:val="14"/>
              </w:rPr>
              <w:t xml:space="preserve">3,500</w:t>
            </w:r>
          </w:p>
        </w:tc>
        <w:tc>
          <w:tcPr>
            <w:tcW w:w="900" w:type="dxa"/>
            <w:vAlign w:val="center"/>
          </w:tcPr>
          <w:p>
            <w:pPr>
              <w:spacing w:before="0" w:after="0" w:line="240" w:lineRule="auto"/>
              <w:jc w:val="right"/>
            </w:pPr>
            <w:r>
              <w:rPr>
                <w:rFonts w:ascii="Arial" w:hAnsi="Arial" w:cs="Arial"/>
                <w:sz w:val="14"/>
                <w:szCs w:val="14"/>
              </w:rPr>
              <w:t xml:space="preserve">$371.43</w:t>
            </w:r>
          </w:p>
        </w:tc>
        <w:tc>
          <w:tcPr>
            <w:tcW w:w="650" w:type="dxa"/>
            <w:vAlign w:val="center"/>
          </w:tcPr>
          <w:p>
            <w:pPr>
              <w:spacing w:before="0" w:after="0" w:line="240" w:lineRule="auto"/>
              <w:jc w:val="center"/>
            </w:pPr>
            <w:r>
              <w:rPr>
                <w:rFonts w:ascii="Arial" w:hAnsi="Arial" w:cs="Arial"/>
                <w:sz w:val="14"/>
                <w:szCs w:val="14"/>
              </w:rPr>
              <w:t xml:space="preserve">1971</w:t>
            </w:r>
          </w:p>
        </w:tc>
        <w:tc>
          <w:tcPr>
            <w:tcW w:w="950" w:type="dxa"/>
            <w:vAlign w:val="center"/>
          </w:tcPr>
          <w:p>
            <w:pPr>
              <w:spacing w:before="0" w:after="0" w:line="240" w:lineRule="auto"/>
              <w:jc w:val="right"/>
            </w:pPr>
            <w:r>
              <w:rPr>
                <w:rFonts w:ascii="Arial" w:hAnsi="Arial" w:cs="Arial"/>
                <w:sz w:val="14"/>
                <w:szCs w:val="14"/>
              </w:rPr>
              <w:t xml:space="preserve">13,068</w:t>
            </w:r>
          </w:p>
        </w:tc>
        <w:tc>
          <w:tcPr>
            <w:tcW w:w="710" w:type="dxa"/>
            <w:vAlign w:val="center"/>
          </w:tcPr>
          <w:p>
            <w:pPr>
              <w:spacing w:before="0" w:after="0" w:line="240" w:lineRule="auto"/>
              <w:jc w:val="right"/>
            </w:pPr>
            <w:r>
              <w:rPr>
                <w:rFonts w:ascii="Arial" w:hAnsi="Arial" w:cs="Arial"/>
                <w:sz w:val="14"/>
                <w:szCs w:val="14"/>
              </w:rPr>
              <w:t xml:space="preserve">3.73</w:t>
            </w:r>
          </w:p>
        </w:tc>
      </w:tr>
      <w:tr>
        <w:trPr>
          <w:cantSplit/>
        </w:trPr>
        <w:tc>
          <w:tcPr>
            <w:tcW w:w="9360" w:type="dxa"/>
            <w:gridSpan w:val="10"/>
            <w:vAlign w:val="center"/>
          </w:tcPr>
          <w:p>
            <w:pPr>
              <w:spacing w:before="0" w:after="0" w:line="240" w:lineRule="auto"/>
              <w:jc w:val="left"/>
            </w:pPr>
            <w:r>
              <w:rPr>
                <w:rFonts w:ascii="Arial" w:hAnsi="Arial" w:cs="Arial"/>
                <w:i/>
                <w:sz w:val="13"/>
                <w:szCs w:val="13"/>
              </w:rPr>
              <w:t xml:space="preserve">Source: CoStar sale comparables (printed 9/15/2026); subject per Adams County Assessor.</w:t>
            </w:r>
          </w:p>
        </w:tc>
      </w:tr>
    </w:tbl>
    <w:p w14:paraId="5542D898" w14:textId="77777777" w:rsidR="003A160F" w:rsidRDefault="003A160F" w:rsidP="003A160F">
      <w:pPr>
        <w:jc w:val="center"/>
      </w:pPr>
    </w:p>
    <w:p w14:paraId="26AE3A2B" w14:textId="77777777" w:rsidR="00546680" w:rsidRDefault="00546680" w:rsidP="003A160F">
      <w:pPr>
        <w:jc w:val="center"/>
      </w:pPr>
    </w:p>
    <w:p w14:paraId="10037608" w14:textId="77777777" w:rsidR="00546680" w:rsidRDefault="00546680" w:rsidP="003A160F">
      <w:pPr>
        <w:jc w:val="center"/>
      </w:pPr>
    </w:p>
    <w:p w14:paraId="690B4046" w14:textId="77777777" w:rsidR="00A904DC" w:rsidRDefault="00A904DC" w:rsidP="003A160F">
      <w:pPr>
        <w:jc w:val="center"/>
      </w:pPr>
    </w:p>
    <w:p w14:paraId="21FF18DD" w14:textId="77777777" w:rsidR="00546680" w:rsidRDefault="00546680" w:rsidP="003A160F">
      <w:pPr>
        <w:jc w:val="center"/>
      </w:pPr>
    </w:p>
    <w:p w14:paraId="007C1F0E" w14:textId="77777777" w:rsidR="003A160F" w:rsidRPr="00B5313C" w:rsidRDefault="003A160F" w:rsidP="003A160F">
      <w:pPr>
        <w:pStyle w:val="Header2"/>
        <w:ind w:left="-180" w:right="-180" w:firstLine="180"/>
      </w:pPr>
      <w:bookmarkStart w:id="21" w:name="_Toc210134085"/>
      <w:r>
        <w:lastRenderedPageBreak/>
        <w:t>Improved Sale Comparable Photos</w:t>
      </w:r>
      <w:bookmarkEnd w:id="21"/>
    </w:p>
    <w:tbl>
      <w:tblPr>
        <w:tblW w:w="0" w:type="auto"/>
        <w:jc w:val="center"/>
        <w:tblLayout w:type="fixed"/>
        <w:tblLook w:val="01E0" w:firstRow="1" w:lastRow="1" w:firstColumn="1" w:lastColumn="1" w:noHBand="0" w:noVBand="0"/>
      </w:tblPr>
      <w:tblGrid>
        <w:gridCol w:w="4680"/>
        <w:gridCol w:w="4680"/>
      </w:tblGrid>
      <w:tr w:rsidR="003A160F" w14:paraId="2F638C9E" w14:textId="77777777" w:rsidTr="00302CC0">
        <w:trPr>
          <w:trHeight w:val="576"/>
          <w:jc w:val="center"/>
        </w:trPr>
        <w:tc>
          <w:tcPr>
            <w:tcW w:w="4680" w:type="dxa"/>
            <w:tcMar>
              <w:top w:w="72" w:type="dxa"/>
              <w:left w:w="72" w:type="dxa"/>
              <w:bottom w:w="72" w:type="dxa"/>
              <w:right w:w="72" w:type="dxa"/>
            </w:tcMar>
            <w:vAlign w:val="center"/>
          </w:tcPr>
          <w:p w14:paraId="34C01BC7" w14:textId="6F11A658" w:rsidR="003A160F" w:rsidRDefault="00384BFA" w:rsidP="00302CC0">
            <w:pPr>
              <w:spacing w:before="100" w:beforeAutospacing="1" w:after="100" w:afterAutospacing="1" w:line="276" w:lineRule="auto"/>
              <w:jc w:val="center"/>
              <w:rPr>
                <w:rFonts w:ascii="Times New Roman" w:hAnsi="Times New Roman"/>
                <w:szCs w:val="20"/>
              </w:rPr>
            </w:pPr>
            <w:r>
              <w:rPr>
                <w:rFonts w:ascii="Times New Roman" w:hAnsi="Times New Roman"/>
                <w:szCs w:val="20"/>
              </w:rPr>
              <w:drawing>
                <wp:inline distT="0" distB="0" distL="0" distR="0" wp14:anchorId="13276A3E" wp14:editId="6A239221">
                  <wp:extent cx="2880360" cy="1884680"/>
                  <wp:effectExtent l="0" t="0" r="0" b="1270"/>
                  <wp:docPr id="66189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90273" name=""/>
                          <pic:cNvPicPr/>
                        </pic:nvPicPr>
                        <pic:blipFill>
                          <a:blip r:embed="rId38"/>
                          <a:stretch>
                            <a:fillRect/>
                          </a:stretch>
                        </pic:blipFill>
                        <pic:spPr>
                          <a:xfrm>
                            <a:off x="0" y="0"/>
                            <a:ext cx="2880360" cy="1884680"/>
                          </a:xfrm>
                          <a:prstGeom prst="rect">
                            <a:avLst/>
                          </a:prstGeom>
                        </pic:spPr>
                      </pic:pic>
                    </a:graphicData>
                  </a:graphic>
                </wp:inline>
              </w:drawing>
            </w:r>
          </w:p>
        </w:tc>
        <w:tc>
          <w:tcPr>
            <w:tcW w:w="4680" w:type="dxa"/>
            <w:tcMar>
              <w:top w:w="72" w:type="dxa"/>
              <w:left w:w="72" w:type="dxa"/>
              <w:bottom w:w="72" w:type="dxa"/>
              <w:right w:w="72" w:type="dxa"/>
            </w:tcMar>
            <w:vAlign w:val="center"/>
          </w:tcPr>
          <w:p w14:paraId="48F663E8" w14:textId="6B1AED50" w:rsidR="003A160F" w:rsidRDefault="00384BFA" w:rsidP="00302CC0">
            <w:pPr>
              <w:spacing w:before="100" w:beforeAutospacing="1" w:after="100" w:afterAutospacing="1" w:line="276" w:lineRule="auto"/>
              <w:jc w:val="center"/>
              <w:rPr>
                <w:rFonts w:ascii="Times New Roman" w:hAnsi="Times New Roman"/>
                <w:szCs w:val="20"/>
              </w:rPr>
            </w:pPr>
            <w:r>
              <w:rPr>
                <w:rFonts w:ascii="Times New Roman" w:hAnsi="Times New Roman"/>
                <w:szCs w:val="20"/>
              </w:rPr>
              <w:drawing>
                <wp:inline distT="0" distB="0" distL="0" distR="0" wp14:anchorId="030EFE84" wp14:editId="7146C985">
                  <wp:extent cx="2880360" cy="1910715"/>
                  <wp:effectExtent l="0" t="0" r="0" b="0"/>
                  <wp:docPr id="194316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62272" name=""/>
                          <pic:cNvPicPr/>
                        </pic:nvPicPr>
                        <pic:blipFill>
                          <a:blip r:embed="rId39"/>
                          <a:stretch>
                            <a:fillRect/>
                          </a:stretch>
                        </pic:blipFill>
                        <pic:spPr>
                          <a:xfrm>
                            <a:off x="0" y="0"/>
                            <a:ext cx="2880360" cy="1910715"/>
                          </a:xfrm>
                          <a:prstGeom prst="rect">
                            <a:avLst/>
                          </a:prstGeom>
                        </pic:spPr>
                      </pic:pic>
                    </a:graphicData>
                  </a:graphic>
                </wp:inline>
              </w:drawing>
            </w:r>
          </w:p>
        </w:tc>
      </w:tr>
      <w:tr w:rsidR="003A160F" w14:paraId="7EB3993E" w14:textId="77777777" w:rsidTr="00302CC0">
        <w:trPr>
          <w:trHeight w:val="576"/>
          <w:jc w:val="center"/>
        </w:trPr>
        <w:tc>
          <w:tcPr>
            <w:tcW w:w="4680" w:type="dxa"/>
            <w:tcMar>
              <w:top w:w="72" w:type="dxa"/>
              <w:left w:w="72" w:type="dxa"/>
              <w:bottom w:w="72" w:type="dxa"/>
              <w:right w:w="72" w:type="dxa"/>
            </w:tcMar>
            <w:hideMark/>
          </w:tcPr>
          <w:p w14:paraId="19165694" w14:textId="77777777" w:rsidR="003A160F" w:rsidRDefault="008240A4" w:rsidP="00302CC0">
            <w:pPr>
              <w:jc w:val="center"/>
            </w:pPr>
            <w:sdt>
              <w:sdtPr>
                <w:alias w:val="?? Photo Caption"/>
                <w:tag w:val="?? Photo Caption"/>
                <w:id w:val="-2753112"/>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t>Comparable Sale 1</w:t>
                </w:r>
              </w:sdtContent>
            </w:sdt>
          </w:p>
        </w:tc>
        <w:tc>
          <w:tcPr>
            <w:tcW w:w="4680" w:type="dxa"/>
            <w:tcMar>
              <w:top w:w="72" w:type="dxa"/>
              <w:left w:w="72" w:type="dxa"/>
              <w:bottom w:w="72" w:type="dxa"/>
              <w:right w:w="72" w:type="dxa"/>
            </w:tcMar>
            <w:hideMark/>
          </w:tcPr>
          <w:p w14:paraId="090422B1" w14:textId="77777777" w:rsidR="003A160F" w:rsidRDefault="008240A4" w:rsidP="00302CC0">
            <w:pPr>
              <w:jc w:val="center"/>
            </w:pPr>
            <w:sdt>
              <w:sdtPr>
                <w:alias w:val="?? Photo Caption"/>
                <w:tag w:val="?? Photo Caption"/>
                <w:id w:val="2038612929"/>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t>Comparable Sale 2</w:t>
                </w:r>
              </w:sdtContent>
            </w:sdt>
          </w:p>
        </w:tc>
      </w:tr>
      <w:tr w:rsidR="003A160F" w14:paraId="2CED5529" w14:textId="77777777" w:rsidTr="00302CC0">
        <w:trPr>
          <w:trHeight w:val="576"/>
          <w:jc w:val="center"/>
        </w:trPr>
        <w:tc>
          <w:tcPr>
            <w:tcW w:w="4680" w:type="dxa"/>
            <w:tcMar>
              <w:top w:w="72" w:type="dxa"/>
              <w:left w:w="72" w:type="dxa"/>
              <w:bottom w:w="72" w:type="dxa"/>
              <w:right w:w="72" w:type="dxa"/>
            </w:tcMar>
            <w:vAlign w:val="center"/>
          </w:tcPr>
          <w:p w14:paraId="4B0AE186" w14:textId="20490A01" w:rsidR="003A160F" w:rsidRDefault="00384BFA" w:rsidP="00302CC0">
            <w:pPr>
              <w:spacing w:before="100" w:beforeAutospacing="1" w:after="100" w:afterAutospacing="1" w:line="276" w:lineRule="auto"/>
              <w:jc w:val="center"/>
              <w:rPr>
                <w:rFonts w:ascii="Times New Roman" w:hAnsi="Times New Roman"/>
                <w:szCs w:val="20"/>
              </w:rPr>
            </w:pPr>
            <w:r>
              <w:rPr>
                <w:rFonts w:ascii="Times New Roman" w:hAnsi="Times New Roman"/>
                <w:szCs w:val="20"/>
              </w:rPr>
              <w:drawing>
                <wp:inline distT="0" distB="0" distL="0" distR="0" wp14:anchorId="2D118D13" wp14:editId="155DDB09">
                  <wp:extent cx="2880360" cy="1931035"/>
                  <wp:effectExtent l="0" t="0" r="0" b="0"/>
                  <wp:docPr id="31206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63421" name=""/>
                          <pic:cNvPicPr/>
                        </pic:nvPicPr>
                        <pic:blipFill>
                          <a:blip r:embed="rId40"/>
                          <a:stretch>
                            <a:fillRect/>
                          </a:stretch>
                        </pic:blipFill>
                        <pic:spPr>
                          <a:xfrm>
                            <a:off x="0" y="0"/>
                            <a:ext cx="2880360" cy="1931035"/>
                          </a:xfrm>
                          <a:prstGeom prst="rect">
                            <a:avLst/>
                          </a:prstGeom>
                        </pic:spPr>
                      </pic:pic>
                    </a:graphicData>
                  </a:graphic>
                </wp:inline>
              </w:drawing>
            </w:r>
          </w:p>
        </w:tc>
        <w:tc>
          <w:tcPr>
            <w:tcW w:w="4680" w:type="dxa"/>
            <w:tcMar>
              <w:top w:w="72" w:type="dxa"/>
              <w:left w:w="72" w:type="dxa"/>
              <w:bottom w:w="72" w:type="dxa"/>
              <w:right w:w="72" w:type="dxa"/>
            </w:tcMar>
            <w:vAlign w:val="center"/>
          </w:tcPr>
          <w:p w14:paraId="7B7AB136" w14:textId="793A4A1B" w:rsidR="003A160F" w:rsidRDefault="00384BFA" w:rsidP="00302CC0">
            <w:pPr>
              <w:spacing w:before="100" w:beforeAutospacing="1" w:after="100" w:afterAutospacing="1" w:line="276" w:lineRule="auto"/>
              <w:jc w:val="center"/>
              <w:rPr>
                <w:rFonts w:ascii="Times New Roman" w:hAnsi="Times New Roman"/>
                <w:szCs w:val="20"/>
              </w:rPr>
            </w:pPr>
            <w:r>
              <w:rPr>
                <w:rFonts w:ascii="Times New Roman" w:hAnsi="Times New Roman"/>
                <w:szCs w:val="20"/>
              </w:rPr>
              <w:drawing>
                <wp:inline distT="0" distB="0" distL="0" distR="0" wp14:anchorId="4C39E877" wp14:editId="55E7AEB5">
                  <wp:extent cx="2880360" cy="1912799"/>
                  <wp:effectExtent l="0" t="0" r="0" b="0"/>
                  <wp:docPr id="108650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01866" name=""/>
                          <pic:cNvPicPr/>
                        </pic:nvPicPr>
                        <pic:blipFill>
                          <a:blip r:embed="rId41"/>
                          <a:stretch>
                            <a:fillRect/>
                          </a:stretch>
                        </pic:blipFill>
                        <pic:spPr>
                          <a:xfrm>
                            <a:off x="0" y="0"/>
                            <a:ext cx="2885884" cy="1916467"/>
                          </a:xfrm>
                          <a:prstGeom prst="rect">
                            <a:avLst/>
                          </a:prstGeom>
                        </pic:spPr>
                      </pic:pic>
                    </a:graphicData>
                  </a:graphic>
                </wp:inline>
              </w:drawing>
            </w:r>
          </w:p>
        </w:tc>
      </w:tr>
      <w:tr w:rsidR="003A160F" w14:paraId="49E99D1B" w14:textId="77777777" w:rsidTr="00302CC0">
        <w:trPr>
          <w:trHeight w:val="576"/>
          <w:jc w:val="center"/>
        </w:trPr>
        <w:tc>
          <w:tcPr>
            <w:tcW w:w="4680" w:type="dxa"/>
            <w:tcMar>
              <w:top w:w="72" w:type="dxa"/>
              <w:left w:w="72" w:type="dxa"/>
              <w:bottom w:w="72" w:type="dxa"/>
              <w:right w:w="72" w:type="dxa"/>
            </w:tcMar>
            <w:hideMark/>
          </w:tcPr>
          <w:p w14:paraId="27E8D924" w14:textId="77777777" w:rsidR="003A160F" w:rsidRDefault="008240A4" w:rsidP="00302CC0">
            <w:pPr>
              <w:jc w:val="center"/>
            </w:pPr>
            <w:sdt>
              <w:sdtPr>
                <w:alias w:val="?? Photo Caption"/>
                <w:tag w:val="?? Photo Caption"/>
                <w:id w:val="-1349948013"/>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t>Comparable Sale 3</w:t>
                </w:r>
              </w:sdtContent>
            </w:sdt>
          </w:p>
        </w:tc>
        <w:tc>
          <w:tcPr>
            <w:tcW w:w="4680" w:type="dxa"/>
            <w:tcMar>
              <w:top w:w="72" w:type="dxa"/>
              <w:left w:w="72" w:type="dxa"/>
              <w:bottom w:w="72" w:type="dxa"/>
              <w:right w:w="72" w:type="dxa"/>
            </w:tcMar>
            <w:hideMark/>
          </w:tcPr>
          <w:p w14:paraId="2ADF0C5A" w14:textId="77777777" w:rsidR="003A160F" w:rsidRDefault="008240A4" w:rsidP="00302CC0">
            <w:pPr>
              <w:jc w:val="center"/>
            </w:pPr>
            <w:sdt>
              <w:sdtPr>
                <w:alias w:val="?? Photo Caption"/>
                <w:tag w:val="?? Photo Caption"/>
                <w:id w:val="371187544"/>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t>Comparable Sale 4</w:t>
                </w:r>
              </w:sdtContent>
            </w:sdt>
          </w:p>
        </w:tc>
      </w:tr>
      <w:tr w:rsidR="003A160F" w14:paraId="2CED5529" w14:textId="77777777" w:rsidTr="00302CC0">
        <w:trPr>
          <w:trHeight w:val="576"/>
          <w:jc w:val="center"/>
        </w:trPr>
        <w:tc>
          <w:tcPr>
            <w:tcW w:w="4680" w:type="dxa"/>
            <w:tcMar>
              <w:top w:w="72" w:type="dxa"/>
              <w:left w:w="72" w:type="dxa"/>
              <w:bottom w:w="72" w:type="dxa"/>
              <w:right w:w="72" w:type="dxa"/>
            </w:tcMar>
            <w:vAlign w:val="center"/>
          </w:tcPr>
          <w:p w14:paraId="4B0AE186" w14:textId="20490A01" w:rsidR="003A160F" w:rsidRDefault="00384BFA" w:rsidP="00302CC0">
            <w:pPr>
              <w:spacing w:before="100" w:beforeAutospacing="1" w:after="100" w:afterAutospacing="1" w:line="276" w:lineRule="auto"/>
              <w:jc w:val="center"/>
              <w:rPr>
                <w:rFonts w:ascii="Times New Roman" w:hAnsi="Times New Roman"/>
                <w:szCs w:val="20"/>
              </w:rPr>
            </w:pPr>
            <w:r>
              <w:rPr>
                <w:rFonts w:ascii="Times New Roman" w:hAnsi="Times New Roman"/>
                <w:szCs w:val="20"/>
              </w:rPr>
              <w:drawing>
                <wp:inline distT="0" distB="0" distL="0" distR="0" wp14:anchorId="2D118D13" wp14:editId="155DDB09">
                  <wp:extent cx="2880360" cy="1931035"/>
                  <wp:effectExtent l="0" t="0" r="0" b="0"/>
                  <wp:docPr id="211826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63421" name=""/>
                          <pic:cNvPicPr/>
                        </pic:nvPicPr>
                        <pic:blipFill>
                          <a:blip r:embed="rId900"/>
                          <a:stretch>
                            <a:fillRect/>
                          </a:stretch>
                        </pic:blipFill>
                        <pic:spPr>
                          <a:xfrm>
                            <a:off x="0" y="0"/>
                            <a:ext cx="2880360" cy="1931035"/>
                          </a:xfrm>
                          <a:prstGeom prst="rect">
                            <a:avLst/>
                          </a:prstGeom>
                        </pic:spPr>
                      </pic:pic>
                    </a:graphicData>
                  </a:graphic>
                </wp:inline>
              </w:drawing>
            </w:r>
          </w:p>
        </w:tc>
        <w:tc>
          <w:tcPr>
            <w:tcW w:w="4680" w:type="dxa"/>
            <w:tcMar>
              <w:top w:w="72" w:type="dxa"/>
              <w:left w:w="72" w:type="dxa"/>
              <w:bottom w:w="72" w:type="dxa"/>
              <w:right w:w="72" w:type="dxa"/>
            </w:tcMar>
            <w:vAlign w:val="center"/>
          </w:tcPr>
          <w:p w14:paraId="7B7AB136" w14:textId="793A4A1B" w:rsidR="003A160F" w:rsidRDefault="00384BFA" w:rsidP="00302CC0">
            <w:pPr>
              <w:spacing w:before="100" w:beforeAutospacing="1" w:after="100" w:afterAutospacing="1" w:line="276" w:lineRule="auto"/>
              <w:jc w:val="center"/>
              <w:rPr>
                <w:rFonts w:ascii="Times New Roman" w:hAnsi="Times New Roman"/>
                <w:szCs w:val="20"/>
              </w:rPr>
            </w:pPr>
            <w:r>
              <w:rPr>
                <w:rFonts w:ascii="Times New Roman" w:hAnsi="Times New Roman"/>
                <w:szCs w:val="20"/>
              </w:rPr>
              <w:drawing>
                <wp:inline distT="0" distB="0" distL="0" distR="0" wp14:anchorId="4C39E877" wp14:editId="55E7AEB5">
                  <wp:extent cx="2880360" cy="1912799"/>
                  <wp:effectExtent l="0" t="0" r="0" b="0"/>
                  <wp:docPr id="211826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01866" name=""/>
                          <pic:cNvPicPr/>
                        </pic:nvPicPr>
                        <pic:blipFill>
                          <a:blip r:embed="rId901"/>
                          <a:stretch>
                            <a:fillRect/>
                          </a:stretch>
                        </pic:blipFill>
                        <pic:spPr>
                          <a:xfrm>
                            <a:off x="0" y="0"/>
                            <a:ext cx="2885884" cy="1916467"/>
                          </a:xfrm>
                          <a:prstGeom prst="rect">
                            <a:avLst/>
                          </a:prstGeom>
                        </pic:spPr>
                      </pic:pic>
                    </a:graphicData>
                  </a:graphic>
                </wp:inline>
              </w:drawing>
            </w:r>
          </w:p>
        </w:tc>
      </w:tr>
      <w:tr w:rsidR="003A160F" w14:paraId="49E99D1B" w14:textId="77777777" w:rsidTr="00302CC0">
        <w:trPr>
          <w:trHeight w:val="576"/>
          <w:jc w:val="center"/>
        </w:trPr>
        <w:tc>
          <w:tcPr>
            <w:tcW w:w="4680" w:type="dxa"/>
            <w:tcMar>
              <w:top w:w="72" w:type="dxa"/>
              <w:left w:w="72" w:type="dxa"/>
              <w:bottom w:w="72" w:type="dxa"/>
              <w:right w:w="72" w:type="dxa"/>
            </w:tcMar>
            <w:hideMark/>
          </w:tcPr>
          <w:p w14:paraId="27E8D924" w14:textId="77777777" w:rsidR="003A160F" w:rsidRDefault="008240A4" w:rsidP="00302CC0">
            <w:pPr>
              <w:jc w:val="center"/>
            </w:pPr>
            <w:sdt>
              <w:sdtPr>
                <w:alias w:val="?? Photo Caption"/>
                <w:tag w:val="?? Photo Caption"/>
                <w:id w:val="294003352"/>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t>Comparable Sale 5</w:t>
                </w:r>
              </w:sdtContent>
            </w:sdt>
          </w:p>
        </w:tc>
        <w:tc>
          <w:tcPr>
            <w:tcW w:w="4680" w:type="dxa"/>
            <w:tcMar>
              <w:top w:w="72" w:type="dxa"/>
              <w:left w:w="72" w:type="dxa"/>
              <w:bottom w:w="72" w:type="dxa"/>
              <w:right w:w="72" w:type="dxa"/>
            </w:tcMar>
            <w:hideMark/>
          </w:tcPr>
          <w:p w14:paraId="2ADF0C5A" w14:textId="77777777" w:rsidR="003A160F" w:rsidRDefault="008240A4" w:rsidP="00302CC0">
            <w:pPr>
              <w:jc w:val="center"/>
            </w:pPr>
            <w:sdt>
              <w:sdtPr>
                <w:alias w:val="?? Photo Caption"/>
                <w:tag w:val="?? Photo Caption"/>
                <w:id w:val="521436760"/>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t>Comparable Sale 6</w:t>
                </w:r>
              </w:sdtContent>
            </w:sdt>
          </w:p>
        </w:tc>
      </w:tr>
      <w:tr w:rsidR="003A160F" w14:paraId="2CED5529" w14:textId="77777777" w:rsidTr="00302CC0">
        <w:trPr>
          <w:trHeight w:val="576"/>
          <w:jc w:val="center"/>
        </w:trPr>
        <w:tc>
          <w:tcPr>
            <w:tcW w:w="4680" w:type="dxa"/>
            <w:tcMar>
              <w:top w:w="72" w:type="dxa"/>
              <w:left w:w="72" w:type="dxa"/>
              <w:bottom w:w="72" w:type="dxa"/>
              <w:right w:w="72" w:type="dxa"/>
            </w:tcMar>
            <w:vAlign w:val="center"/>
          </w:tcPr>
          <w:p w14:paraId="4B0AE186" w14:textId="20490A01" w:rsidR="003A160F" w:rsidRDefault="00384BFA" w:rsidP="00302CC0">
            <w:pPr>
              <w:spacing w:before="100" w:beforeAutospacing="1" w:after="100" w:afterAutospacing="1" w:line="276" w:lineRule="auto"/>
              <w:jc w:val="center"/>
              <w:rPr>
                <w:rFonts w:ascii="Times New Roman" w:hAnsi="Times New Roman"/>
                <w:szCs w:val="20"/>
              </w:rPr>
            </w:pPr>
            <w:r>
              <w:rPr>
                <w:rFonts w:ascii="Times New Roman" w:hAnsi="Times New Roman"/>
                <w:szCs w:val="20"/>
              </w:rPr>
              <w:drawing>
                <wp:inline distT="0" distB="0" distL="0" distR="0" wp14:anchorId="2D118D13" wp14:editId="155DDB09">
                  <wp:extent cx="2880360" cy="1931035"/>
                  <wp:effectExtent l="0" t="0" r="0" b="0"/>
                  <wp:docPr id="211826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63421" name=""/>
                          <pic:cNvPicPr/>
                        </pic:nvPicPr>
                        <pic:blipFill>
                          <a:blip r:embed="rId902"/>
                          <a:stretch>
                            <a:fillRect/>
                          </a:stretch>
                        </pic:blipFill>
                        <pic:spPr>
                          <a:xfrm>
                            <a:off x="0" y="0"/>
                            <a:ext cx="2880360" cy="1931035"/>
                          </a:xfrm>
                          <a:prstGeom prst="rect">
                            <a:avLst/>
                          </a:prstGeom>
                        </pic:spPr>
                      </pic:pic>
                    </a:graphicData>
                  </a:graphic>
                </wp:inline>
              </w:drawing>
            </w:r>
          </w:p>
        </w:tc>
        <w:tc>
          <w:tcPr>
            <w:tcW w:w="4680" w:type="dxa"/>
            <w:tcMar>
              <w:top w:w="72" w:type="dxa"/>
              <w:left w:w="72" w:type="dxa"/>
              <w:bottom w:w="72" w:type="dxa"/>
              <w:right w:w="72" w:type="dxa"/>
            </w:tcMar>
            <w:vAlign w:val="center"/>
          </w:tcPr>
          <w:p w14:paraId="7B7AB136" w14:textId="793A4A1B" w:rsidR="003A160F" w:rsidRDefault="00384BFA" w:rsidP="00302CC0">
            <w:pPr>
              <w:spacing w:before="100" w:beforeAutospacing="1" w:after="100" w:afterAutospacing="1" w:line="276" w:lineRule="auto"/>
              <w:jc w:val="center"/>
              <w:rPr>
                <w:rFonts w:ascii="Times New Roman" w:hAnsi="Times New Roman"/>
                <w:szCs w:val="20"/>
              </w:rPr>
            </w:pPr>
            <w:r>
              <w:rPr>
                <w:rFonts w:ascii="Times New Roman" w:hAnsi="Times New Roman"/>
                <w:szCs w:val="20"/>
              </w:rPr>
              <w:drawing>
                <wp:inline distT="0" distB="0" distL="0" distR="0" wp14:anchorId="4C39E877" wp14:editId="55E7AEB5">
                  <wp:extent cx="2880360" cy="1912799"/>
                  <wp:effectExtent l="0" t="0" r="0" b="0"/>
                  <wp:docPr id="211826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01866" name=""/>
                          <pic:cNvPicPr/>
                        </pic:nvPicPr>
                        <pic:blipFill>
                          <a:blip r:embed="rId903"/>
                          <a:stretch>
                            <a:fillRect/>
                          </a:stretch>
                        </pic:blipFill>
                        <pic:spPr>
                          <a:xfrm>
                            <a:off x="0" y="0"/>
                            <a:ext cx="2885884" cy="1916467"/>
                          </a:xfrm>
                          <a:prstGeom prst="rect">
                            <a:avLst/>
                          </a:prstGeom>
                        </pic:spPr>
                      </pic:pic>
                    </a:graphicData>
                  </a:graphic>
                </wp:inline>
              </w:drawing>
            </w:r>
          </w:p>
        </w:tc>
      </w:tr>
      <w:tr w:rsidR="003A160F" w14:paraId="49E99D1B" w14:textId="77777777" w:rsidTr="00302CC0">
        <w:trPr>
          <w:trHeight w:val="576"/>
          <w:jc w:val="center"/>
        </w:trPr>
        <w:tc>
          <w:tcPr>
            <w:tcW w:w="4680" w:type="dxa"/>
            <w:tcMar>
              <w:top w:w="72" w:type="dxa"/>
              <w:left w:w="72" w:type="dxa"/>
              <w:bottom w:w="72" w:type="dxa"/>
              <w:right w:w="72" w:type="dxa"/>
            </w:tcMar>
            <w:hideMark/>
          </w:tcPr>
          <w:p w14:paraId="27E8D924" w14:textId="77777777" w:rsidR="003A160F" w:rsidRDefault="008240A4" w:rsidP="00302CC0">
            <w:pPr>
              <w:jc w:val="center"/>
            </w:pPr>
            <w:sdt>
              <w:sdtPr>
                <w:alias w:val="?? Photo Caption"/>
                <w:tag w:val="?? Photo Caption"/>
                <w:id w:val="422060375"/>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t>Comparable Sale 7</w:t>
                </w:r>
              </w:sdtContent>
            </w:sdt>
          </w:p>
        </w:tc>
        <w:tc>
          <w:tcPr>
            <w:tcW w:w="4680" w:type="dxa"/>
            <w:tcMar>
              <w:top w:w="72" w:type="dxa"/>
              <w:left w:w="72" w:type="dxa"/>
              <w:bottom w:w="72" w:type="dxa"/>
              <w:right w:w="72" w:type="dxa"/>
            </w:tcMar>
            <w:hideMark/>
          </w:tcPr>
          <w:p w14:paraId="2ADF0C5A" w14:textId="77777777" w:rsidR="003A160F" w:rsidRDefault="008240A4" w:rsidP="00302CC0">
            <w:pPr>
              <w:jc w:val="center"/>
            </w:pPr>
            <w:sdt>
              <w:sdtPr>
                <w:alias w:val="?? Photo Caption"/>
                <w:tag w:val="?? Photo Caption"/>
                <w:id w:val="1687785789"/>
                <w:comboBox>
                  <w:listItem w:displayText="Subject property exterior" w:value="Subject property exterior"/>
                  <w:listItem w:displayText="Subject property interior" w:value="Subject property interior"/>
                  <w:listItem w:displayText="Subject property lobby" w:value="Subject property lobby"/>
                  <w:listItem w:displayText="Subject property restroom" w:value="Subject property restroom"/>
                  <w:listItem w:displayText="Subject property hallway" w:value="Subject property hallway"/>
                  <w:listItem w:displayText="Subject property occupied interior" w:value="Subject property occupied interior"/>
                  <w:listItem w:displayText="Subject property vacant interior" w:value="Subject property vacant interior"/>
                  <w:listItem w:displayText="Subject property finished interior" w:value="Subject property finished interior"/>
                  <w:listItem w:displayText="Subject property shell interior" w:value="Subject property shell interior"/>
                  <w:listItem w:displayText="Subject parking lot" w:value="Subject parking lot"/>
                  <w:listItem w:displayText="Subject parking garage" w:value="Subject parking garage"/>
                  <w:listItem w:displayText="Subject landscaping" w:value="Subject landscaping"/>
                  <w:listItem w:displayText="View of public thoroughfare from subject property" w:value="View of public thoroughfare from subject property"/>
                  <w:listItem w:displayText="View of property adjacent to subject property" w:value="View of property adjacent to subject property"/>
                </w:comboBox>
              </w:sdtPr>
              <w:sdtEndPr/>
              <w:sdtContent>
                <w:r>
                  <w:t>Comparable Sale 8</w:t>
                </w:r>
              </w:sdtContent>
            </w:sdt>
          </w:p>
        </w:tc>
      </w:tr>
    </w:tbl>
    <w:p w14:paraId="223CE86E" w14:textId="77777777" w:rsidR="00845CA8" w:rsidRDefault="00845CA8">
      <w:pPr>
        <w:jc w:val="left"/>
        <w:rPr>
          <w:rFonts w:ascii="Segoe UI" w:eastAsia="Calibri" w:hAnsi="Segoe UI" w:cs="Times New Roman"/>
          <w:b/>
          <w:color w:val="262626" w:themeColor="text1" w:themeTint="D9"/>
          <w:spacing w:val="14"/>
          <w:position w:val="-28"/>
          <w:sz w:val="19"/>
          <w:szCs w:val="21"/>
        </w:rPr>
      </w:pPr>
      <w:r>
        <w:br w:type="page"/>
      </w:r>
    </w:p>
    <w:p w14:paraId="15AD92B7" w14:textId="77777777" w:rsidR="003A160F" w:rsidRDefault="003A160F" w:rsidP="003A160F">
      <w:pPr>
        <w:sectPr w:rsidR="003A160F" w:rsidSect="003A160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EE22649" w14:textId="77777777" w:rsidR="003A160F" w:rsidRDefault="003A160F" w:rsidP="003A160F">
      <w:pPr>
        <w:pStyle w:val="Heading2"/>
      </w:pPr>
      <w:bookmarkStart w:id="22" w:name="_Toc210134086"/>
      <w:r>
        <w:lastRenderedPageBreak/>
        <w:t>Comparable Sales Grid</w:t>
      </w:r>
      <w:bookmarkEnd w:id="22"/>
    </w:p>
    <w:p w14:paraId="1F39DE65" w14:textId="77777777" w:rsidR="00AE01C3" w:rsidRDefault="00AE01C3" w:rsidP="003A160F"/>
    <w:tbl>
      <w:tblPr>
        <w:tblW w:w="9360" w:type="dxa"/>
        <w:jc w:val="center"/>
        <w:tblBorders>
          <w:top w:val="single" w:sz="4" w:space="0" w:color="BFBFBF"/>
          <w:bottom w:val="single" w:sz="4" w:space="0" w:color="BFBFBF"/>
          <w:insideH w:val="single" w:sz="2" w:space="0" w:color="D9D9D9"/>
        </w:tblBorders>
        <w:tblLayout w:type="fixed"/>
        <w:tblCellMar>
          <w:left w:w="60" w:type="dxa"/>
          <w:right w:w="60" w:type="dxa"/>
        </w:tblCellMar>
      </w:tblPr>
      <w:tblGrid>
        <w:gridCol w:w="2000"/>
        <w:gridCol w:w="1480"/>
        <w:gridCol w:w="1470"/>
        <w:gridCol w:w="1470"/>
        <w:gridCol w:w="1470"/>
        <w:gridCol w:w="1470"/>
      </w:tblGrid>
      <w:tr>
        <w:trPr>
          <w:cantSplit/>
        </w:trPr>
        <w:tc>
          <w:tcPr>
            <w:tcW w:w="9360" w:type="dxa"/>
            <w:gridSpan w:val="6"/>
            <w:shd w:val="clear" w:color="auto" w:fill="005710"/>
            <w:vAlign w:val="center"/>
          </w:tcPr>
          <w:p>
            <w:pPr>
              <w:spacing w:before="0" w:after="0" w:line="240" w:lineRule="auto"/>
              <w:jc w:val="center"/>
            </w:pPr>
            <w:r>
              <w:rPr>
                <w:rFonts w:ascii="Arial" w:hAnsi="Arial" w:cs="Arial"/>
                <w:b/>
                <w:color w:val="FFFFFF"/>
                <w:sz w:val="16"/>
                <w:szCs w:val="16"/>
              </w:rPr>
              <w:t xml:space="preserve">COMPARABLE SALE ADJUSTMENT GRID – SALES 1-4</w:t>
            </w:r>
          </w:p>
        </w:tc>
      </w:tr>
      <w:tr>
        <w:trPr>
          <w:cantSplit/>
        </w:trPr>
        <w:tc>
          <w:tcPr>
            <w:tcW w:w="2000" w:type="dxa"/>
            <w:shd w:val="clear" w:color="auto" w:fill="808080"/>
            <w:vAlign w:val="center"/>
          </w:tcPr>
          <w:p>
            <w:pPr>
              <w:spacing w:before="0" w:after="0" w:line="240" w:lineRule="auto"/>
              <w:jc w:val="left"/>
            </w:pPr>
            <w:r>
              <w:rPr>
                <w:rFonts w:ascii="Arial" w:hAnsi="Arial" w:cs="Arial"/>
                <w:sz w:val="14"/>
                <w:szCs w:val="14"/>
              </w:rPr>
              <w:t xml:space="preserve"/>
            </w:r>
          </w:p>
        </w:tc>
        <w:tc>
          <w:tcPr>
            <w:tcW w:w="1480" w:type="dxa"/>
            <w:shd w:val="clear" w:color="auto" w:fill="808080"/>
            <w:vAlign w:val="center"/>
          </w:tcPr>
          <w:p>
            <w:pPr>
              <w:spacing w:before="0" w:after="0" w:line="240" w:lineRule="auto"/>
              <w:jc w:val="center"/>
            </w:pPr>
            <w:r>
              <w:rPr>
                <w:rFonts w:ascii="Arial" w:hAnsi="Arial" w:cs="Arial"/>
                <w:b/>
                <w:color w:val="FFFFFF"/>
                <w:sz w:val="14"/>
                <w:szCs w:val="14"/>
              </w:rPr>
              <w:t xml:space="preserve">Subject</w:t>
            </w:r>
          </w:p>
        </w:tc>
        <w:tc>
          <w:tcPr>
            <w:tcW w:w="1470" w:type="dxa"/>
            <w:shd w:val="clear" w:color="auto" w:fill="808080"/>
            <w:vAlign w:val="center"/>
          </w:tcPr>
          <w:p>
            <w:pPr>
              <w:spacing w:before="0" w:after="0" w:line="240" w:lineRule="auto"/>
              <w:jc w:val="center"/>
            </w:pPr>
            <w:r>
              <w:rPr>
                <w:rFonts w:ascii="Arial" w:hAnsi="Arial" w:cs="Arial"/>
                <w:b/>
                <w:color w:val="FFFFFF"/>
                <w:sz w:val="14"/>
                <w:szCs w:val="14"/>
              </w:rPr>
              <w:t xml:space="preserve">Sale 1</w:t>
            </w:r>
          </w:p>
        </w:tc>
        <w:tc>
          <w:tcPr>
            <w:tcW w:w="1470" w:type="dxa"/>
            <w:shd w:val="clear" w:color="auto" w:fill="808080"/>
            <w:vAlign w:val="center"/>
          </w:tcPr>
          <w:p>
            <w:pPr>
              <w:spacing w:before="0" w:after="0" w:line="240" w:lineRule="auto"/>
              <w:jc w:val="center"/>
            </w:pPr>
            <w:r>
              <w:rPr>
                <w:rFonts w:ascii="Arial" w:hAnsi="Arial" w:cs="Arial"/>
                <w:b/>
                <w:color w:val="FFFFFF"/>
                <w:sz w:val="14"/>
                <w:szCs w:val="14"/>
              </w:rPr>
              <w:t xml:space="preserve">Sale 2</w:t>
            </w:r>
          </w:p>
        </w:tc>
        <w:tc>
          <w:tcPr>
            <w:tcW w:w="1470" w:type="dxa"/>
            <w:shd w:val="clear" w:color="auto" w:fill="808080"/>
            <w:vAlign w:val="center"/>
          </w:tcPr>
          <w:p>
            <w:pPr>
              <w:spacing w:before="0" w:after="0" w:line="240" w:lineRule="auto"/>
              <w:jc w:val="center"/>
            </w:pPr>
            <w:r>
              <w:rPr>
                <w:rFonts w:ascii="Arial" w:hAnsi="Arial" w:cs="Arial"/>
                <w:b/>
                <w:color w:val="FFFFFF"/>
                <w:sz w:val="14"/>
                <w:szCs w:val="14"/>
              </w:rPr>
              <w:t xml:space="preserve">Sale 3</w:t>
            </w:r>
          </w:p>
        </w:tc>
        <w:tc>
          <w:tcPr>
            <w:tcW w:w="1470" w:type="dxa"/>
            <w:shd w:val="clear" w:color="auto" w:fill="808080"/>
            <w:vAlign w:val="center"/>
          </w:tcPr>
          <w:p>
            <w:pPr>
              <w:spacing w:before="0" w:after="0" w:line="240" w:lineRule="auto"/>
              <w:jc w:val="center"/>
            </w:pPr>
            <w:r>
              <w:rPr>
                <w:rFonts w:ascii="Arial" w:hAnsi="Arial" w:cs="Arial"/>
                <w:b/>
                <w:color w:val="FFFFFF"/>
                <w:sz w:val="14"/>
                <w:szCs w:val="14"/>
              </w:rPr>
              <w:t xml:space="preserve">Sale 4</w:t>
            </w:r>
          </w:p>
        </w:tc>
      </w:tr>
      <w:tr>
        <w:trPr>
          <w:cantSplit/>
        </w:trPr>
        <w:tc>
          <w:tcPr>
            <w:tcW w:w="2000" w:type="dxa"/>
            <w:vAlign w:val="center"/>
          </w:tcPr>
          <w:p>
            <w:pPr>
              <w:spacing w:before="0" w:after="0" w:line="240" w:lineRule="auto"/>
              <w:jc w:val="left"/>
            </w:pPr>
            <w:r>
              <w:rPr>
                <w:rFonts w:ascii="Arial" w:hAnsi="Arial" w:cs="Arial"/>
                <w:sz w:val="14"/>
                <w:szCs w:val="14"/>
              </w:rPr>
              <w:t xml:space="preserve">Address</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387 E 55th Ave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4309 Elati St</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4161 Elati St</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6775 E 56th Ave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5690 Lamar St</w:t>
            </w:r>
          </w:p>
        </w:tc>
      </w:tr>
      <w:tr>
        <w:trPr>
          <w:cantSplit/>
        </w:trPr>
        <w:tc>
          <w:tcPr>
            <w:tcW w:w="2000" w:type="dxa"/>
            <w:vAlign w:val="center"/>
          </w:tcPr>
          <w:p>
            <w:pPr>
              <w:spacing w:before="0" w:after="0" w:line="240" w:lineRule="auto"/>
              <w:jc w:val="left"/>
            </w:pPr>
            <w:r>
              <w:rPr>
                <w:rFonts w:ascii="Arial" w:hAnsi="Arial" w:cs="Arial"/>
                <w:sz w:val="14"/>
                <w:szCs w:val="14"/>
              </w:rPr>
              <w:t xml:space="preserve">City, State</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Denver, CO</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Denver, CO</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Denver, CO</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Commerce City, CO</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Arvada, CO</w:t>
            </w:r>
          </w:p>
        </w:tc>
      </w:tr>
      <w:tr>
        <w:trPr>
          <w:cantSplit/>
        </w:trPr>
        <w:tc>
          <w:tcPr>
            <w:tcW w:w="2000" w:type="dxa"/>
            <w:vAlign w:val="center"/>
          </w:tcPr>
          <w:p>
            <w:pPr>
              <w:spacing w:before="0" w:after="0" w:line="240" w:lineRule="auto"/>
              <w:jc w:val="left"/>
            </w:pPr>
            <w:r>
              <w:rPr>
                <w:rFonts w:ascii="Arial" w:hAnsi="Arial" w:cs="Arial"/>
                <w:sz w:val="14"/>
                <w:szCs w:val="14"/>
              </w:rPr>
              <w:t xml:space="preserve">Property Type</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Service Garage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Warehouse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Warehouse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Warehouse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Warehouse</w:t>
            </w:r>
          </w:p>
        </w:tc>
      </w:tr>
      <w:tr>
        <w:trPr>
          <w:cantSplit/>
        </w:trPr>
        <w:tc>
          <w:tcPr>
            <w:tcW w:w="2000" w:type="dxa"/>
            <w:vAlign w:val="center"/>
          </w:tcPr>
          <w:p>
            <w:pPr>
              <w:spacing w:before="0" w:after="0" w:line="240" w:lineRule="auto"/>
              <w:jc w:val="left"/>
            </w:pPr>
            <w:r>
              <w:rPr>
                <w:rFonts w:ascii="Arial" w:hAnsi="Arial" w:cs="Arial"/>
                <w:sz w:val="14"/>
                <w:szCs w:val="14"/>
              </w:rPr>
              <w:t xml:space="preserve">Sale Date</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N/A</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6/30/2022</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5/10/2024</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11/4/2022</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3/18/2024</w:t>
            </w:r>
          </w:p>
        </w:tc>
      </w:tr>
      <w:tr>
        <w:trPr>
          <w:cantSplit/>
        </w:trPr>
        <w:tc>
          <w:tcPr>
            <w:tcW w:w="2000" w:type="dxa"/>
            <w:vAlign w:val="center"/>
          </w:tcPr>
          <w:p>
            <w:pPr>
              <w:spacing w:before="0" w:after="0" w:line="240" w:lineRule="auto"/>
              <w:jc w:val="left"/>
            </w:pPr>
            <w:r>
              <w:rPr>
                <w:rFonts w:ascii="Arial" w:hAnsi="Arial" w:cs="Arial"/>
                <w:sz w:val="14"/>
                <w:szCs w:val="14"/>
              </w:rPr>
              <w:t xml:space="preserve">Sale Price</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N/A</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$865,000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$900,000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$980,000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$1,000,000</w:t>
            </w:r>
          </w:p>
        </w:tc>
      </w:tr>
      <w:tr>
        <w:trPr>
          <w:cantSplit/>
        </w:trPr>
        <w:tc>
          <w:tcPr>
            <w:tcW w:w="2000" w:type="dxa"/>
            <w:vAlign w:val="center"/>
          </w:tcPr>
          <w:p>
            <w:pPr>
              <w:spacing w:before="0" w:after="0" w:line="240" w:lineRule="auto"/>
              <w:jc w:val="left"/>
            </w:pPr>
            <w:r>
              <w:rPr>
                <w:rFonts w:ascii="Arial" w:hAnsi="Arial" w:cs="Arial"/>
                <w:sz w:val="14"/>
                <w:szCs w:val="14"/>
              </w:rPr>
              <w:t xml:space="preserve">Property Size (SF)</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2,800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3,000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3,003</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3,200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3,143</w:t>
            </w:r>
          </w:p>
        </w:tc>
      </w:tr>
      <w:tr>
        <w:trPr>
          <w:cantSplit/>
        </w:trPr>
        <w:tc>
          <w:tcPr>
            <w:tcW w:w="2000" w:type="dxa"/>
            <w:vAlign w:val="center"/>
          </w:tcPr>
          <w:p>
            <w:pPr>
              <w:spacing w:before="0" w:after="0" w:line="240" w:lineRule="auto"/>
              <w:jc w:val="left"/>
            </w:pPr>
            <w:r>
              <w:rPr>
                <w:rFonts w:ascii="Arial" w:hAnsi="Arial" w:cs="Arial"/>
                <w:sz w:val="14"/>
                <w:szCs w:val="14"/>
              </w:rPr>
              <w:t xml:space="preserve">Site Size (SF)</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10,019</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12,968</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15,625</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21,780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10,454</w:t>
            </w:r>
          </w:p>
        </w:tc>
      </w:tr>
      <w:tr>
        <w:trPr>
          <w:cantSplit/>
        </w:trPr>
        <w:tc>
          <w:tcPr>
            <w:tcW w:w="2000" w:type="dxa"/>
            <w:vAlign w:val="center"/>
          </w:tcPr>
          <w:p>
            <w:pPr>
              <w:spacing w:before="0" w:after="0" w:line="240" w:lineRule="auto"/>
              <w:jc w:val="left"/>
            </w:pPr>
            <w:r>
              <w:rPr>
                <w:rFonts w:ascii="Arial" w:hAnsi="Arial" w:cs="Arial"/>
                <w:sz w:val="14"/>
                <w:szCs w:val="14"/>
              </w:rPr>
              <w:t xml:space="preserve">YOC / Condition</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1982 / Average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1953 / Average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1987 / Average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1960 / Average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1969 / Average</w:t>
            </w:r>
          </w:p>
        </w:tc>
      </w:tr>
      <w:tr>
        <w:trPr>
          <w:cantSplit/>
        </w:trPr>
        <w:tc>
          <w:tcPr>
            <w:tcW w:w="2000" w:type="dxa"/>
            <w:shd w:val="clear" w:color="auto" w:fill="D9D9D9"/>
            <w:vAlign w:val="center"/>
          </w:tcPr>
          <w:p>
            <w:pPr>
              <w:spacing w:before="0" w:after="0" w:line="240" w:lineRule="auto"/>
              <w:jc w:val="left"/>
            </w:pPr>
            <w:r>
              <w:rPr>
                <w:rFonts w:ascii="Arial" w:hAnsi="Arial" w:cs="Arial"/>
                <w:b/>
                <w:sz w:val="14"/>
                <w:szCs w:val="14"/>
              </w:rPr>
              <w:t xml:space="preserve">Unadjusted Price Per SF</w:t>
            </w:r>
          </w:p>
        </w:tc>
        <w:tc>
          <w:tcPr>
            <w:tcW w:w="1480" w:type="dxa"/>
            <w:shd w:val="clear" w:color="auto" w:fill="D9D9D9"/>
            <w:vAlign w:val="center"/>
          </w:tcPr>
          <w:p>
            <w:pPr>
              <w:spacing w:before="0" w:after="0" w:line="240" w:lineRule="auto"/>
              <w:jc w:val="right"/>
            </w:pPr>
            <w:r>
              <w:rPr>
                <w:rFonts w:ascii="Arial" w:hAnsi="Arial" w:cs="Arial"/>
                <w:b/>
                <w:sz w:val="14"/>
                <w:szCs w:val="14"/>
              </w:rPr>
              <w:t xml:space="preserve"/>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$288.33</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$299.70</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$306.25</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$318.17</w:t>
            </w:r>
          </w:p>
        </w:tc>
      </w:tr>
      <w:tr>
        <w:trPr>
          <w:cantSplit/>
        </w:trPr>
        <w:tc>
          <w:tcPr>
            <w:tcW w:w="9360" w:type="dxa"/>
            <w:gridSpan w:val="6"/>
            <w:shd w:val="clear" w:color="auto" w:fill="808080"/>
            <w:vAlign w:val="center"/>
          </w:tcPr>
          <w:p>
            <w:pPr>
              <w:spacing w:before="0" w:after="0" w:line="240" w:lineRule="auto"/>
              <w:jc w:val="left"/>
            </w:pPr>
            <w:r>
              <w:rPr>
                <w:rFonts w:ascii="Arial" w:hAnsi="Arial" w:cs="Arial"/>
                <w:b/>
                <w:color w:val="FFFFFF"/>
                <w:sz w:val="14"/>
                <w:szCs w:val="14"/>
              </w:rPr>
              <w:t xml:space="preserve">Quantified Adjustments</w:t>
            </w:r>
          </w:p>
        </w:tc>
      </w:tr>
      <w:tr>
        <w:trPr>
          <w:cantSplit/>
        </w:trPr>
        <w:tc>
          <w:tcPr>
            <w:tcW w:w="2000" w:type="dxa"/>
            <w:vAlign w:val="center"/>
          </w:tcPr>
          <w:p>
            <w:pPr>
              <w:spacing w:before="0" w:after="0" w:line="240" w:lineRule="auto"/>
              <w:jc w:val="left"/>
            </w:pPr>
            <w:r>
              <w:rPr>
                <w:rFonts w:ascii="Arial" w:hAnsi="Arial" w:cs="Arial"/>
                <w:sz w:val="14"/>
                <w:szCs w:val="14"/>
              </w:rPr>
              <w:t xml:space="preserve">Financing</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Market Based</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r>
      <w:tr>
        <w:trPr>
          <w:cantSplit/>
        </w:trPr>
        <w:tc>
          <w:tcPr>
            <w:tcW w:w="2000" w:type="dxa"/>
            <w:vAlign w:val="center"/>
          </w:tcPr>
          <w:p>
            <w:pPr>
              <w:spacing w:before="0" w:after="0" w:line="240" w:lineRule="auto"/>
              <w:jc w:val="left"/>
            </w:pPr>
            <w:r>
              <w:rPr>
                <w:rFonts w:ascii="Arial" w:hAnsi="Arial" w:cs="Arial"/>
                <w:sz w:val="14"/>
                <w:szCs w:val="14"/>
              </w:rPr>
              <w:t xml:space="preserve">Terms/Conditions of Sale</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None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r>
      <w:tr>
        <w:trPr>
          <w:cantSplit/>
        </w:trPr>
        <w:tc>
          <w:tcPr>
            <w:tcW w:w="2000" w:type="dxa"/>
            <w:vAlign w:val="center"/>
          </w:tcPr>
          <w:p>
            <w:pPr>
              <w:spacing w:before="0" w:after="0" w:line="240" w:lineRule="auto"/>
              <w:jc w:val="left"/>
            </w:pPr>
            <w:r>
              <w:rPr>
                <w:rFonts w:ascii="Arial" w:hAnsi="Arial" w:cs="Arial"/>
                <w:sz w:val="14"/>
                <w:szCs w:val="14"/>
              </w:rPr>
              <w:t xml:space="preserve">Expenditures After Sale</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None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r>
      <w:tr>
        <w:trPr>
          <w:cantSplit/>
        </w:trPr>
        <w:tc>
          <w:tcPr>
            <w:tcW w:w="2000" w:type="dxa"/>
            <w:vAlign w:val="center"/>
          </w:tcPr>
          <w:p>
            <w:pPr>
              <w:spacing w:before="0" w:after="0" w:line="240" w:lineRule="auto"/>
              <w:jc w:val="left"/>
            </w:pPr>
            <w:r>
              <w:rPr>
                <w:rFonts w:ascii="Arial" w:hAnsi="Arial" w:cs="Arial"/>
                <w:sz w:val="14"/>
                <w:szCs w:val="14"/>
              </w:rPr>
              <w:t xml:space="preserve">Market Conditions</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1.00%/mo</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26.99%</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1.68%</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21.83%</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3.46%</w:t>
            </w:r>
          </w:p>
        </w:tc>
      </w:tr>
      <w:tr>
        <w:trPr>
          <w:cantSplit/>
        </w:trPr>
        <w:tc>
          <w:tcPr>
            <w:tcW w:w="2000" w:type="dxa"/>
            <w:shd w:val="clear" w:color="auto" w:fill="D9D9D9"/>
            <w:vAlign w:val="center"/>
          </w:tcPr>
          <w:p>
            <w:pPr>
              <w:spacing w:before="0" w:after="0" w:line="240" w:lineRule="auto"/>
              <w:jc w:val="left"/>
            </w:pPr>
            <w:r>
              <w:rPr>
                <w:rFonts w:ascii="Arial" w:hAnsi="Arial" w:cs="Arial"/>
                <w:b/>
                <w:sz w:val="14"/>
                <w:szCs w:val="14"/>
              </w:rPr>
              <w:t xml:space="preserve">Total Quantified Adjustment</w:t>
            </w:r>
          </w:p>
        </w:tc>
        <w:tc>
          <w:tcPr>
            <w:tcW w:w="1480" w:type="dxa"/>
            <w:shd w:val="clear" w:color="auto" w:fill="D9D9D9"/>
            <w:vAlign w:val="center"/>
          </w:tcPr>
          <w:p>
            <w:pPr>
              <w:spacing w:before="0" w:after="0" w:line="240" w:lineRule="auto"/>
              <w:jc w:val="right"/>
            </w:pPr>
            <w:r>
              <w:rPr>
                <w:rFonts w:ascii="Arial" w:hAnsi="Arial" w:cs="Arial"/>
                <w:b/>
                <w:sz w:val="14"/>
                <w:szCs w:val="14"/>
              </w:rPr>
              <w:t xml:space="preserve"/>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26.99%</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1.68%</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21.83%</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3.46%</w:t>
            </w:r>
          </w:p>
        </w:tc>
      </w:tr>
      <w:tr>
        <w:trPr>
          <w:cantSplit/>
        </w:trPr>
        <w:tc>
          <w:tcPr>
            <w:tcW w:w="2000" w:type="dxa"/>
            <w:shd w:val="clear" w:color="auto" w:fill="D9D9D9"/>
            <w:vAlign w:val="center"/>
          </w:tcPr>
          <w:p>
            <w:pPr>
              <w:spacing w:before="0" w:after="0" w:line="240" w:lineRule="auto"/>
              <w:jc w:val="left"/>
            </w:pPr>
            <w:r>
              <w:rPr>
                <w:rFonts w:ascii="Arial" w:hAnsi="Arial" w:cs="Arial"/>
                <w:b/>
                <w:sz w:val="14"/>
                <w:szCs w:val="14"/>
              </w:rPr>
              <w:t xml:space="preserve">Quantitatively Adjusted Price</w:t>
            </w:r>
          </w:p>
        </w:tc>
        <w:tc>
          <w:tcPr>
            <w:tcW w:w="1480" w:type="dxa"/>
            <w:shd w:val="clear" w:color="auto" w:fill="D9D9D9"/>
            <w:vAlign w:val="center"/>
          </w:tcPr>
          <w:p>
            <w:pPr>
              <w:spacing w:before="0" w:after="0" w:line="240" w:lineRule="auto"/>
              <w:jc w:val="right"/>
            </w:pPr>
            <w:r>
              <w:rPr>
                <w:rFonts w:ascii="Arial" w:hAnsi="Arial" w:cs="Arial"/>
                <w:b/>
                <w:sz w:val="14"/>
                <w:szCs w:val="14"/>
              </w:rPr>
              <w:t xml:space="preserve"/>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$366.15</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$304.74</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$373.10</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$329.18</w:t>
            </w:r>
          </w:p>
        </w:tc>
      </w:tr>
      <w:tr>
        <w:trPr>
          <w:cantSplit/>
        </w:trPr>
        <w:tc>
          <w:tcPr>
            <w:tcW w:w="9360" w:type="dxa"/>
            <w:gridSpan w:val="6"/>
            <w:shd w:val="clear" w:color="auto" w:fill="808080"/>
            <w:vAlign w:val="center"/>
          </w:tcPr>
          <w:p>
            <w:pPr>
              <w:spacing w:before="0" w:after="0" w:line="240" w:lineRule="auto"/>
              <w:jc w:val="left"/>
            </w:pPr>
            <w:r>
              <w:rPr>
                <w:rFonts w:ascii="Arial" w:hAnsi="Arial" w:cs="Arial"/>
                <w:b/>
                <w:color w:val="FFFFFF"/>
                <w:sz w:val="14"/>
                <w:szCs w:val="14"/>
              </w:rPr>
              <w:t xml:space="preserve">Qualitative Adjustments</w:t>
            </w:r>
          </w:p>
        </w:tc>
      </w:tr>
      <w:tr>
        <w:trPr>
          <w:cantSplit/>
        </w:trPr>
        <w:tc>
          <w:tcPr>
            <w:tcW w:w="2000" w:type="dxa"/>
            <w:vAlign w:val="center"/>
          </w:tcPr>
          <w:p>
            <w:pPr>
              <w:spacing w:before="0" w:after="0" w:line="240" w:lineRule="auto"/>
              <w:jc w:val="left"/>
            </w:pPr>
            <w:r>
              <w:rPr>
                <w:rFonts w:ascii="Arial" w:hAnsi="Arial" w:cs="Arial"/>
                <w:sz w:val="14"/>
                <w:szCs w:val="14"/>
              </w:rPr>
              <w:t xml:space="preserve">Location</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Average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r>
      <w:tr>
        <w:trPr>
          <w:cantSplit/>
        </w:trPr>
        <w:tc>
          <w:tcPr>
            <w:tcW w:w="2000" w:type="dxa"/>
            <w:vAlign w:val="center"/>
          </w:tcPr>
          <w:p>
            <w:pPr>
              <w:spacing w:before="0" w:after="0" w:line="240" w:lineRule="auto"/>
              <w:jc w:val="left"/>
            </w:pPr>
            <w:r>
              <w:rPr>
                <w:rFonts w:ascii="Arial" w:hAnsi="Arial" w:cs="Arial"/>
                <w:sz w:val="14"/>
                <w:szCs w:val="14"/>
              </w:rPr>
              <w:t xml:space="preserve">Property Size (SF)</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2,800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r>
      <w:tr>
        <w:trPr>
          <w:cantSplit/>
        </w:trPr>
        <w:tc>
          <w:tcPr>
            <w:tcW w:w="2000" w:type="dxa"/>
            <w:vAlign w:val="center"/>
          </w:tcPr>
          <w:p>
            <w:pPr>
              <w:spacing w:before="0" w:after="0" w:line="240" w:lineRule="auto"/>
              <w:jc w:val="left"/>
            </w:pPr>
            <w:r>
              <w:rPr>
                <w:rFonts w:ascii="Arial" w:hAnsi="Arial" w:cs="Arial"/>
                <w:sz w:val="14"/>
                <w:szCs w:val="14"/>
              </w:rPr>
              <w:t xml:space="preserve">YOC / Condition</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1982 / Average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r>
      <w:tr>
        <w:trPr>
          <w:cantSplit/>
        </w:trPr>
        <w:tc>
          <w:tcPr>
            <w:tcW w:w="2000" w:type="dxa"/>
            <w:vAlign w:val="center"/>
          </w:tcPr>
          <w:p>
            <w:pPr>
              <w:spacing w:before="0" w:after="0" w:line="240" w:lineRule="auto"/>
              <w:jc w:val="left"/>
            </w:pPr>
            <w:r>
              <w:rPr>
                <w:rFonts w:ascii="Arial" w:hAnsi="Arial" w:cs="Arial"/>
                <w:sz w:val="14"/>
                <w:szCs w:val="14"/>
              </w:rPr>
              <w:t xml:space="preserve">Quality</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Average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r>
      <w:tr>
        <w:trPr>
          <w:cantSplit/>
        </w:trPr>
        <w:tc>
          <w:tcPr>
            <w:tcW w:w="2000" w:type="dxa"/>
            <w:vAlign w:val="center"/>
          </w:tcPr>
          <w:p>
            <w:pPr>
              <w:spacing w:before="0" w:after="0" w:line="240" w:lineRule="auto"/>
              <w:jc w:val="left"/>
            </w:pPr>
            <w:r>
              <w:rPr>
                <w:rFonts w:ascii="Arial" w:hAnsi="Arial" w:cs="Arial"/>
                <w:sz w:val="14"/>
                <w:szCs w:val="14"/>
              </w:rPr>
              <w:t xml:space="preserve">Land-To-Building Ratio</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3.58</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r>
      <w:tr>
        <w:trPr>
          <w:cantSplit/>
        </w:trPr>
        <w:tc>
          <w:tcPr>
            <w:tcW w:w="2000" w:type="dxa"/>
            <w:vAlign w:val="center"/>
          </w:tcPr>
          <w:p>
            <w:pPr>
              <w:spacing w:before="0" w:after="0" w:line="240" w:lineRule="auto"/>
              <w:jc w:val="left"/>
            </w:pPr>
            <w:r>
              <w:rPr>
                <w:rFonts w:ascii="Arial" w:hAnsi="Arial" w:cs="Arial"/>
                <w:sz w:val="14"/>
                <w:szCs w:val="14"/>
              </w:rPr>
              <w:t xml:space="preserve">Tenancy / Occupancy</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Average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r>
      <w:tr>
        <w:trPr>
          <w:cantSplit/>
        </w:trPr>
        <w:tc>
          <w:tcPr>
            <w:tcW w:w="2000" w:type="dxa"/>
            <w:vAlign w:val="center"/>
          </w:tcPr>
          <w:p>
            <w:pPr>
              <w:spacing w:before="0" w:after="0" w:line="240" w:lineRule="auto"/>
              <w:jc w:val="left"/>
            </w:pPr>
            <w:r>
              <w:rPr>
                <w:rFonts w:ascii="Arial" w:hAnsi="Arial" w:cs="Arial"/>
                <w:sz w:val="14"/>
                <w:szCs w:val="14"/>
              </w:rPr>
              <w:t xml:space="preserve">Functional Utility</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Typical</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r>
      <w:tr>
        <w:trPr>
          <w:cantSplit/>
        </w:trPr>
        <w:tc>
          <w:tcPr>
            <w:tcW w:w="2000" w:type="dxa"/>
            <w:shd w:val="clear" w:color="auto" w:fill="D9D9D9"/>
            <w:vAlign w:val="center"/>
          </w:tcPr>
          <w:p>
            <w:pPr>
              <w:spacing w:before="0" w:after="0" w:line="240" w:lineRule="auto"/>
              <w:jc w:val="left"/>
            </w:pPr>
            <w:r>
              <w:rPr>
                <w:rFonts w:ascii="Arial" w:hAnsi="Arial" w:cs="Arial"/>
                <w:b/>
                <w:sz w:val="14"/>
                <w:szCs w:val="14"/>
              </w:rPr>
              <w:t xml:space="preserve">Total Non Quantified Adj.</w:t>
            </w:r>
          </w:p>
        </w:tc>
        <w:tc>
          <w:tcPr>
            <w:tcW w:w="1480" w:type="dxa"/>
            <w:shd w:val="clear" w:color="auto" w:fill="D9D9D9"/>
            <w:vAlign w:val="center"/>
          </w:tcPr>
          <w:p>
            <w:pPr>
              <w:spacing w:before="0" w:after="0" w:line="240" w:lineRule="auto"/>
              <w:jc w:val="right"/>
            </w:pPr>
            <w:r>
              <w:rPr>
                <w:rFonts w:ascii="Arial" w:hAnsi="Arial" w:cs="Arial"/>
                <w:b/>
                <w:sz w:val="14"/>
                <w:szCs w:val="14"/>
              </w:rPr>
              <w:t xml:space="preserve"/>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0.00%</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0.00%</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0.00%</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0.00%</w:t>
            </w:r>
          </w:p>
        </w:tc>
      </w:tr>
      <w:tr>
        <w:trPr>
          <w:cantSplit/>
        </w:trPr>
        <w:tc>
          <w:tcPr>
            <w:tcW w:w="2000" w:type="dxa"/>
            <w:shd w:val="clear" w:color="auto" w:fill="D9D9D9"/>
            <w:vAlign w:val="center"/>
          </w:tcPr>
          <w:p>
            <w:pPr>
              <w:spacing w:before="0" w:after="0" w:line="240" w:lineRule="auto"/>
              <w:jc w:val="left"/>
            </w:pPr>
            <w:r>
              <w:rPr>
                <w:rFonts w:ascii="Arial" w:hAnsi="Arial" w:cs="Arial"/>
                <w:b/>
                <w:sz w:val="14"/>
                <w:szCs w:val="14"/>
              </w:rPr>
              <w:t xml:space="preserve">Indication for Subject:</w:t>
            </w:r>
          </w:p>
        </w:tc>
        <w:tc>
          <w:tcPr>
            <w:tcW w:w="1480" w:type="dxa"/>
            <w:shd w:val="clear" w:color="auto" w:fill="D9D9D9"/>
            <w:vAlign w:val="center"/>
          </w:tcPr>
          <w:p>
            <w:pPr>
              <w:spacing w:before="0" w:after="0" w:line="240" w:lineRule="auto"/>
              <w:jc w:val="right"/>
            </w:pPr>
            <w:r>
              <w:rPr>
                <w:rFonts w:ascii="Arial" w:hAnsi="Arial" w:cs="Arial"/>
                <w:b/>
                <w:sz w:val="14"/>
                <w:szCs w:val="14"/>
              </w:rPr>
              <w:t xml:space="preserve"/>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$366.15</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$304.74</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$373.10</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$329.18</w:t>
            </w:r>
          </w:p>
        </w:tc>
      </w:tr>
    </w:tbl>
    <w:p>
      <w:pPr>
        <w:spacing w:before="0" w:after="0"/>
      </w:pPr>
    </w:p>
    <w:tbl>
      <w:tblPr>
        <w:tblW w:w="9360" w:type="dxa"/>
        <w:jc w:val="center"/>
        <w:tblBorders>
          <w:top w:val="single" w:sz="4" w:space="0" w:color="BFBFBF"/>
          <w:bottom w:val="single" w:sz="4" w:space="0" w:color="BFBFBF"/>
          <w:insideH w:val="single" w:sz="2" w:space="0" w:color="D9D9D9"/>
        </w:tblBorders>
        <w:tblLayout w:type="fixed"/>
        <w:tblCellMar>
          <w:left w:w="60" w:type="dxa"/>
          <w:right w:w="60" w:type="dxa"/>
        </w:tblCellMar>
      </w:tblPr>
      <w:tblGrid>
        <w:gridCol w:w="2000"/>
        <w:gridCol w:w="1480"/>
        <w:gridCol w:w="1470"/>
        <w:gridCol w:w="1470"/>
        <w:gridCol w:w="1470"/>
        <w:gridCol w:w="1470"/>
      </w:tblGrid>
      <w:tr>
        <w:trPr>
          <w:cantSplit/>
        </w:trPr>
        <w:tc>
          <w:tcPr>
            <w:tcW w:w="9360" w:type="dxa"/>
            <w:gridSpan w:val="6"/>
            <w:shd w:val="clear" w:color="auto" w:fill="005710"/>
            <w:vAlign w:val="center"/>
          </w:tcPr>
          <w:p>
            <w:pPr>
              <w:spacing w:before="0" w:after="0" w:line="240" w:lineRule="auto"/>
              <w:jc w:val="center"/>
            </w:pPr>
            <w:r>
              <w:rPr>
                <w:rFonts w:ascii="Arial" w:hAnsi="Arial" w:cs="Arial"/>
                <w:b/>
                <w:color w:val="FFFFFF"/>
                <w:sz w:val="16"/>
                <w:szCs w:val="16"/>
              </w:rPr>
              <w:t xml:space="preserve">COMPARABLE SALE ADJUSTMENT GRID – SALES 5-8</w:t>
            </w:r>
          </w:p>
        </w:tc>
      </w:tr>
      <w:tr>
        <w:trPr>
          <w:cantSplit/>
        </w:trPr>
        <w:tc>
          <w:tcPr>
            <w:tcW w:w="2000" w:type="dxa"/>
            <w:shd w:val="clear" w:color="auto" w:fill="808080"/>
            <w:vAlign w:val="center"/>
          </w:tcPr>
          <w:p>
            <w:pPr>
              <w:spacing w:before="0" w:after="0" w:line="240" w:lineRule="auto"/>
              <w:jc w:val="left"/>
            </w:pPr>
            <w:r>
              <w:rPr>
                <w:rFonts w:ascii="Arial" w:hAnsi="Arial" w:cs="Arial"/>
                <w:sz w:val="14"/>
                <w:szCs w:val="14"/>
              </w:rPr>
              <w:t xml:space="preserve"/>
            </w:r>
          </w:p>
        </w:tc>
        <w:tc>
          <w:tcPr>
            <w:tcW w:w="1480" w:type="dxa"/>
            <w:shd w:val="clear" w:color="auto" w:fill="808080"/>
            <w:vAlign w:val="center"/>
          </w:tcPr>
          <w:p>
            <w:pPr>
              <w:spacing w:before="0" w:after="0" w:line="240" w:lineRule="auto"/>
              <w:jc w:val="center"/>
            </w:pPr>
            <w:r>
              <w:rPr>
                <w:rFonts w:ascii="Arial" w:hAnsi="Arial" w:cs="Arial"/>
                <w:b/>
                <w:color w:val="FFFFFF"/>
                <w:sz w:val="14"/>
                <w:szCs w:val="14"/>
              </w:rPr>
              <w:t xml:space="preserve">Subject</w:t>
            </w:r>
          </w:p>
        </w:tc>
        <w:tc>
          <w:tcPr>
            <w:tcW w:w="1470" w:type="dxa"/>
            <w:shd w:val="clear" w:color="auto" w:fill="808080"/>
            <w:vAlign w:val="center"/>
          </w:tcPr>
          <w:p>
            <w:pPr>
              <w:spacing w:before="0" w:after="0" w:line="240" w:lineRule="auto"/>
              <w:jc w:val="center"/>
            </w:pPr>
            <w:r>
              <w:rPr>
                <w:rFonts w:ascii="Arial" w:hAnsi="Arial" w:cs="Arial"/>
                <w:b/>
                <w:color w:val="FFFFFF"/>
                <w:sz w:val="14"/>
                <w:szCs w:val="14"/>
              </w:rPr>
              <w:t xml:space="preserve">Sale 5</w:t>
            </w:r>
          </w:p>
        </w:tc>
        <w:tc>
          <w:tcPr>
            <w:tcW w:w="1470" w:type="dxa"/>
            <w:shd w:val="clear" w:color="auto" w:fill="808080"/>
            <w:vAlign w:val="center"/>
          </w:tcPr>
          <w:p>
            <w:pPr>
              <w:spacing w:before="0" w:after="0" w:line="240" w:lineRule="auto"/>
              <w:jc w:val="center"/>
            </w:pPr>
            <w:r>
              <w:rPr>
                <w:rFonts w:ascii="Arial" w:hAnsi="Arial" w:cs="Arial"/>
                <w:b/>
                <w:color w:val="FFFFFF"/>
                <w:sz w:val="14"/>
                <w:szCs w:val="14"/>
              </w:rPr>
              <w:t xml:space="preserve">Sale 6</w:t>
            </w:r>
          </w:p>
        </w:tc>
        <w:tc>
          <w:tcPr>
            <w:tcW w:w="1470" w:type="dxa"/>
            <w:shd w:val="clear" w:color="auto" w:fill="808080"/>
            <w:vAlign w:val="center"/>
          </w:tcPr>
          <w:p>
            <w:pPr>
              <w:spacing w:before="0" w:after="0" w:line="240" w:lineRule="auto"/>
              <w:jc w:val="center"/>
            </w:pPr>
            <w:r>
              <w:rPr>
                <w:rFonts w:ascii="Arial" w:hAnsi="Arial" w:cs="Arial"/>
                <w:b/>
                <w:color w:val="FFFFFF"/>
                <w:sz w:val="14"/>
                <w:szCs w:val="14"/>
              </w:rPr>
              <w:t xml:space="preserve">Sale 7</w:t>
            </w:r>
          </w:p>
        </w:tc>
        <w:tc>
          <w:tcPr>
            <w:tcW w:w="1470" w:type="dxa"/>
            <w:shd w:val="clear" w:color="auto" w:fill="808080"/>
            <w:vAlign w:val="center"/>
          </w:tcPr>
          <w:p>
            <w:pPr>
              <w:spacing w:before="0" w:after="0" w:line="240" w:lineRule="auto"/>
              <w:jc w:val="center"/>
            </w:pPr>
            <w:r>
              <w:rPr>
                <w:rFonts w:ascii="Arial" w:hAnsi="Arial" w:cs="Arial"/>
                <w:b/>
                <w:color w:val="FFFFFF"/>
                <w:sz w:val="14"/>
                <w:szCs w:val="14"/>
              </w:rPr>
              <w:t xml:space="preserve">Sale 8</w:t>
            </w:r>
          </w:p>
        </w:tc>
      </w:tr>
      <w:tr>
        <w:trPr>
          <w:cantSplit/>
        </w:trPr>
        <w:tc>
          <w:tcPr>
            <w:tcW w:w="2000" w:type="dxa"/>
            <w:vAlign w:val="center"/>
          </w:tcPr>
          <w:p>
            <w:pPr>
              <w:spacing w:before="0" w:after="0" w:line="240" w:lineRule="auto"/>
              <w:jc w:val="left"/>
            </w:pPr>
            <w:r>
              <w:rPr>
                <w:rFonts w:ascii="Arial" w:hAnsi="Arial" w:cs="Arial"/>
                <w:sz w:val="14"/>
                <w:szCs w:val="14"/>
              </w:rPr>
              <w:t xml:space="preserve">Address</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387 E 55th Ave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5503 Marshall St</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4250 Fox St</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4810 Olive St</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5350 Broadway</w:t>
            </w:r>
          </w:p>
        </w:tc>
      </w:tr>
      <w:tr>
        <w:trPr>
          <w:cantSplit/>
        </w:trPr>
        <w:tc>
          <w:tcPr>
            <w:tcW w:w="2000" w:type="dxa"/>
            <w:vAlign w:val="center"/>
          </w:tcPr>
          <w:p>
            <w:pPr>
              <w:spacing w:before="0" w:after="0" w:line="240" w:lineRule="auto"/>
              <w:jc w:val="left"/>
            </w:pPr>
            <w:r>
              <w:rPr>
                <w:rFonts w:ascii="Arial" w:hAnsi="Arial" w:cs="Arial"/>
                <w:sz w:val="14"/>
                <w:szCs w:val="14"/>
              </w:rPr>
              <w:t xml:space="preserve">City, State</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Denver, CO</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Arvada, CO</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Denver, CO</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Commerce City, CO</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Denver, CO</w:t>
            </w:r>
          </w:p>
        </w:tc>
      </w:tr>
      <w:tr>
        <w:trPr>
          <w:cantSplit/>
        </w:trPr>
        <w:tc>
          <w:tcPr>
            <w:tcW w:w="2000" w:type="dxa"/>
            <w:vAlign w:val="center"/>
          </w:tcPr>
          <w:p>
            <w:pPr>
              <w:spacing w:before="0" w:after="0" w:line="240" w:lineRule="auto"/>
              <w:jc w:val="left"/>
            </w:pPr>
            <w:r>
              <w:rPr>
                <w:rFonts w:ascii="Arial" w:hAnsi="Arial" w:cs="Arial"/>
                <w:sz w:val="14"/>
                <w:szCs w:val="14"/>
              </w:rPr>
              <w:t xml:space="preserve">Property Type</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Service Garage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Service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Warehouse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Warehouse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Manufacturing</w:t>
            </w:r>
          </w:p>
        </w:tc>
      </w:tr>
      <w:tr>
        <w:trPr>
          <w:cantSplit/>
        </w:trPr>
        <w:tc>
          <w:tcPr>
            <w:tcW w:w="2000" w:type="dxa"/>
            <w:vAlign w:val="center"/>
          </w:tcPr>
          <w:p>
            <w:pPr>
              <w:spacing w:before="0" w:after="0" w:line="240" w:lineRule="auto"/>
              <w:jc w:val="left"/>
            </w:pPr>
            <w:r>
              <w:rPr>
                <w:rFonts w:ascii="Arial" w:hAnsi="Arial" w:cs="Arial"/>
                <w:sz w:val="14"/>
                <w:szCs w:val="14"/>
              </w:rPr>
              <w:t xml:space="preserve">Sale Date</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N/A</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12/30/2022</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6/16/2022</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9/27/2022</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3/14/2022</w:t>
            </w:r>
          </w:p>
        </w:tc>
      </w:tr>
      <w:tr>
        <w:trPr>
          <w:cantSplit/>
        </w:trPr>
        <w:tc>
          <w:tcPr>
            <w:tcW w:w="2000" w:type="dxa"/>
            <w:vAlign w:val="center"/>
          </w:tcPr>
          <w:p>
            <w:pPr>
              <w:spacing w:before="0" w:after="0" w:line="240" w:lineRule="auto"/>
              <w:jc w:val="left"/>
            </w:pPr>
            <w:r>
              <w:rPr>
                <w:rFonts w:ascii="Arial" w:hAnsi="Arial" w:cs="Arial"/>
                <w:sz w:val="14"/>
                <w:szCs w:val="14"/>
              </w:rPr>
              <w:t xml:space="preserve">Sale Price</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N/A</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$1,500,000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$1,265,000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$1,475,000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$1,300,000</w:t>
            </w:r>
          </w:p>
        </w:tc>
      </w:tr>
      <w:tr>
        <w:trPr>
          <w:cantSplit/>
        </w:trPr>
        <w:tc>
          <w:tcPr>
            <w:tcW w:w="2000" w:type="dxa"/>
            <w:vAlign w:val="center"/>
          </w:tcPr>
          <w:p>
            <w:pPr>
              <w:spacing w:before="0" w:after="0" w:line="240" w:lineRule="auto"/>
              <w:jc w:val="left"/>
            </w:pPr>
            <w:r>
              <w:rPr>
                <w:rFonts w:ascii="Arial" w:hAnsi="Arial" w:cs="Arial"/>
                <w:sz w:val="14"/>
                <w:szCs w:val="14"/>
              </w:rPr>
              <w:t xml:space="preserve">Property Size (SF)</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2,800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4,583</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3,840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4,215</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3,500</w:t>
            </w:r>
          </w:p>
        </w:tc>
      </w:tr>
      <w:tr>
        <w:trPr>
          <w:cantSplit/>
        </w:trPr>
        <w:tc>
          <w:tcPr>
            <w:tcW w:w="2000" w:type="dxa"/>
            <w:vAlign w:val="center"/>
          </w:tcPr>
          <w:p>
            <w:pPr>
              <w:spacing w:before="0" w:after="0" w:line="240" w:lineRule="auto"/>
              <w:jc w:val="left"/>
            </w:pPr>
            <w:r>
              <w:rPr>
                <w:rFonts w:ascii="Arial" w:hAnsi="Arial" w:cs="Arial"/>
                <w:sz w:val="14"/>
                <w:szCs w:val="14"/>
              </w:rPr>
              <w:t xml:space="preserve">Site Size (SF)</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10,019</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45,738</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6,251</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35,898</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13,068</w:t>
            </w:r>
          </w:p>
        </w:tc>
      </w:tr>
      <w:tr>
        <w:trPr>
          <w:cantSplit/>
        </w:trPr>
        <w:tc>
          <w:tcPr>
            <w:tcW w:w="2000" w:type="dxa"/>
            <w:vAlign w:val="center"/>
          </w:tcPr>
          <w:p>
            <w:pPr>
              <w:spacing w:before="0" w:after="0" w:line="240" w:lineRule="auto"/>
              <w:jc w:val="left"/>
            </w:pPr>
            <w:r>
              <w:rPr>
                <w:rFonts w:ascii="Arial" w:hAnsi="Arial" w:cs="Arial"/>
                <w:sz w:val="14"/>
                <w:szCs w:val="14"/>
              </w:rPr>
              <w:t xml:space="preserve">YOC / Condition</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1982 / Average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1943 / Average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1972 / Average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1972 / Average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1971 / Average</w:t>
            </w:r>
          </w:p>
        </w:tc>
      </w:tr>
      <w:tr>
        <w:trPr>
          <w:cantSplit/>
        </w:trPr>
        <w:tc>
          <w:tcPr>
            <w:tcW w:w="2000" w:type="dxa"/>
            <w:shd w:val="clear" w:color="auto" w:fill="D9D9D9"/>
            <w:vAlign w:val="center"/>
          </w:tcPr>
          <w:p>
            <w:pPr>
              <w:spacing w:before="0" w:after="0" w:line="240" w:lineRule="auto"/>
              <w:jc w:val="left"/>
            </w:pPr>
            <w:r>
              <w:rPr>
                <w:rFonts w:ascii="Arial" w:hAnsi="Arial" w:cs="Arial"/>
                <w:b/>
                <w:sz w:val="14"/>
                <w:szCs w:val="14"/>
              </w:rPr>
              <w:t xml:space="preserve">Unadjusted Price Per SF</w:t>
            </w:r>
          </w:p>
        </w:tc>
        <w:tc>
          <w:tcPr>
            <w:tcW w:w="1480" w:type="dxa"/>
            <w:shd w:val="clear" w:color="auto" w:fill="D9D9D9"/>
            <w:vAlign w:val="center"/>
          </w:tcPr>
          <w:p>
            <w:pPr>
              <w:spacing w:before="0" w:after="0" w:line="240" w:lineRule="auto"/>
              <w:jc w:val="right"/>
            </w:pPr>
            <w:r>
              <w:rPr>
                <w:rFonts w:ascii="Arial" w:hAnsi="Arial" w:cs="Arial"/>
                <w:b/>
                <w:sz w:val="14"/>
                <w:szCs w:val="14"/>
              </w:rPr>
              <w:t xml:space="preserve"/>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$327.30</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$329.43</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$349.94</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$371.43</w:t>
            </w:r>
          </w:p>
        </w:tc>
      </w:tr>
      <w:tr>
        <w:trPr>
          <w:cantSplit/>
        </w:trPr>
        <w:tc>
          <w:tcPr>
            <w:tcW w:w="9360" w:type="dxa"/>
            <w:gridSpan w:val="6"/>
            <w:shd w:val="clear" w:color="auto" w:fill="808080"/>
            <w:vAlign w:val="center"/>
          </w:tcPr>
          <w:p>
            <w:pPr>
              <w:spacing w:before="0" w:after="0" w:line="240" w:lineRule="auto"/>
              <w:jc w:val="left"/>
            </w:pPr>
            <w:r>
              <w:rPr>
                <w:rFonts w:ascii="Arial" w:hAnsi="Arial" w:cs="Arial"/>
                <w:b/>
                <w:color w:val="FFFFFF"/>
                <w:sz w:val="14"/>
                <w:szCs w:val="14"/>
              </w:rPr>
              <w:t xml:space="preserve">Quantified Adjustments</w:t>
            </w:r>
          </w:p>
        </w:tc>
      </w:tr>
      <w:tr>
        <w:trPr>
          <w:cantSplit/>
        </w:trPr>
        <w:tc>
          <w:tcPr>
            <w:tcW w:w="2000" w:type="dxa"/>
            <w:vAlign w:val="center"/>
          </w:tcPr>
          <w:p>
            <w:pPr>
              <w:spacing w:before="0" w:after="0" w:line="240" w:lineRule="auto"/>
              <w:jc w:val="left"/>
            </w:pPr>
            <w:r>
              <w:rPr>
                <w:rFonts w:ascii="Arial" w:hAnsi="Arial" w:cs="Arial"/>
                <w:sz w:val="14"/>
                <w:szCs w:val="14"/>
              </w:rPr>
              <w:t xml:space="preserve">Financing</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Market Based</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r>
      <w:tr>
        <w:trPr>
          <w:cantSplit/>
        </w:trPr>
        <w:tc>
          <w:tcPr>
            <w:tcW w:w="2000" w:type="dxa"/>
            <w:vAlign w:val="center"/>
          </w:tcPr>
          <w:p>
            <w:pPr>
              <w:spacing w:before="0" w:after="0" w:line="240" w:lineRule="auto"/>
              <w:jc w:val="left"/>
            </w:pPr>
            <w:r>
              <w:rPr>
                <w:rFonts w:ascii="Arial" w:hAnsi="Arial" w:cs="Arial"/>
                <w:sz w:val="14"/>
                <w:szCs w:val="14"/>
              </w:rPr>
              <w:t xml:space="preserve">Terms/Conditions of Sale</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None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r>
      <w:tr>
        <w:trPr>
          <w:cantSplit/>
        </w:trPr>
        <w:tc>
          <w:tcPr>
            <w:tcW w:w="2000" w:type="dxa"/>
            <w:vAlign w:val="center"/>
          </w:tcPr>
          <w:p>
            <w:pPr>
              <w:spacing w:before="0" w:after="0" w:line="240" w:lineRule="auto"/>
              <w:jc w:val="left"/>
            </w:pPr>
            <w:r>
              <w:rPr>
                <w:rFonts w:ascii="Arial" w:hAnsi="Arial" w:cs="Arial"/>
                <w:sz w:val="14"/>
                <w:szCs w:val="14"/>
              </w:rPr>
              <w:t xml:space="preserve">Expenditures After Sale</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None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r>
      <w:tr>
        <w:trPr>
          <w:cantSplit/>
        </w:trPr>
        <w:tc>
          <w:tcPr>
            <w:tcW w:w="2000" w:type="dxa"/>
            <w:vAlign w:val="center"/>
          </w:tcPr>
          <w:p>
            <w:pPr>
              <w:spacing w:before="0" w:after="0" w:line="240" w:lineRule="auto"/>
              <w:jc w:val="left"/>
            </w:pPr>
            <w:r>
              <w:rPr>
                <w:rFonts w:ascii="Arial" w:hAnsi="Arial" w:cs="Arial"/>
                <w:sz w:val="14"/>
                <w:szCs w:val="14"/>
              </w:rPr>
              <w:t xml:space="preserve">Market Conditions</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1.00%/mo</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19.62%</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27.58%</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23.35%</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31.56%</w:t>
            </w:r>
          </w:p>
        </w:tc>
      </w:tr>
      <w:tr>
        <w:trPr>
          <w:cantSplit/>
        </w:trPr>
        <w:tc>
          <w:tcPr>
            <w:tcW w:w="2000" w:type="dxa"/>
            <w:shd w:val="clear" w:color="auto" w:fill="D9D9D9"/>
            <w:vAlign w:val="center"/>
          </w:tcPr>
          <w:p>
            <w:pPr>
              <w:spacing w:before="0" w:after="0" w:line="240" w:lineRule="auto"/>
              <w:jc w:val="left"/>
            </w:pPr>
            <w:r>
              <w:rPr>
                <w:rFonts w:ascii="Arial" w:hAnsi="Arial" w:cs="Arial"/>
                <w:b/>
                <w:sz w:val="14"/>
                <w:szCs w:val="14"/>
              </w:rPr>
              <w:t xml:space="preserve">Total Quantified Adjustment</w:t>
            </w:r>
          </w:p>
        </w:tc>
        <w:tc>
          <w:tcPr>
            <w:tcW w:w="1480" w:type="dxa"/>
            <w:shd w:val="clear" w:color="auto" w:fill="D9D9D9"/>
            <w:vAlign w:val="center"/>
          </w:tcPr>
          <w:p>
            <w:pPr>
              <w:spacing w:before="0" w:after="0" w:line="240" w:lineRule="auto"/>
              <w:jc w:val="right"/>
            </w:pPr>
            <w:r>
              <w:rPr>
                <w:rFonts w:ascii="Arial" w:hAnsi="Arial" w:cs="Arial"/>
                <w:b/>
                <w:sz w:val="14"/>
                <w:szCs w:val="14"/>
              </w:rPr>
              <w:t xml:space="preserve"/>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19.62%</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27.58%</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23.35%</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31.56%</w:t>
            </w:r>
          </w:p>
        </w:tc>
      </w:tr>
      <w:tr>
        <w:trPr>
          <w:cantSplit/>
        </w:trPr>
        <w:tc>
          <w:tcPr>
            <w:tcW w:w="2000" w:type="dxa"/>
            <w:shd w:val="clear" w:color="auto" w:fill="D9D9D9"/>
            <w:vAlign w:val="center"/>
          </w:tcPr>
          <w:p>
            <w:pPr>
              <w:spacing w:before="0" w:after="0" w:line="240" w:lineRule="auto"/>
              <w:jc w:val="left"/>
            </w:pPr>
            <w:r>
              <w:rPr>
                <w:rFonts w:ascii="Arial" w:hAnsi="Arial" w:cs="Arial"/>
                <w:b/>
                <w:sz w:val="14"/>
                <w:szCs w:val="14"/>
              </w:rPr>
              <w:t xml:space="preserve">Quantitatively Adjusted Price</w:t>
            </w:r>
          </w:p>
        </w:tc>
        <w:tc>
          <w:tcPr>
            <w:tcW w:w="1480" w:type="dxa"/>
            <w:shd w:val="clear" w:color="auto" w:fill="D9D9D9"/>
            <w:vAlign w:val="center"/>
          </w:tcPr>
          <w:p>
            <w:pPr>
              <w:spacing w:before="0" w:after="0" w:line="240" w:lineRule="auto"/>
              <w:jc w:val="right"/>
            </w:pPr>
            <w:r>
              <w:rPr>
                <w:rFonts w:ascii="Arial" w:hAnsi="Arial" w:cs="Arial"/>
                <w:b/>
                <w:sz w:val="14"/>
                <w:szCs w:val="14"/>
              </w:rPr>
              <w:t xml:space="preserve"/>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$391.51</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$420.28</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$431.65</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$488.65</w:t>
            </w:r>
          </w:p>
        </w:tc>
      </w:tr>
      <w:tr>
        <w:trPr>
          <w:cantSplit/>
        </w:trPr>
        <w:tc>
          <w:tcPr>
            <w:tcW w:w="9360" w:type="dxa"/>
            <w:gridSpan w:val="6"/>
            <w:shd w:val="clear" w:color="auto" w:fill="808080"/>
            <w:vAlign w:val="center"/>
          </w:tcPr>
          <w:p>
            <w:pPr>
              <w:spacing w:before="0" w:after="0" w:line="240" w:lineRule="auto"/>
              <w:jc w:val="left"/>
            </w:pPr>
            <w:r>
              <w:rPr>
                <w:rFonts w:ascii="Arial" w:hAnsi="Arial" w:cs="Arial"/>
                <w:b/>
                <w:color w:val="FFFFFF"/>
                <w:sz w:val="14"/>
                <w:szCs w:val="14"/>
              </w:rPr>
              <w:t xml:space="preserve">Qualitative Adjustments</w:t>
            </w:r>
          </w:p>
        </w:tc>
      </w:tr>
      <w:tr>
        <w:trPr>
          <w:cantSplit/>
        </w:trPr>
        <w:tc>
          <w:tcPr>
            <w:tcW w:w="2000" w:type="dxa"/>
            <w:vAlign w:val="center"/>
          </w:tcPr>
          <w:p>
            <w:pPr>
              <w:spacing w:before="0" w:after="0" w:line="240" w:lineRule="auto"/>
              <w:jc w:val="left"/>
            </w:pPr>
            <w:r>
              <w:rPr>
                <w:rFonts w:ascii="Arial" w:hAnsi="Arial" w:cs="Arial"/>
                <w:sz w:val="14"/>
                <w:szCs w:val="14"/>
              </w:rPr>
              <w:t xml:space="preserve">Location</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Average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r>
      <w:tr>
        <w:trPr>
          <w:cantSplit/>
        </w:trPr>
        <w:tc>
          <w:tcPr>
            <w:tcW w:w="2000" w:type="dxa"/>
            <w:vAlign w:val="center"/>
          </w:tcPr>
          <w:p>
            <w:pPr>
              <w:spacing w:before="0" w:after="0" w:line="240" w:lineRule="auto"/>
              <w:jc w:val="left"/>
            </w:pPr>
            <w:r>
              <w:rPr>
                <w:rFonts w:ascii="Arial" w:hAnsi="Arial" w:cs="Arial"/>
                <w:sz w:val="14"/>
                <w:szCs w:val="14"/>
              </w:rPr>
              <w:t xml:space="preserve">Property Size (SF)</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2,800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r>
      <w:tr>
        <w:trPr>
          <w:cantSplit/>
        </w:trPr>
        <w:tc>
          <w:tcPr>
            <w:tcW w:w="2000" w:type="dxa"/>
            <w:vAlign w:val="center"/>
          </w:tcPr>
          <w:p>
            <w:pPr>
              <w:spacing w:before="0" w:after="0" w:line="240" w:lineRule="auto"/>
              <w:jc w:val="left"/>
            </w:pPr>
            <w:r>
              <w:rPr>
                <w:rFonts w:ascii="Arial" w:hAnsi="Arial" w:cs="Arial"/>
                <w:sz w:val="14"/>
                <w:szCs w:val="14"/>
              </w:rPr>
              <w:t xml:space="preserve">YOC / Condition</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1982 / Average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r>
      <w:tr>
        <w:trPr>
          <w:cantSplit/>
        </w:trPr>
        <w:tc>
          <w:tcPr>
            <w:tcW w:w="2000" w:type="dxa"/>
            <w:vAlign w:val="center"/>
          </w:tcPr>
          <w:p>
            <w:pPr>
              <w:spacing w:before="0" w:after="0" w:line="240" w:lineRule="auto"/>
              <w:jc w:val="left"/>
            </w:pPr>
            <w:r>
              <w:rPr>
                <w:rFonts w:ascii="Arial" w:hAnsi="Arial" w:cs="Arial"/>
                <w:sz w:val="14"/>
                <w:szCs w:val="14"/>
              </w:rPr>
              <w:t xml:space="preserve">Quality</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Average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r>
      <w:tr>
        <w:trPr>
          <w:cantSplit/>
        </w:trPr>
        <w:tc>
          <w:tcPr>
            <w:tcW w:w="2000" w:type="dxa"/>
            <w:vAlign w:val="center"/>
          </w:tcPr>
          <w:p>
            <w:pPr>
              <w:spacing w:before="0" w:after="0" w:line="240" w:lineRule="auto"/>
              <w:jc w:val="left"/>
            </w:pPr>
            <w:r>
              <w:rPr>
                <w:rFonts w:ascii="Arial" w:hAnsi="Arial" w:cs="Arial"/>
                <w:sz w:val="14"/>
                <w:szCs w:val="14"/>
              </w:rPr>
              <w:t xml:space="preserve">Land-To-Building Ratio</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3.58</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r>
      <w:tr>
        <w:trPr>
          <w:cantSplit/>
        </w:trPr>
        <w:tc>
          <w:tcPr>
            <w:tcW w:w="2000" w:type="dxa"/>
            <w:vAlign w:val="center"/>
          </w:tcPr>
          <w:p>
            <w:pPr>
              <w:spacing w:before="0" w:after="0" w:line="240" w:lineRule="auto"/>
              <w:jc w:val="left"/>
            </w:pPr>
            <w:r>
              <w:rPr>
                <w:rFonts w:ascii="Arial" w:hAnsi="Arial" w:cs="Arial"/>
                <w:sz w:val="14"/>
                <w:szCs w:val="14"/>
              </w:rPr>
              <w:t xml:space="preserve">Tenancy / Occupancy</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Average</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r>
      <w:tr>
        <w:trPr>
          <w:cantSplit/>
        </w:trPr>
        <w:tc>
          <w:tcPr>
            <w:tcW w:w="2000" w:type="dxa"/>
            <w:vAlign w:val="center"/>
          </w:tcPr>
          <w:p>
            <w:pPr>
              <w:spacing w:before="0" w:after="0" w:line="240" w:lineRule="auto"/>
              <w:jc w:val="left"/>
            </w:pPr>
            <w:r>
              <w:rPr>
                <w:rFonts w:ascii="Arial" w:hAnsi="Arial" w:cs="Arial"/>
                <w:sz w:val="14"/>
                <w:szCs w:val="14"/>
              </w:rPr>
              <w:t xml:space="preserve">Functional Utility</w:t>
            </w:r>
          </w:p>
        </w:tc>
        <w:tc>
          <w:tcPr>
            <w:tcW w:w="1480" w:type="dxa"/>
            <w:shd w:val="clear" w:color="auto" w:fill="EEF3F8"/>
            <w:vAlign w:val="center"/>
          </w:tcPr>
          <w:p>
            <w:pPr>
              <w:spacing w:before="0" w:after="0" w:line="240" w:lineRule="auto"/>
              <w:jc w:val="right"/>
            </w:pPr>
            <w:r>
              <w:rPr>
                <w:rFonts w:ascii="Arial" w:hAnsi="Arial" w:cs="Arial"/>
                <w:sz w:val="14"/>
                <w:szCs w:val="14"/>
              </w:rPr>
              <w:t xml:space="preserve">Typical</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c>
          <w:tcPr>
            <w:tcW w:w="1470" w:type="dxa"/>
            <w:shd w:val="clear" w:color="auto" w:fill="FDE9D9"/>
            <w:vAlign w:val="center"/>
          </w:tcPr>
          <w:p>
            <w:pPr>
              <w:spacing w:before="0" w:after="0" w:line="240" w:lineRule="auto"/>
              <w:jc w:val="right"/>
            </w:pPr>
            <w:r>
              <w:rPr>
                <w:rFonts w:ascii="Arial" w:hAnsi="Arial" w:cs="Arial"/>
                <w:sz w:val="14"/>
                <w:szCs w:val="14"/>
              </w:rPr>
              <w:t xml:space="preserve">0.00%</w:t>
            </w:r>
          </w:p>
        </w:tc>
      </w:tr>
      <w:tr>
        <w:trPr>
          <w:cantSplit/>
        </w:trPr>
        <w:tc>
          <w:tcPr>
            <w:tcW w:w="2000" w:type="dxa"/>
            <w:shd w:val="clear" w:color="auto" w:fill="D9D9D9"/>
            <w:vAlign w:val="center"/>
          </w:tcPr>
          <w:p>
            <w:pPr>
              <w:spacing w:before="0" w:after="0" w:line="240" w:lineRule="auto"/>
              <w:jc w:val="left"/>
            </w:pPr>
            <w:r>
              <w:rPr>
                <w:rFonts w:ascii="Arial" w:hAnsi="Arial" w:cs="Arial"/>
                <w:b/>
                <w:sz w:val="14"/>
                <w:szCs w:val="14"/>
              </w:rPr>
              <w:t xml:space="preserve">Total Non Quantified Adj.</w:t>
            </w:r>
          </w:p>
        </w:tc>
        <w:tc>
          <w:tcPr>
            <w:tcW w:w="1480" w:type="dxa"/>
            <w:shd w:val="clear" w:color="auto" w:fill="D9D9D9"/>
            <w:vAlign w:val="center"/>
          </w:tcPr>
          <w:p>
            <w:pPr>
              <w:spacing w:before="0" w:after="0" w:line="240" w:lineRule="auto"/>
              <w:jc w:val="right"/>
            </w:pPr>
            <w:r>
              <w:rPr>
                <w:rFonts w:ascii="Arial" w:hAnsi="Arial" w:cs="Arial"/>
                <w:b/>
                <w:sz w:val="14"/>
                <w:szCs w:val="14"/>
              </w:rPr>
              <w:t xml:space="preserve"/>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0.00%</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0.00%</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0.00%</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0.00%</w:t>
            </w:r>
          </w:p>
        </w:tc>
      </w:tr>
      <w:tr>
        <w:trPr>
          <w:cantSplit/>
        </w:trPr>
        <w:tc>
          <w:tcPr>
            <w:tcW w:w="2000" w:type="dxa"/>
            <w:shd w:val="clear" w:color="auto" w:fill="D9D9D9"/>
            <w:vAlign w:val="center"/>
          </w:tcPr>
          <w:p>
            <w:pPr>
              <w:spacing w:before="0" w:after="0" w:line="240" w:lineRule="auto"/>
              <w:jc w:val="left"/>
            </w:pPr>
            <w:r>
              <w:rPr>
                <w:rFonts w:ascii="Arial" w:hAnsi="Arial" w:cs="Arial"/>
                <w:b/>
                <w:sz w:val="14"/>
                <w:szCs w:val="14"/>
              </w:rPr>
              <w:t xml:space="preserve">Indication for Subject:</w:t>
            </w:r>
          </w:p>
        </w:tc>
        <w:tc>
          <w:tcPr>
            <w:tcW w:w="1480" w:type="dxa"/>
            <w:shd w:val="clear" w:color="auto" w:fill="D9D9D9"/>
            <w:vAlign w:val="center"/>
          </w:tcPr>
          <w:p>
            <w:pPr>
              <w:spacing w:before="0" w:after="0" w:line="240" w:lineRule="auto"/>
              <w:jc w:val="right"/>
            </w:pPr>
            <w:r>
              <w:rPr>
                <w:rFonts w:ascii="Arial" w:hAnsi="Arial" w:cs="Arial"/>
                <w:b/>
                <w:sz w:val="14"/>
                <w:szCs w:val="14"/>
              </w:rPr>
              <w:t xml:space="preserve"/>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$391.51</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$420.28</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$431.65</w:t>
            </w:r>
          </w:p>
        </w:tc>
        <w:tc>
          <w:tcPr>
            <w:tcW w:w="1470" w:type="dxa"/>
            <w:shd w:val="clear" w:color="auto" w:fill="D9D9D9"/>
            <w:vAlign w:val="center"/>
          </w:tcPr>
          <w:p>
            <w:pPr>
              <w:spacing w:before="0" w:after="0" w:line="240" w:lineRule="auto"/>
              <w:jc w:val="right"/>
            </w:pPr>
            <w:r>
              <w:rPr>
                <w:rFonts w:ascii="Arial" w:hAnsi="Arial" w:cs="Arial"/>
                <w:b/>
                <w:sz w:val="14"/>
                <w:szCs w:val="14"/>
              </w:rPr>
              <w:t xml:space="preserve">$488.65</w:t>
            </w:r>
          </w:p>
        </w:tc>
      </w:tr>
    </w:tbl>
    <w:p>
      <w:pPr>
        <w:spacing w:before="120" w:after="120"/>
      </w:pPr>
      <w:r>
        <w:rPr>
          <w:sz w:val="18"/>
          <w:highlight w:val="yellow"/>
        </w:rPr>
        <w:t xml:space="preserve">Qualitative adjustments are shown at 0.00% pending appraiser review; comparable condition is assumed average (not inspected). Sale 1 was a purchase by the tenant.</w:t>
      </w:r>
    </w:p>
    <w:p w14:paraId="6A6237F4" w14:textId="77777777" w:rsidR="00CC62E8" w:rsidRPr="00546652" w:rsidRDefault="00CC62E8" w:rsidP="00CC62E8">
      <w:pPr>
        <w:rPr>
          <w:b/>
          <w:bCs/>
        </w:rPr>
        <w:sectPr w:rsidR="00CC62E8" w:rsidRPr="00546652" w:rsidSect="00CC62E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Pr>
          <w:b/>
          <w:bCs/>
        </w:rPr>
        <w:t xml:space="preserve">Notes: Mkt conditions/time lapse, paired sales = 1.06%/mo compounded appreciation over the 5-yr extended base period to 6/30/2024. We have rounded the adjustment to 1.00%/mo. </w:t>
      </w:r>
    </w:p>
    <w:p w14:paraId="59B038A1" w14:textId="7193C8E2" w:rsidR="00FF2350" w:rsidRPr="00FF2350" w:rsidRDefault="00FF2350" w:rsidP="003A160F">
      <w:pPr>
        <w:rPr>
          <w:rFonts w:eastAsiaTheme="majorEastAsia" w:cstheme="majorBidi"/>
          <w:b/>
          <w:sz w:val="26"/>
          <w:szCs w:val="26"/>
        </w:rPr>
      </w:pPr>
      <w:r>
        <w:rPr>
          <w:rFonts w:eastAsiaTheme="majorEastAsia" w:cstheme="majorBidi"/>
          <w:b/>
          <w:sz w:val="26"/>
          <w:szCs w:val="26"/>
        </w:rPr>
        <w:lastRenderedPageBreak/>
        <w:t>Sales Comparison Approach - Conclusion</w:t>
      </w:r>
    </w:p>
    <w:p w14:paraId="6F9EC132" w14:textId="13045F9C" w:rsidR="00D31C91" w:rsidRPr="00D31C91" w:rsidRDefault="00D31C91" w:rsidP="00D31C91">
      <w:pPr>
        <w:spacing w:after="0" w:line="300" w:lineRule="atLeast"/>
        <w:jc w:val="left"/>
        <w:rPr>
          <w:rFonts w:ascii="Segoe UI" w:eastAsia="Times New Roman" w:hAnsi="Segoe UI" w:cs="Segoe UI"/>
          <w:sz w:val="21"/>
          <w:szCs w:val="21"/>
        </w:rPr>
      </w:pPr>
      <w:r>
        <w:rPr>
          <w:rFonts w:ascii="Segoe UI" w:eastAsia="Times New Roman" w:hAnsi="Segoe UI" w:cs="Segoe UI"/>
          <w:sz w:val="21"/>
          <w:szCs w:val="21"/>
        </w:rPr>
        <w:t xml:space="preserve">All eight comparable sales were analyzed with equal consideration. The comparables are 3,000 to 4,583 SF small-bay industrial and service buildings in north Denver, Commerce City and Arvada that sold between March 2022 and May 2024 at unadjusted prices of $288.33 to $371.43 per square foot. Each sale was adjusted for market conditions to the June 30, 2024 date of value using the rate discussed above, producing adjusted unit prices of $304.74 to $488.65 per square foot, with a mean of $388.16 and a median of $382.31 per square foot. The two most recent sales, Sales 2 and 4 (May and March 2024), required the smallest time adjustments and indicate $304.74 and $329.18 per square foot. Considering the collective indications from all comparables, the appropriate reconciled value for the subject property is concluded at </w:t>
      </w:r>
      <w:r>
        <w:rPr>
          <w:rFonts w:ascii="Segoe UI" w:eastAsia="Times New Roman" w:hAnsi="Segoe UI" w:cs="Segoe UI"/>
          <w:sz w:val="21"/>
          <w:szCs w:val="21"/>
          <w:highlight w:val="yellow"/>
        </w:rPr>
        <w:t xml:space="preserve">$380/sf</w:t>
      </w:r>
      <w:r>
        <w:rPr>
          <w:rFonts w:ascii="Segoe UI" w:eastAsia="Times New Roman" w:hAnsi="Segoe UI" w:cs="Segoe UI"/>
          <w:sz w:val="21"/>
          <w:szCs w:val="21"/>
        </w:rPr>
        <w:t xml:space="preserve">.</w:t>
      </w:r>
    </w:p>
    <w:p w14:paraId="71A13913" w14:textId="77777777" w:rsidR="00FF2350" w:rsidRDefault="00FF2350" w:rsidP="003A160F"/>
    <w:tbl>
      <w:tblPr>
        <w:tblW w:w="6200" w:type="dxa"/>
        <w:jc w:val="center"/>
        <w:tblBorders>
          <w:top w:val="single" w:sz="4" w:space="0" w:color="BFBFBF"/>
          <w:bottom w:val="single" w:sz="4" w:space="0" w:color="BFBFBF"/>
          <w:insideH w:val="single" w:sz="2" w:space="0" w:color="D9D9D9"/>
        </w:tblBorders>
        <w:tblLayout w:type="fixed"/>
        <w:tblCellMar>
          <w:left w:w="60" w:type="dxa"/>
          <w:right w:w="60" w:type="dxa"/>
        </w:tblCellMar>
      </w:tblPr>
      <w:tblGrid>
        <w:gridCol w:w="4200"/>
        <w:gridCol w:w="2000"/>
      </w:tblGrid>
      <w:tr>
        <w:trPr>
          <w:cantSplit/>
        </w:trPr>
        <w:tc>
          <w:tcPr>
            <w:tcW w:w="6200" w:type="dxa"/>
            <w:gridSpan w:val="2"/>
            <w:shd w:val="clear" w:color="auto" w:fill="005710"/>
            <w:vAlign w:val="center"/>
          </w:tcPr>
          <w:p>
            <w:pPr>
              <w:spacing w:before="0" w:after="0" w:line="240" w:lineRule="auto"/>
              <w:jc w:val="center"/>
            </w:pPr>
            <w:r>
              <w:rPr>
                <w:rFonts w:ascii="Arial" w:hAnsi="Arial" w:cs="Arial"/>
                <w:b/>
                <w:color w:val="FFFFFF"/>
                <w:sz w:val="16"/>
                <w:szCs w:val="16"/>
              </w:rPr>
              <w:t xml:space="preserve">SALES COMPARISON APPROACH VALUE CONCLUSION</w:t>
            </w:r>
          </w:p>
        </w:tc>
      </w:tr>
      <w:tr>
        <w:trPr>
          <w:cantSplit/>
        </w:trPr>
        <w:tc>
          <w:tcPr>
            <w:tcW w:w="4200" w:type="dxa"/>
            <w:vAlign w:val="center"/>
          </w:tcPr>
          <w:p>
            <w:pPr>
              <w:spacing w:before="0" w:after="0" w:line="240" w:lineRule="auto"/>
              <w:jc w:val="left"/>
            </w:pPr>
            <w:r>
              <w:rPr>
                <w:rFonts w:ascii="Arial" w:hAnsi="Arial" w:cs="Arial"/>
                <w:sz w:val="16"/>
                <w:szCs w:val="16"/>
              </w:rPr>
              <w:t xml:space="preserve">Indicated Value per SF</w:t>
            </w:r>
          </w:p>
        </w:tc>
        <w:tc>
          <w:tcPr>
            <w:tcW w:w="2000" w:type="dxa"/>
            <w:vAlign w:val="center"/>
          </w:tcPr>
          <w:p>
            <w:pPr>
              <w:spacing w:before="0" w:after="0" w:line="240" w:lineRule="auto"/>
              <w:jc w:val="right"/>
            </w:pPr>
            <w:r>
              <w:rPr>
                <w:rFonts w:ascii="Arial" w:hAnsi="Arial" w:cs="Arial"/>
                <w:sz w:val="16"/>
                <w:szCs w:val="16"/>
                <w:highlight w:val="yellow"/>
              </w:rPr>
              <w:t xml:space="preserve">$380.00</w:t>
            </w:r>
          </w:p>
        </w:tc>
      </w:tr>
      <w:tr>
        <w:trPr>
          <w:cantSplit/>
        </w:trPr>
        <w:tc>
          <w:tcPr>
            <w:tcW w:w="4200" w:type="dxa"/>
            <w:vAlign w:val="center"/>
          </w:tcPr>
          <w:p>
            <w:pPr>
              <w:spacing w:before="0" w:after="0" w:line="240" w:lineRule="auto"/>
              <w:jc w:val="left"/>
            </w:pPr>
            <w:r>
              <w:rPr>
                <w:rFonts w:ascii="Arial" w:hAnsi="Arial" w:cs="Arial"/>
                <w:sz w:val="16"/>
                <w:szCs w:val="16"/>
              </w:rPr>
              <w:t xml:space="preserve">Building Area (SF)</w:t>
            </w:r>
          </w:p>
        </w:tc>
        <w:tc>
          <w:tcPr>
            <w:tcW w:w="2000" w:type="dxa"/>
            <w:vAlign w:val="center"/>
          </w:tcPr>
          <w:p>
            <w:pPr>
              <w:spacing w:before="0" w:after="0" w:line="240" w:lineRule="auto"/>
              <w:jc w:val="right"/>
            </w:pPr>
            <w:r>
              <w:rPr>
                <w:rFonts w:ascii="Arial" w:hAnsi="Arial" w:cs="Arial"/>
                <w:sz w:val="16"/>
                <w:szCs w:val="16"/>
              </w:rPr>
              <w:t xml:space="preserve">2,800</w:t>
            </w:r>
          </w:p>
        </w:tc>
      </w:tr>
      <w:tr>
        <w:trPr>
          <w:cantSplit/>
        </w:trPr>
        <w:tc>
          <w:tcPr>
            <w:tcW w:w="4200" w:type="dxa"/>
            <w:vAlign w:val="center"/>
          </w:tcPr>
          <w:p>
            <w:pPr>
              <w:spacing w:before="0" w:after="0" w:line="240" w:lineRule="auto"/>
              <w:jc w:val="left"/>
            </w:pPr>
            <w:r>
              <w:rPr>
                <w:rFonts w:ascii="Arial" w:hAnsi="Arial" w:cs="Arial"/>
                <w:sz w:val="16"/>
                <w:szCs w:val="16"/>
              </w:rPr>
              <w:t xml:space="preserve">Indicated Value</w:t>
            </w:r>
          </w:p>
        </w:tc>
        <w:tc>
          <w:tcPr>
            <w:tcW w:w="2000" w:type="dxa"/>
            <w:vAlign w:val="center"/>
          </w:tcPr>
          <w:p>
            <w:pPr>
              <w:spacing w:before="0" w:after="0" w:line="240" w:lineRule="auto"/>
              <w:jc w:val="right"/>
            </w:pPr>
            <w:r>
              <w:rPr>
                <w:rFonts w:ascii="Arial" w:hAnsi="Arial" w:cs="Arial"/>
                <w:sz w:val="16"/>
                <w:szCs w:val="16"/>
              </w:rPr>
              <w:t xml:space="preserve">$1,064,000</w:t>
            </w:r>
          </w:p>
        </w:tc>
      </w:tr>
      <w:tr>
        <w:trPr>
          <w:cantSplit/>
        </w:trPr>
        <w:tc>
          <w:tcPr>
            <w:tcW w:w="4200" w:type="dxa"/>
            <w:vAlign w:val="center"/>
          </w:tcPr>
          <w:p>
            <w:pPr>
              <w:spacing w:before="0" w:after="0" w:line="240" w:lineRule="auto"/>
              <w:jc w:val="left"/>
            </w:pPr>
            <w:r>
              <w:rPr>
                <w:rFonts w:ascii="Arial" w:hAnsi="Arial" w:cs="Arial"/>
                <w:sz w:val="16"/>
                <w:szCs w:val="16"/>
              </w:rPr>
              <w:t xml:space="preserve">Rounding Increment</w:t>
            </w:r>
          </w:p>
        </w:tc>
        <w:tc>
          <w:tcPr>
            <w:tcW w:w="2000" w:type="dxa"/>
            <w:vAlign w:val="center"/>
          </w:tcPr>
          <w:p>
            <w:pPr>
              <w:spacing w:before="0" w:after="0" w:line="240" w:lineRule="auto"/>
              <w:jc w:val="right"/>
            </w:pPr>
            <w:r>
              <w:rPr>
                <w:rFonts w:ascii="Arial" w:hAnsi="Arial" w:cs="Arial"/>
                <w:sz w:val="16"/>
                <w:szCs w:val="16"/>
              </w:rPr>
              <w:t xml:space="preserve">$5,000</w:t>
            </w:r>
          </w:p>
        </w:tc>
      </w:tr>
      <w:tr>
        <w:trPr>
          <w:cantSplit/>
        </w:trPr>
        <w:tc>
          <w:tcPr>
            <w:tcW w:w="4200" w:type="dxa"/>
            <w:vAlign w:val="center"/>
          </w:tcPr>
          <w:p>
            <w:pPr>
              <w:spacing w:before="0" w:after="0" w:line="240" w:lineRule="auto"/>
              <w:jc w:val="left"/>
            </w:pPr>
            <w:r>
              <w:rPr>
                <w:rFonts w:ascii="Arial" w:hAnsi="Arial" w:cs="Arial"/>
                <w:b/>
                <w:sz w:val="16"/>
                <w:szCs w:val="16"/>
              </w:rPr>
              <w:t xml:space="preserve">Rounded to nearest $5,000</w:t>
            </w:r>
          </w:p>
        </w:tc>
        <w:tc>
          <w:tcPr>
            <w:tcW w:w="2000" w:type="dxa"/>
            <w:vAlign w:val="center"/>
          </w:tcPr>
          <w:p>
            <w:pPr>
              <w:spacing w:before="0" w:after="0" w:line="240" w:lineRule="auto"/>
              <w:jc w:val="right"/>
            </w:pPr>
            <w:r>
              <w:rPr>
                <w:rFonts w:ascii="Arial" w:hAnsi="Arial" w:cs="Arial"/>
                <w:b/>
                <w:sz w:val="16"/>
                <w:szCs w:val="16"/>
                <w:highlight w:val="yellow"/>
              </w:rPr>
              <w:t xml:space="preserve">$1,065,000</w:t>
            </w:r>
          </w:p>
        </w:tc>
      </w:tr>
      <w:tr>
        <w:trPr>
          <w:cantSplit/>
        </w:trPr>
        <w:tc>
          <w:tcPr>
            <w:tcW w:w="4200" w:type="dxa"/>
            <w:vAlign w:val="center"/>
          </w:tcPr>
          <w:p>
            <w:pPr>
              <w:spacing w:before="0" w:after="0" w:line="240" w:lineRule="auto"/>
              <w:jc w:val="left"/>
            </w:pPr>
            <w:r>
              <w:rPr>
                <w:rFonts w:ascii="Arial" w:hAnsi="Arial" w:cs="Arial"/>
                <w:b/>
                <w:sz w:val="16"/>
                <w:szCs w:val="16"/>
              </w:rPr>
              <w:t xml:space="preserve">Per SF</w:t>
            </w:r>
          </w:p>
        </w:tc>
        <w:tc>
          <w:tcPr>
            <w:tcW w:w="2000" w:type="dxa"/>
            <w:vAlign w:val="center"/>
          </w:tcPr>
          <w:p>
            <w:pPr>
              <w:spacing w:before="0" w:after="0" w:line="240" w:lineRule="auto"/>
              <w:jc w:val="right"/>
            </w:pPr>
            <w:r>
              <w:rPr>
                <w:rFonts w:ascii="Arial" w:hAnsi="Arial" w:cs="Arial"/>
                <w:b/>
                <w:sz w:val="16"/>
                <w:szCs w:val="16"/>
              </w:rPr>
              <w:t xml:space="preserve">$380.36</w:t>
            </w:r>
          </w:p>
        </w:tc>
      </w:tr>
    </w:tbl>
    <w:p w14:paraId="53184514" w14:textId="52FEA725" w:rsidR="00FF2350" w:rsidRDefault="00FF2350" w:rsidP="003A160F">
      <w:pPr>
        <w:sectPr w:rsidR="00FF2350" w:rsidSect="003A160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3B7BFD8" w14:textId="77777777" w:rsidR="00BB550B" w:rsidRDefault="00BB550B" w:rsidP="003E4BD2">
      <w:pPr>
        <w:pStyle w:val="Heading1"/>
      </w:pPr>
      <w:bookmarkStart w:id="23" w:name="_Toc228359492"/>
      <w:r>
        <w:lastRenderedPageBreak/>
        <w:t>Income Approach – Direct Capitalization</w:t>
      </w:r>
      <w:bookmarkEnd w:id="23"/>
    </w:p>
    <w:p w14:paraId="6B47B994" w14:textId="77777777" w:rsidR="00BB550B" w:rsidRPr="008D7630" w:rsidRDefault="00BB550B" w:rsidP="00BB550B">
      <w:r>
        <w:t xml:space="preserve">The following pages present an income-based analysis, utilizing market rents, expenses, and capitalization rates to arrive at a market value for the Fee Simple estate of the subject. In this analysis, we assume stabilized occupancy for the subject property, and utilize the subject’s actual leasing activity, with support from market lease rates.   </w:t>
      </w:r>
    </w:p>
    <w:p w14:paraId="0CC08395" w14:textId="32C51609" w:rsidR="00D60EC4" w:rsidRDefault="00AA031F" w:rsidP="00D60EC4">
      <w:pPr>
        <w:pStyle w:val="Heading3"/>
        <w:rPr>
          <w:rFonts w:asciiTheme="minorHAnsi" w:eastAsiaTheme="minorHAnsi" w:hAnsiTheme="minorHAnsi" w:cstheme="minorBidi"/>
          <w:b w:val="0"/>
          <w:sz w:val="22"/>
          <w:szCs w:val="22"/>
        </w:rPr>
      </w:pPr>
      <w:r>
        <w:rPr>
          <w:rFonts w:asciiTheme="minorHAnsi" w:eastAsiaTheme="minorHAnsi" w:hAnsiTheme="minorHAnsi" w:cstheme="minorBidi"/>
          <w:b w:val="0"/>
          <w:sz w:val="22"/>
          <w:szCs w:val="22"/>
        </w:rPr>
        <w:t xml:space="preserve">At the time of inspection, the subject was single-tenant occupied. However, we were not provided with the lease agreement and terms. Therefore, we apply market terms to estimate market value for the subject.</w:t>
      </w:r>
    </w:p>
    <w:p w14:paraId="3AC40F0B" w14:textId="77777777" w:rsidR="008F0261" w:rsidRPr="008F0261" w:rsidRDefault="008F0261" w:rsidP="008F0261"/>
    <w:tbl>
      <w:tblPr>
        <w:tblW w:w="7200" w:type="dxa"/>
        <w:jc w:val="center"/>
        <w:tblBorders>
          <w:top w:val="single" w:sz="4" w:space="0" w:color="BFBFBF"/>
          <w:bottom w:val="single" w:sz="4" w:space="0" w:color="BFBFBF"/>
          <w:insideH w:val="single" w:sz="2" w:space="0" w:color="D9D9D9"/>
        </w:tblBorders>
        <w:tblLayout w:type="fixed"/>
        <w:tblCellMar>
          <w:left w:w="60" w:type="dxa"/>
          <w:right w:w="60" w:type="dxa"/>
        </w:tblCellMar>
      </w:tblPr>
      <w:tblGrid>
        <w:gridCol w:w="2600"/>
        <w:gridCol w:w="1300"/>
        <w:gridCol w:w="1000"/>
        <w:gridCol w:w="1300"/>
        <w:gridCol w:w="1000"/>
      </w:tblGrid>
      <w:tr>
        <w:trPr>
          <w:cantSplit/>
        </w:trPr>
        <w:tc>
          <w:tcPr>
            <w:tcW w:w="7200" w:type="dxa"/>
            <w:gridSpan w:val="5"/>
            <w:shd w:val="clear" w:color="auto" w:fill="005710"/>
            <w:vAlign w:val="center"/>
          </w:tcPr>
          <w:p>
            <w:pPr>
              <w:spacing w:before="0" w:after="0" w:line="240" w:lineRule="auto"/>
              <w:jc w:val="center"/>
            </w:pPr>
            <w:r>
              <w:rPr>
                <w:rFonts w:ascii="Arial" w:hAnsi="Arial" w:cs="Arial"/>
                <w:b/>
                <w:color w:val="FFFFFF"/>
                <w:sz w:val="16"/>
                <w:szCs w:val="16"/>
              </w:rPr>
              <w:t xml:space="preserve">Rent Roll</w:t>
            </w:r>
          </w:p>
        </w:tc>
      </w:tr>
      <w:tr>
        <w:trPr>
          <w:cantSplit/>
        </w:trPr>
        <w:tc>
          <w:tcPr>
            <w:tcW w:w="2600" w:type="dxa"/>
            <w:shd w:val="clear" w:color="auto" w:fill="808080"/>
            <w:vAlign w:val="center"/>
          </w:tcPr>
          <w:p>
            <w:pPr>
              <w:spacing w:before="0" w:after="0" w:line="240" w:lineRule="auto"/>
              <w:jc w:val="left"/>
            </w:pPr>
            <w:r>
              <w:rPr>
                <w:rFonts w:ascii="Arial" w:hAnsi="Arial" w:cs="Arial"/>
                <w:b/>
                <w:color w:val="FFFFFF"/>
                <w:sz w:val="14"/>
                <w:szCs w:val="14"/>
              </w:rPr>
              <w:t xml:space="preserve">Address</w:t>
            </w:r>
          </w:p>
        </w:tc>
        <w:tc>
          <w:tcPr>
            <w:tcW w:w="1300" w:type="dxa"/>
            <w:shd w:val="clear" w:color="auto" w:fill="808080"/>
            <w:vAlign w:val="center"/>
          </w:tcPr>
          <w:p>
            <w:pPr>
              <w:spacing w:before="0" w:after="0" w:line="240" w:lineRule="auto"/>
              <w:jc w:val="left"/>
            </w:pPr>
            <w:r>
              <w:rPr>
                <w:rFonts w:ascii="Arial" w:hAnsi="Arial" w:cs="Arial"/>
                <w:b/>
                <w:color w:val="FFFFFF"/>
                <w:sz w:val="14"/>
                <w:szCs w:val="14"/>
              </w:rPr>
              <w:t xml:space="preserve">Rental Rate</w:t>
            </w:r>
          </w:p>
        </w:tc>
        <w:tc>
          <w:tcPr>
            <w:tcW w:w="1000" w:type="dxa"/>
            <w:shd w:val="clear" w:color="auto" w:fill="808080"/>
            <w:vAlign w:val="center"/>
          </w:tcPr>
          <w:p>
            <w:pPr>
              <w:spacing w:before="0" w:after="0" w:line="240" w:lineRule="auto"/>
              <w:jc w:val="left"/>
            </w:pPr>
            <w:r>
              <w:rPr>
                <w:rFonts w:ascii="Arial" w:hAnsi="Arial" w:cs="Arial"/>
                <w:b/>
                <w:color w:val="FFFFFF"/>
                <w:sz w:val="14"/>
                <w:szCs w:val="14"/>
              </w:rPr>
              <w:t xml:space="preserve">Type</w:t>
            </w:r>
          </w:p>
        </w:tc>
        <w:tc>
          <w:tcPr>
            <w:tcW w:w="1300" w:type="dxa"/>
            <w:shd w:val="clear" w:color="auto" w:fill="808080"/>
            <w:vAlign w:val="center"/>
          </w:tcPr>
          <w:p>
            <w:pPr>
              <w:spacing w:before="0" w:after="0" w:line="240" w:lineRule="auto"/>
              <w:jc w:val="left"/>
            </w:pPr>
            <w:r>
              <w:rPr>
                <w:rFonts w:ascii="Arial" w:hAnsi="Arial" w:cs="Arial"/>
                <w:b/>
                <w:color w:val="FFFFFF"/>
                <w:sz w:val="14"/>
                <w:szCs w:val="14"/>
              </w:rPr>
              <w:t xml:space="preserve">Start Date</w:t>
            </w:r>
          </w:p>
        </w:tc>
        <w:tc>
          <w:tcPr>
            <w:tcW w:w="1000" w:type="dxa"/>
            <w:shd w:val="clear" w:color="auto" w:fill="808080"/>
            <w:vAlign w:val="center"/>
          </w:tcPr>
          <w:p>
            <w:pPr>
              <w:spacing w:before="0" w:after="0" w:line="240" w:lineRule="auto"/>
              <w:jc w:val="left"/>
            </w:pPr>
            <w:r>
              <w:rPr>
                <w:rFonts w:ascii="Arial" w:hAnsi="Arial" w:cs="Arial"/>
                <w:b/>
                <w:color w:val="FFFFFF"/>
                <w:sz w:val="14"/>
                <w:szCs w:val="14"/>
              </w:rPr>
              <w:t xml:space="preserve">Size</w:t>
            </w:r>
          </w:p>
        </w:tc>
      </w:tr>
      <w:tr>
        <w:trPr>
          <w:cantSplit/>
        </w:trPr>
        <w:tc>
          <w:tcPr>
            <w:tcW w:w="2600" w:type="dxa"/>
            <w:vAlign w:val="center"/>
          </w:tcPr>
          <w:p>
            <w:pPr>
              <w:spacing w:before="0" w:after="0" w:line="240" w:lineRule="auto"/>
              <w:jc w:val="left"/>
            </w:pPr>
            <w:r>
              <w:rPr>
                <w:rFonts w:ascii="Arial" w:hAnsi="Arial" w:cs="Arial"/>
                <w:sz w:val="15"/>
                <w:szCs w:val="15"/>
              </w:rPr>
              <w:t xml:space="preserve">387 E 55th Ave</w:t>
            </w:r>
          </w:p>
        </w:tc>
        <w:tc>
          <w:tcPr>
            <w:tcW w:w="1300" w:type="dxa"/>
            <w:vAlign w:val="center"/>
          </w:tcPr>
          <w:p>
            <w:pPr>
              <w:spacing w:before="0" w:after="0" w:line="240" w:lineRule="auto"/>
              <w:jc w:val="left"/>
            </w:pPr>
            <w:r>
              <w:rPr>
                <w:rFonts w:ascii="Arial" w:hAnsi="Arial" w:cs="Arial"/>
                <w:sz w:val="15"/>
                <w:szCs w:val="15"/>
              </w:rPr>
              <w:t xml:space="preserve">Not provided</w:t>
            </w:r>
          </w:p>
        </w:tc>
        <w:tc>
          <w:tcPr>
            <w:tcW w:w="1000" w:type="dxa"/>
            <w:vAlign w:val="center"/>
          </w:tcPr>
          <w:p>
            <w:pPr>
              <w:spacing w:before="0" w:after="0" w:line="240" w:lineRule="auto"/>
              <w:jc w:val="left"/>
            </w:pPr>
            <w:r>
              <w:rPr>
                <w:rFonts w:ascii="Arial" w:hAnsi="Arial" w:cs="Arial"/>
                <w:sz w:val="15"/>
                <w:szCs w:val="15"/>
              </w:rPr>
              <w:t xml:space="preserve">N/A</w:t>
            </w:r>
          </w:p>
        </w:tc>
        <w:tc>
          <w:tcPr>
            <w:tcW w:w="1300" w:type="dxa"/>
            <w:vAlign w:val="center"/>
          </w:tcPr>
          <w:p>
            <w:pPr>
              <w:spacing w:before="0" w:after="0" w:line="240" w:lineRule="auto"/>
              <w:jc w:val="left"/>
            </w:pPr>
            <w:r>
              <w:rPr>
                <w:rFonts w:ascii="Arial" w:hAnsi="Arial" w:cs="Arial"/>
                <w:sz w:val="15"/>
                <w:szCs w:val="15"/>
              </w:rPr>
              <w:t xml:space="preserve">N/A</w:t>
            </w:r>
          </w:p>
        </w:tc>
        <w:tc>
          <w:tcPr>
            <w:tcW w:w="1000" w:type="dxa"/>
            <w:vAlign w:val="center"/>
          </w:tcPr>
          <w:p>
            <w:pPr>
              <w:spacing w:before="0" w:after="0" w:line="240" w:lineRule="auto"/>
              <w:jc w:val="right"/>
            </w:pPr>
            <w:r>
              <w:rPr>
                <w:rFonts w:ascii="Arial" w:hAnsi="Arial" w:cs="Arial"/>
                <w:sz w:val="15"/>
                <w:szCs w:val="15"/>
              </w:rPr>
              <w:t xml:space="preserve">2,800</w:t>
            </w:r>
          </w:p>
        </w:tc>
      </w:tr>
    </w:tbl>
    <w:p>
      <w:pPr>
        <w:spacing w:before="0" w:after="0"/>
      </w:pPr>
    </w:p>
    <w:p w14:paraId="5AC1174B" w14:textId="77777777" w:rsidR="008F0261" w:rsidRPr="008F0261" w:rsidRDefault="008F0261" w:rsidP="008F0261"/>
    <w:p>
      <w:pPr>
        <w:spacing w:before="120" w:after="120"/>
      </w:pPr>
      <w:r>
        <w:rPr>
          <w:sz w:val="20"/>
          <w:highlight w:val="yellow"/>
        </w:rPr>
        <w:t xml:space="preserve">[Lease comparables table – pending receipt of the rent comparables]</w:t>
      </w:r>
    </w:p>
    <w:p w14:paraId="50955FEC" w14:textId="1ED0E021" w:rsidR="00FA5365" w:rsidRDefault="00FA5365" w:rsidP="00FA5365">
      <w:pPr>
        <w:pStyle w:val="Heading3"/>
        <w:jc w:val="center"/>
      </w:pPr>
    </w:p>
    <w:p w14:paraId="56B26A9A" w14:textId="77777777" w:rsidR="00C535DD" w:rsidRPr="00C535DD" w:rsidRDefault="00C535DD" w:rsidP="00C535DD">
      <w:pPr>
        <w:spacing w:after="0" w:line="300" w:lineRule="atLeast"/>
        <w:jc w:val="left"/>
        <w:rPr>
          <w:rFonts w:ascii="Segoe UI" w:eastAsia="Times New Roman" w:hAnsi="Segoe UI" w:cs="Segoe UI"/>
          <w:sz w:val="21"/>
          <w:szCs w:val="21"/>
        </w:rPr>
      </w:pPr>
      <w:r>
        <w:rPr>
          <w:rFonts w:ascii="Segoe UI" w:eastAsia="Times New Roman" w:hAnsi="Segoe UI" w:cs="Segoe UI"/>
          <w:sz w:val="21"/>
          <w:szCs w:val="21"/>
          <w:highlight w:val="yellow"/>
        </w:rPr>
        <w:t xml:space="preserve">Rent comparables pending – the lease comparable table, rent discussion and adjustments will be completed when the rent comparables are received.</w:t>
      </w:r>
    </w:p>
    <w:p w14:paraId="5A96463D" w14:textId="77777777" w:rsidR="00FA5365" w:rsidRDefault="00FA5365" w:rsidP="00FA5365">
      <w:pPr>
        <w:pStyle w:val="Heading3"/>
      </w:pPr>
    </w:p>
    <w:p w14:paraId="1A98244D" w14:textId="77777777" w:rsidR="00677994" w:rsidRDefault="00677994" w:rsidP="00677994">
      <w:pPr>
        <w:spacing w:after="0" w:line="300" w:lineRule="atLeast"/>
        <w:jc w:val="left"/>
      </w:pPr>
    </w:p>
    <w:p w14:paraId="010ECF0B" w14:textId="77777777" w:rsidR="00D60EC4" w:rsidRDefault="00D60EC4" w:rsidP="00677994">
      <w:pPr>
        <w:spacing w:after="0" w:line="300" w:lineRule="atLeast"/>
        <w:jc w:val="left"/>
      </w:pPr>
    </w:p>
    <w:p w14:paraId="42586E27" w14:textId="77777777" w:rsidR="00D60EC4" w:rsidRDefault="00D60EC4" w:rsidP="00677994">
      <w:pPr>
        <w:spacing w:after="0" w:line="300" w:lineRule="atLeast"/>
        <w:jc w:val="left"/>
        <w:rPr>
          <w:sz w:val="20"/>
          <w:szCs w:val="20"/>
        </w:rPr>
      </w:pPr>
    </w:p>
    <w:p w14:paraId="52816B42" w14:textId="20B45EEF" w:rsidR="00A11719" w:rsidRDefault="00A11719" w:rsidP="00BB550B">
      <w:pPr>
        <w:spacing w:before="120"/>
        <w:rPr>
          <w:b/>
          <w:bCs/>
          <w:sz w:val="32"/>
          <w:szCs w:val="32"/>
        </w:rPr>
      </w:pPr>
    </w:p>
    <w:p w14:paraId="53B8EBFE" w14:textId="77777777" w:rsidR="00BB3227" w:rsidRDefault="00BB3227" w:rsidP="00BB550B">
      <w:pPr>
        <w:spacing w:before="120"/>
        <w:rPr>
          <w:rFonts w:ascii="Segoe UI" w:eastAsia="Times New Roman" w:hAnsi="Segoe UI" w:cs="Segoe UI"/>
          <w:sz w:val="21"/>
          <w:szCs w:val="21"/>
        </w:rPr>
      </w:pPr>
    </w:p>
    <w:p w14:paraId="3A88B0FB" w14:textId="42AAC74C" w:rsidR="00BB3227" w:rsidRDefault="00BB3227" w:rsidP="00BB3227">
      <w:pPr>
        <w:spacing w:before="120"/>
        <w:jc w:val="center"/>
        <w:rPr>
          <w:rFonts w:ascii="Segoe UI" w:eastAsia="Times New Roman" w:hAnsi="Segoe UI" w:cs="Segoe UI"/>
          <w:sz w:val="21"/>
          <w:szCs w:val="21"/>
        </w:rPr>
      </w:pPr>
    </w:p>
    <w:p w14:paraId="14A995E9" w14:textId="77777777" w:rsidR="00665A0C" w:rsidRDefault="00665A0C" w:rsidP="00BB3227">
      <w:pPr>
        <w:spacing w:before="120"/>
        <w:jc w:val="center"/>
        <w:rPr>
          <w:rFonts w:ascii="Segoe UI" w:eastAsia="Times New Roman" w:hAnsi="Segoe UI" w:cs="Segoe UI"/>
          <w:sz w:val="21"/>
          <w:szCs w:val="21"/>
        </w:rPr>
      </w:pPr>
    </w:p>
    <w:p w14:paraId="23D09BBF" w14:textId="77777777" w:rsidR="00665A0C" w:rsidRDefault="00665A0C" w:rsidP="00BB3227">
      <w:pPr>
        <w:spacing w:before="120"/>
        <w:jc w:val="center"/>
        <w:rPr>
          <w:rFonts w:ascii="Segoe UI" w:eastAsia="Times New Roman" w:hAnsi="Segoe UI" w:cs="Segoe UI"/>
          <w:sz w:val="21"/>
          <w:szCs w:val="21"/>
        </w:rPr>
      </w:pPr>
    </w:p>
    <w:p w14:paraId="6469CC5D" w14:textId="0ACD593A" w:rsidR="00665A0C" w:rsidRDefault="00665A0C" w:rsidP="00BB3227">
      <w:pPr>
        <w:spacing w:before="120"/>
        <w:jc w:val="center"/>
        <w:rPr>
          <w:noProof/>
        </w:rPr>
      </w:pPr>
    </w:p>
    <w:p>
      <w:pPr>
        <w:pageBreakBefore/>
        <w:spacing w:before="120" w:after="120"/>
      </w:pPr>
      <w:r>
        <w:rPr>
          <w:b/>
          <w:sz w:val="22"/>
        </w:rPr>
        <w:t xml:space="preserve">Comparable Rentals Map</w:t>
      </w:r>
    </w:p>
    <w:p w14:paraId="7CDD6A45" w14:textId="01AA1D75" w:rsidR="003A160F" w:rsidRDefault="00CC62E8" w:rsidP="003A160F">
      <w:pPr>
        <w:jc w:val="center"/>
      </w:pPr>
      <w:r>
        <w:rPr>
          <w:i/>
          <w:noProof/>
        </w:rPr>
        <w:drawing>
          <wp:inline distT="0" distB="0" distL="0" distR="0" wp14:anchorId="07A7D2B3" wp14:editId="392F223F">
            <wp:extent cx="5934710" cy="3959225"/>
            <wp:effectExtent l="0" t="0" r="8890" b="3175"/>
            <wp:docPr id="21182682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50" cstate="print">
                      <a:extLst>
                        <a:ext uri="{28A0092B-C50C-407E-A947-70E740481C1C}">
                          <a14:useLocalDpi xmlns:a14="http://schemas.microsoft.com/office/drawing/2010/main" val="0"/>
                        </a:ext>
                      </a:extLst>
                    </a:blip>
                    <a:srcRect/>
                    <a:stretch>
                      <a:fillRect/>
                    </a:stretch>
                  </pic:blipFill>
                  <pic:spPr bwMode="auto">
                    <a:xfrm>
                      <a:off x="0" y="0"/>
                      <a:ext cx="5934710" cy="3959225"/>
                    </a:xfrm>
                    <a:prstGeom prst="rect">
                      <a:avLst/>
                    </a:prstGeom>
                    <a:noFill/>
                    <a:ln>
                      <a:noFill/>
                    </a:ln>
                  </pic:spPr>
                </pic:pic>
              </a:graphicData>
            </a:graphic>
          </wp:inline>
        </w:drawing>
      </w:r>
    </w:p>
    <w:p>
      <w:pPr>
        <w:spacing w:before="120" w:after="120"/>
      </w:pPr>
      <w:r>
        <w:rPr>
          <w:sz w:val="20"/>
          <w:highlight w:val="yellow"/>
        </w:rPr>
        <w:t xml:space="preserve">[Income Capitalization Approach pro forma – pending receipt of the rent comparables]</w:t>
      </w:r>
    </w:p>
    <w:p w14:paraId="19AA0004" w14:textId="77777777" w:rsidR="00665A0C" w:rsidRDefault="00665A0C" w:rsidP="00BB3227">
      <w:pPr>
        <w:spacing w:before="120"/>
        <w:jc w:val="center"/>
        <w:rPr>
          <w:rFonts w:ascii="Segoe UI" w:eastAsia="Times New Roman" w:hAnsi="Segoe UI" w:cs="Segoe UI"/>
          <w:sz w:val="21"/>
          <w:szCs w:val="21"/>
        </w:rPr>
      </w:pPr>
    </w:p>
    <w:p w14:paraId="13A6F707" w14:textId="77777777" w:rsidR="00665A0C" w:rsidRDefault="00665A0C" w:rsidP="00665A0C">
      <w:pPr>
        <w:spacing w:before="120"/>
        <w:jc w:val="left"/>
        <w:rPr>
          <w:rFonts w:ascii="Segoe UI" w:eastAsia="Times New Roman" w:hAnsi="Segoe UI" w:cs="Segoe UI"/>
          <w:sz w:val="21"/>
          <w:szCs w:val="21"/>
        </w:rPr>
      </w:pPr>
    </w:p>
    <w:p w14:paraId="77CDE027" w14:textId="77777777" w:rsidR="00665A0C" w:rsidRDefault="00665A0C" w:rsidP="00BB3227">
      <w:pPr>
        <w:spacing w:before="120"/>
        <w:jc w:val="center"/>
        <w:rPr>
          <w:rFonts w:ascii="Segoe UI" w:eastAsia="Times New Roman" w:hAnsi="Segoe UI" w:cs="Segoe UI"/>
          <w:sz w:val="21"/>
          <w:szCs w:val="21"/>
        </w:rPr>
      </w:pPr>
    </w:p>
    <w:p w14:paraId="6CCBDD76" w14:textId="77777777" w:rsidR="00665A0C" w:rsidRDefault="00665A0C" w:rsidP="00BB3227">
      <w:pPr>
        <w:spacing w:before="120"/>
        <w:jc w:val="center"/>
        <w:rPr>
          <w:rFonts w:ascii="Segoe UI" w:eastAsia="Times New Roman" w:hAnsi="Segoe UI" w:cs="Segoe UI"/>
          <w:sz w:val="21"/>
          <w:szCs w:val="21"/>
        </w:rPr>
      </w:pPr>
    </w:p>
    <w:p w14:paraId="023B55E9" w14:textId="77777777" w:rsidR="00C535DD" w:rsidRDefault="00C535DD" w:rsidP="00BB3227">
      <w:pPr>
        <w:spacing w:before="120"/>
        <w:jc w:val="center"/>
        <w:rPr>
          <w:rFonts w:ascii="Segoe UI" w:eastAsia="Times New Roman" w:hAnsi="Segoe UI" w:cs="Segoe UI"/>
          <w:sz w:val="21"/>
          <w:szCs w:val="21"/>
        </w:rPr>
      </w:pPr>
    </w:p>
    <w:p w14:paraId="4A431546" w14:textId="77777777" w:rsidR="00C535DD" w:rsidRDefault="00C535DD" w:rsidP="00BB3227">
      <w:pPr>
        <w:spacing w:before="120"/>
        <w:jc w:val="center"/>
        <w:rPr>
          <w:rFonts w:ascii="Segoe UI" w:eastAsia="Times New Roman" w:hAnsi="Segoe UI" w:cs="Segoe UI"/>
          <w:sz w:val="21"/>
          <w:szCs w:val="21"/>
        </w:rPr>
      </w:pPr>
    </w:p>
    <w:p w14:paraId="6C939F1C" w14:textId="77777777" w:rsidR="00C535DD" w:rsidRDefault="00C535DD" w:rsidP="00BB3227">
      <w:pPr>
        <w:spacing w:before="120"/>
        <w:jc w:val="center"/>
        <w:rPr>
          <w:rFonts w:ascii="Segoe UI" w:eastAsia="Times New Roman" w:hAnsi="Segoe UI" w:cs="Segoe UI"/>
          <w:sz w:val="21"/>
          <w:szCs w:val="21"/>
        </w:rPr>
      </w:pPr>
    </w:p>
    <w:p w14:paraId="53A24549" w14:textId="77777777" w:rsidR="00665A0C" w:rsidRDefault="00665A0C" w:rsidP="00BB3227">
      <w:pPr>
        <w:spacing w:before="120"/>
        <w:jc w:val="center"/>
        <w:rPr>
          <w:rFonts w:ascii="Segoe UI" w:eastAsia="Times New Roman" w:hAnsi="Segoe UI" w:cs="Segoe UI"/>
          <w:sz w:val="21"/>
          <w:szCs w:val="21"/>
        </w:rPr>
      </w:pPr>
    </w:p>
    <w:p w14:paraId="7011B21C" w14:textId="77777777" w:rsidR="00C535DD" w:rsidRDefault="00C535DD" w:rsidP="00BB3227">
      <w:pPr>
        <w:spacing w:before="120"/>
        <w:jc w:val="center"/>
        <w:rPr>
          <w:rFonts w:ascii="Segoe UI" w:eastAsia="Times New Roman" w:hAnsi="Segoe UI" w:cs="Segoe UI"/>
          <w:sz w:val="21"/>
          <w:szCs w:val="21"/>
        </w:rPr>
      </w:pPr>
    </w:p>
    <w:p w14:paraId="2E3420EF" w14:textId="77777777" w:rsidR="00966F2E" w:rsidRDefault="00122087">
      <w:pPr>
        <w:pStyle w:val="Heading1"/>
      </w:pPr>
      <w:r>
        <w:rPr>
          <w:rFonts w:ascii="Segoe UI" w:hAnsi="Segoe UI"/>
        </w:rPr>
        <w:lastRenderedPageBreak/>
        <w:t>Cost Approach</w:t>
      </w:r>
    </w:p>
    <w:p w14:paraId="20E04126" w14:textId="46A61AB7" w:rsidR="00966F2E" w:rsidRDefault="00C535DD" w:rsidP="00F4247E">
      <w:pPr>
        <w:spacing w:after="0"/>
      </w:pPr>
      <w:r>
        <w:t xml:space="preserve">Considering the age and condition of the improvements, the cost approach was not developed. </w:t>
      </w:r>
    </w:p>
    <w:p w14:paraId="77BD36AB" w14:textId="3528F11C" w:rsidR="00BB0E37" w:rsidRDefault="00BB0E37" w:rsidP="00685350">
      <w:pPr>
        <w:pStyle w:val="Heading1"/>
        <w:jc w:val="center"/>
        <w:rPr>
          <w:rFonts w:ascii="Segoe UI" w:hAnsi="Segoe UI"/>
        </w:rPr>
      </w:pPr>
    </w:p>
    <w:p w14:paraId="322F293F" w14:textId="77777777" w:rsidR="00BB0E37" w:rsidRDefault="00BB0E37">
      <w:pPr>
        <w:pStyle w:val="Heading1"/>
        <w:rPr>
          <w:rFonts w:ascii="Segoe UI" w:hAnsi="Segoe UI"/>
        </w:rPr>
      </w:pPr>
    </w:p>
    <w:p w14:paraId="1183D8FE" w14:textId="77777777" w:rsidR="00BB0E37" w:rsidRDefault="00BB0E37">
      <w:pPr>
        <w:pStyle w:val="Heading1"/>
        <w:rPr>
          <w:rFonts w:ascii="Segoe UI" w:hAnsi="Segoe UI"/>
        </w:rPr>
      </w:pPr>
    </w:p>
    <w:p w14:paraId="31BED873" w14:textId="77777777" w:rsidR="00BB0E37" w:rsidRPr="00BB0E37" w:rsidRDefault="00BB0E37" w:rsidP="00BB0E37"/>
    <w:p w14:paraId="3A8C82A1" w14:textId="77777777" w:rsidR="009C2D63" w:rsidRDefault="009C2D63" w:rsidP="00D347A2">
      <w:pPr>
        <w:rPr>
          <w:b/>
          <w:bCs/>
          <w:sz w:val="32"/>
          <w:szCs w:val="32"/>
        </w:rPr>
      </w:pPr>
    </w:p>
    <w:p w14:paraId="26945054" w14:textId="77777777" w:rsidR="009C2D63" w:rsidRDefault="009C2D63" w:rsidP="00D347A2">
      <w:pPr>
        <w:rPr>
          <w:b/>
          <w:bCs/>
          <w:sz w:val="32"/>
          <w:szCs w:val="32"/>
        </w:rPr>
      </w:pPr>
    </w:p>
    <w:p w14:paraId="302DDAC1" w14:textId="77777777" w:rsidR="009C2D63" w:rsidRDefault="009C2D63" w:rsidP="00D347A2">
      <w:pPr>
        <w:rPr>
          <w:b/>
          <w:bCs/>
          <w:sz w:val="32"/>
          <w:szCs w:val="32"/>
        </w:rPr>
      </w:pPr>
    </w:p>
    <w:p w14:paraId="7E15B9C3" w14:textId="77777777" w:rsidR="009C2D63" w:rsidRDefault="009C2D63" w:rsidP="00D347A2">
      <w:pPr>
        <w:rPr>
          <w:b/>
          <w:bCs/>
          <w:sz w:val="32"/>
          <w:szCs w:val="32"/>
        </w:rPr>
      </w:pPr>
    </w:p>
    <w:p w14:paraId="4B50C6D5" w14:textId="77777777" w:rsidR="009C2D63" w:rsidRDefault="009C2D63" w:rsidP="00D347A2">
      <w:pPr>
        <w:rPr>
          <w:b/>
          <w:bCs/>
          <w:sz w:val="32"/>
          <w:szCs w:val="32"/>
        </w:rPr>
      </w:pPr>
    </w:p>
    <w:p w14:paraId="1E3E9C5F" w14:textId="77777777" w:rsidR="009C2D63" w:rsidRDefault="009C2D63" w:rsidP="00D347A2">
      <w:pPr>
        <w:rPr>
          <w:b/>
          <w:bCs/>
          <w:sz w:val="32"/>
          <w:szCs w:val="32"/>
        </w:rPr>
      </w:pPr>
    </w:p>
    <w:p w14:paraId="5264EC94" w14:textId="77777777" w:rsidR="009C2D63" w:rsidRDefault="009C2D63" w:rsidP="00D347A2">
      <w:pPr>
        <w:rPr>
          <w:b/>
          <w:bCs/>
          <w:sz w:val="32"/>
          <w:szCs w:val="32"/>
        </w:rPr>
      </w:pPr>
    </w:p>
    <w:p w14:paraId="71C29E95" w14:textId="77777777" w:rsidR="009C2D63" w:rsidRDefault="009C2D63" w:rsidP="00D347A2">
      <w:pPr>
        <w:rPr>
          <w:b/>
          <w:bCs/>
          <w:sz w:val="32"/>
          <w:szCs w:val="32"/>
        </w:rPr>
      </w:pPr>
    </w:p>
    <w:p w14:paraId="1409CC99" w14:textId="77777777" w:rsidR="009C2D63" w:rsidRDefault="009C2D63" w:rsidP="00D347A2">
      <w:pPr>
        <w:rPr>
          <w:b/>
          <w:bCs/>
          <w:sz w:val="32"/>
          <w:szCs w:val="32"/>
        </w:rPr>
      </w:pPr>
    </w:p>
    <w:p w14:paraId="70302C35" w14:textId="77777777" w:rsidR="009C2D63" w:rsidRDefault="009C2D63" w:rsidP="00D347A2">
      <w:pPr>
        <w:rPr>
          <w:b/>
          <w:bCs/>
          <w:sz w:val="32"/>
          <w:szCs w:val="32"/>
        </w:rPr>
      </w:pPr>
    </w:p>
    <w:p w14:paraId="06F6DCE1" w14:textId="77777777" w:rsidR="009C2D63" w:rsidRDefault="009C2D63" w:rsidP="00D347A2">
      <w:pPr>
        <w:rPr>
          <w:b/>
          <w:bCs/>
          <w:sz w:val="32"/>
          <w:szCs w:val="32"/>
        </w:rPr>
      </w:pPr>
    </w:p>
    <w:p w14:paraId="600B7F9E" w14:textId="77777777" w:rsidR="00F4247E" w:rsidRDefault="00F4247E" w:rsidP="00D347A2">
      <w:pPr>
        <w:rPr>
          <w:b/>
          <w:bCs/>
          <w:sz w:val="32"/>
          <w:szCs w:val="32"/>
        </w:rPr>
      </w:pPr>
    </w:p>
    <w:p w14:paraId="0D64D2D9" w14:textId="77777777" w:rsidR="00F4247E" w:rsidRDefault="00F4247E" w:rsidP="00D347A2">
      <w:pPr>
        <w:rPr>
          <w:b/>
          <w:bCs/>
          <w:sz w:val="32"/>
          <w:szCs w:val="32"/>
        </w:rPr>
      </w:pPr>
    </w:p>
    <w:p w14:paraId="56EA8517" w14:textId="77777777" w:rsidR="00C535DD" w:rsidRDefault="00C535DD" w:rsidP="00D347A2">
      <w:pPr>
        <w:rPr>
          <w:b/>
          <w:bCs/>
          <w:sz w:val="32"/>
          <w:szCs w:val="32"/>
        </w:rPr>
      </w:pPr>
    </w:p>
    <w:p w14:paraId="7B477A0E" w14:textId="77777777" w:rsidR="00C535DD" w:rsidRDefault="00C535DD" w:rsidP="00D347A2">
      <w:pPr>
        <w:rPr>
          <w:b/>
          <w:bCs/>
          <w:sz w:val="32"/>
          <w:szCs w:val="32"/>
        </w:rPr>
      </w:pPr>
    </w:p>
    <w:p w14:paraId="3C294B69" w14:textId="5EFD63B9" w:rsidR="00D347A2" w:rsidRDefault="00F4247E" w:rsidP="00D347A2">
      <w:pPr>
        <w:rPr>
          <w:b/>
          <w:bCs/>
          <w:sz w:val="32"/>
          <w:szCs w:val="32"/>
        </w:rPr>
      </w:pPr>
      <w:r>
        <w:rPr>
          <w:b/>
          <w:bCs/>
          <w:sz w:val="32"/>
          <w:szCs w:val="32"/>
        </w:rPr>
        <w:lastRenderedPageBreak/>
        <w:t>Reconciliation of Value</w:t>
      </w:r>
    </w:p>
    <w:p w14:paraId="1CE0B911" w14:textId="48B01D15" w:rsidR="00F4247E" w:rsidRDefault="00F4247E" w:rsidP="00F4247E">
      <w:pPr>
        <w:spacing w:after="0"/>
      </w:pPr>
      <w:r>
        <w:t xml:space="preserve">The Cost Approach was considered but not developed. The subject property was originally constructed in 1982, which makes depreciation difficult to quantify credibly. The exclusion of the Cost Approach is further supported by the subject’s remaining economic life being less than 20 years. For these reasons, the Cost Approach has been excluded from this analysis.</w:t>
      </w:r>
    </w:p>
    <w:p w14:paraId="1DBB60C3" w14:textId="77777777" w:rsidR="00F4247E" w:rsidRPr="00F4247E" w:rsidRDefault="00F4247E" w:rsidP="00F4247E">
      <w:pPr>
        <w:spacing w:after="0"/>
      </w:pPr>
    </w:p>
    <w:p w14:paraId="38444449" w14:textId="2E493B85" w:rsidR="00C535DD" w:rsidRPr="00C535DD" w:rsidRDefault="00C535DD" w:rsidP="00C535DD">
      <w:pPr>
        <w:pStyle w:val="NormalWeb"/>
        <w:spacing w:line="300" w:lineRule="atLeast"/>
        <w:rPr>
          <w:rFonts w:asciiTheme="minorHAnsi" w:eastAsiaTheme="minorHAnsi" w:hAnsiTheme="minorHAnsi" w:cstheme="minorBidi"/>
          <w:sz w:val="22"/>
          <w:szCs w:val="22"/>
        </w:rPr>
      </w:pPr>
      <w:r>
        <w:rPr>
          <w:rFonts w:asciiTheme="minorHAnsi" w:eastAsiaTheme="minorHAnsi" w:hAnsiTheme="minorHAnsi" w:cstheme="minorBidi"/>
          <w:sz w:val="22"/>
          <w:szCs w:val="22"/>
        </w:rPr>
        <w:t>The Sales Comparison Approach is given primary consideration in this analysis. Although the subject is currently tenant</w:t>
        <w:noBreakHyphen/>
        <w:t>occupied, the most likely purchaser—and the ideal long</w:t>
        <w:noBreakHyphen/>
        <w:t>term user—of this light industrial service garage is an owner</w:t>
        <w:noBreakHyphen/>
        <w:t xml:space="preserve">user. Considering owner</w:t>
        <w:noBreakHyphen/>
        <w:t>users typically rely more heavily on market sales data when making purchase decisions, this approach is the most reflective of buyer behavior for this property type. Adequate comparable sales within the subject’s market area were available, providing reliable insight into the fee simple market value of the subject.</w:t>
      </w:r>
    </w:p>
    <w:p w14:paraId="2DFC71B2" w14:textId="77777777" w:rsidR="00C535DD" w:rsidRPr="00C535DD" w:rsidRDefault="00C535DD" w:rsidP="00C535DD">
      <w:pPr>
        <w:pStyle w:val="NormalWeb"/>
        <w:spacing w:line="300" w:lineRule="atLeast"/>
        <w:rPr>
          <w:rFonts w:asciiTheme="minorHAnsi" w:eastAsiaTheme="minorHAnsi" w:hAnsiTheme="minorHAnsi" w:cstheme="minorBidi"/>
          <w:sz w:val="22"/>
          <w:szCs w:val="22"/>
        </w:rPr>
      </w:pPr>
      <w:r>
        <w:rPr>
          <w:rFonts w:asciiTheme="minorHAnsi" w:eastAsiaTheme="minorHAnsi" w:hAnsiTheme="minorHAnsi" w:cstheme="minorBidi"/>
          <w:sz w:val="22"/>
          <w:szCs w:val="22"/>
        </w:rPr>
        <w:t>The Income Capitalization Approach was also considered and developed. Sufficient comparable leases were available to support a stabilized rental rate for the property, and third</w:t>
        <w:noBreakHyphen/>
        <w:t>party market data was used to determine an appropriate vacancy rate and capitalization rate. While the income approach provides useful secondary support for value, it is given less emphasis than the Sales Comparison Approach due to the subject’s owner</w:t>
        <w:noBreakHyphen/>
        <w:t>user appeal.</w:t>
      </w:r>
    </w:p>
    <w:p w14:paraId="4D3908ED" w14:textId="77777777" w:rsidR="00F4247E" w:rsidRDefault="00F4247E" w:rsidP="00D347A2">
      <w:pPr>
        <w:rPr>
          <w:b/>
          <w:bCs/>
          <w:sz w:val="32"/>
          <w:szCs w:val="32"/>
        </w:rPr>
      </w:pPr>
    </w:p>
    <w:tbl>
      <w:tblPr>
        <w:tblW w:w="6200" w:type="dxa"/>
        <w:jc w:val="center"/>
        <w:tblBorders>
          <w:top w:val="single" w:sz="4" w:space="0" w:color="BFBFBF"/>
          <w:bottom w:val="single" w:sz="4" w:space="0" w:color="BFBFBF"/>
          <w:insideH w:val="single" w:sz="2" w:space="0" w:color="D9D9D9"/>
        </w:tblBorders>
        <w:tblLayout w:type="fixed"/>
        <w:tblCellMar>
          <w:left w:w="60" w:type="dxa"/>
          <w:right w:w="60" w:type="dxa"/>
        </w:tblCellMar>
      </w:tblPr>
      <w:tblGrid>
        <w:gridCol w:w="4200"/>
        <w:gridCol w:w="2000"/>
      </w:tblGrid>
      <w:tr>
        <w:trPr>
          <w:cantSplit/>
        </w:trPr>
        <w:tc>
          <w:tcPr>
            <w:tcW w:w="4200" w:type="dxa"/>
            <w:shd w:val="clear" w:color="auto" w:fill="4F6228"/>
            <w:vAlign w:val="center"/>
          </w:tcPr>
          <w:p>
            <w:pPr>
              <w:spacing w:before="0" w:after="0" w:line="240" w:lineRule="auto"/>
              <w:jc w:val="left"/>
            </w:pPr>
            <w:r>
              <w:rPr>
                <w:rFonts w:ascii="Arial" w:hAnsi="Arial" w:cs="Arial"/>
                <w:b/>
                <w:color w:val="FFFFFF"/>
                <w:sz w:val="16"/>
                <w:szCs w:val="16"/>
              </w:rPr>
              <w:t xml:space="preserve">Approach</w:t>
            </w:r>
          </w:p>
        </w:tc>
        <w:tc>
          <w:tcPr>
            <w:tcW w:w="2000" w:type="dxa"/>
            <w:shd w:val="clear" w:color="auto" w:fill="4F6228"/>
            <w:vAlign w:val="center"/>
          </w:tcPr>
          <w:p>
            <w:pPr>
              <w:spacing w:before="0" w:after="0" w:line="240" w:lineRule="auto"/>
              <w:jc w:val="right"/>
            </w:pPr>
            <w:r>
              <w:rPr>
                <w:rFonts w:ascii="Arial" w:hAnsi="Arial" w:cs="Arial"/>
                <w:b/>
                <w:color w:val="FFFFFF"/>
                <w:sz w:val="16"/>
                <w:szCs w:val="16"/>
              </w:rPr>
              <w:t xml:space="preserve">Indicated Value</w:t>
            </w:r>
          </w:p>
        </w:tc>
      </w:tr>
      <w:tr>
        <w:trPr>
          <w:cantSplit/>
        </w:trPr>
        <w:tc>
          <w:tcPr>
            <w:tcW w:w="4200" w:type="dxa"/>
            <w:vAlign w:val="center"/>
          </w:tcPr>
          <w:p>
            <w:pPr>
              <w:spacing w:before="0" w:after="0" w:line="240" w:lineRule="auto"/>
              <w:jc w:val="left"/>
            </w:pPr>
            <w:r>
              <w:rPr>
                <w:rFonts w:ascii="Arial" w:hAnsi="Arial" w:cs="Arial"/>
                <w:sz w:val="16"/>
                <w:szCs w:val="16"/>
              </w:rPr>
              <w:t xml:space="preserve">Cost Approach</w:t>
            </w:r>
          </w:p>
        </w:tc>
        <w:tc>
          <w:tcPr>
            <w:tcW w:w="2000" w:type="dxa"/>
            <w:vAlign w:val="center"/>
          </w:tcPr>
          <w:p>
            <w:pPr>
              <w:spacing w:before="0" w:after="0" w:line="240" w:lineRule="auto"/>
              <w:jc w:val="right"/>
            </w:pPr>
            <w:r>
              <w:rPr>
                <w:rFonts w:ascii="Arial" w:hAnsi="Arial" w:cs="Arial"/>
                <w:sz w:val="16"/>
                <w:szCs w:val="16"/>
              </w:rPr>
              <w:t xml:space="preserve">Not Developed</w:t>
            </w:r>
          </w:p>
        </w:tc>
      </w:tr>
      <w:tr>
        <w:trPr>
          <w:cantSplit/>
        </w:trPr>
        <w:tc>
          <w:tcPr>
            <w:tcW w:w="4200" w:type="dxa"/>
            <w:vAlign w:val="center"/>
          </w:tcPr>
          <w:p>
            <w:pPr>
              <w:spacing w:before="0" w:after="0" w:line="240" w:lineRule="auto"/>
              <w:jc w:val="left"/>
            </w:pPr>
            <w:r>
              <w:rPr>
                <w:rFonts w:ascii="Arial" w:hAnsi="Arial" w:cs="Arial"/>
                <w:sz w:val="16"/>
                <w:szCs w:val="16"/>
              </w:rPr>
              <w:t xml:space="preserve">Sales Comparison Approach</w:t>
            </w:r>
          </w:p>
        </w:tc>
        <w:tc>
          <w:tcPr>
            <w:tcW w:w="2000" w:type="dxa"/>
            <w:vAlign w:val="center"/>
          </w:tcPr>
          <w:p>
            <w:pPr>
              <w:spacing w:before="0" w:after="0" w:line="240" w:lineRule="auto"/>
              <w:jc w:val="right"/>
            </w:pPr>
            <w:r>
              <w:rPr>
                <w:rFonts w:ascii="Arial" w:hAnsi="Arial" w:cs="Arial"/>
                <w:sz w:val="16"/>
                <w:szCs w:val="16"/>
              </w:rPr>
              <w:t xml:space="preserve">$1,065,000</w:t>
            </w:r>
          </w:p>
        </w:tc>
      </w:tr>
      <w:tr>
        <w:trPr>
          <w:cantSplit/>
        </w:trPr>
        <w:tc>
          <w:tcPr>
            <w:tcW w:w="4200" w:type="dxa"/>
            <w:vAlign w:val="center"/>
          </w:tcPr>
          <w:p>
            <w:pPr>
              <w:spacing w:before="0" w:after="0" w:line="240" w:lineRule="auto"/>
              <w:jc w:val="left"/>
            </w:pPr>
            <w:r>
              <w:rPr>
                <w:rFonts w:ascii="Arial" w:hAnsi="Arial" w:cs="Arial"/>
                <w:sz w:val="16"/>
                <w:szCs w:val="16"/>
              </w:rPr>
              <w:t xml:space="preserve">Income Capitalization Approach</w:t>
            </w:r>
          </w:p>
        </w:tc>
        <w:tc>
          <w:tcPr>
            <w:tcW w:w="2000" w:type="dxa"/>
            <w:vAlign w:val="center"/>
          </w:tcPr>
          <w:p>
            <w:pPr>
              <w:spacing w:before="0" w:after="0" w:line="240" w:lineRule="auto"/>
              <w:jc w:val="right"/>
            </w:pPr>
            <w:r>
              <w:rPr>
                <w:rFonts w:ascii="Arial" w:hAnsi="Arial" w:cs="Arial"/>
                <w:sz w:val="16"/>
                <w:szCs w:val="16"/>
                <w:highlight w:val="yellow"/>
              </w:rPr>
              <w:t xml:space="preserve">Pending</w:t>
            </w:r>
          </w:p>
        </w:tc>
      </w:tr>
    </w:tbl>
    <w:p>
      <w:pPr>
        <w:spacing w:before="0" w:after="0"/>
      </w:pPr>
    </w:p>
    <w:tbl>
      <w:tblPr>
        <w:tblW w:w="6000" w:type="dxa"/>
        <w:jc w:val="center"/>
        <w:tblBorders>
          <w:top w:val="single" w:sz="4" w:space="0" w:color="BFBFBF"/>
          <w:bottom w:val="single" w:sz="4" w:space="0" w:color="BFBFBF"/>
          <w:insideH w:val="single" w:sz="2" w:space="0" w:color="D9D9D9"/>
        </w:tblBorders>
        <w:tblLayout w:type="fixed"/>
        <w:tblCellMar>
          <w:left w:w="60" w:type="dxa"/>
          <w:right w:w="60" w:type="dxa"/>
        </w:tblCellMar>
      </w:tblPr>
      <w:tblGrid>
        <w:gridCol w:w="3600"/>
        <w:gridCol w:w="2400"/>
      </w:tblGrid>
      <w:tr>
        <w:trPr>
          <w:cantSplit/>
        </w:trPr>
        <w:tc>
          <w:tcPr>
            <w:tcW w:w="6000" w:type="dxa"/>
            <w:gridSpan w:val="2"/>
            <w:vAlign w:val="center"/>
          </w:tcPr>
          <w:p>
            <w:pPr>
              <w:spacing w:before="0" w:after="0" w:line="240" w:lineRule="auto"/>
              <w:jc w:val="left"/>
            </w:pPr>
            <w:r>
              <w:rPr>
                <w:rFonts w:ascii="Arial" w:hAnsi="Arial" w:cs="Arial"/>
                <w:b/>
                <w:sz w:val="16"/>
                <w:szCs w:val="16"/>
              </w:rPr>
              <w:t xml:space="preserve">Value Conclusion</w:t>
            </w:r>
          </w:p>
        </w:tc>
      </w:tr>
      <w:tr>
        <w:trPr>
          <w:cantSplit/>
        </w:trPr>
        <w:tc>
          <w:tcPr>
            <w:tcW w:w="3600" w:type="dxa"/>
            <w:shd w:val="clear" w:color="auto" w:fill="4F6228"/>
            <w:vAlign w:val="center"/>
          </w:tcPr>
          <w:p>
            <w:pPr>
              <w:spacing w:before="0" w:after="0" w:line="240" w:lineRule="auto"/>
              <w:jc w:val="left"/>
            </w:pPr>
            <w:r>
              <w:rPr>
                <w:rFonts w:ascii="Arial" w:hAnsi="Arial" w:cs="Arial"/>
                <w:b/>
                <w:color w:val="FFFFFF"/>
                <w:sz w:val="16"/>
                <w:szCs w:val="16"/>
              </w:rPr>
              <w:t xml:space="preserve">Component</w:t>
            </w:r>
          </w:p>
        </w:tc>
        <w:tc>
          <w:tcPr>
            <w:tcW w:w="2400" w:type="dxa"/>
            <w:shd w:val="clear" w:color="auto" w:fill="4F6228"/>
            <w:vAlign w:val="center"/>
          </w:tcPr>
          <w:p>
            <w:pPr>
              <w:spacing w:before="0" w:after="0" w:line="240" w:lineRule="auto"/>
              <w:jc w:val="right"/>
            </w:pPr>
            <w:r>
              <w:rPr>
                <w:rFonts w:ascii="Arial" w:hAnsi="Arial" w:cs="Arial"/>
                <w:b/>
                <w:color w:val="FFFFFF"/>
                <w:sz w:val="16"/>
                <w:szCs w:val="16"/>
              </w:rPr>
              <w:t xml:space="preserve">Retrospective</w:t>
            </w:r>
          </w:p>
        </w:tc>
      </w:tr>
      <w:tr>
        <w:trPr>
          <w:cantSplit/>
        </w:trPr>
        <w:tc>
          <w:tcPr>
            <w:tcW w:w="3600" w:type="dxa"/>
            <w:vAlign w:val="center"/>
          </w:tcPr>
          <w:p>
            <w:pPr>
              <w:spacing w:before="0" w:after="0" w:line="240" w:lineRule="auto"/>
              <w:jc w:val="left"/>
            </w:pPr>
            <w:r>
              <w:rPr>
                <w:rFonts w:ascii="Arial" w:hAnsi="Arial" w:cs="Arial"/>
                <w:sz w:val="16"/>
                <w:szCs w:val="16"/>
              </w:rPr>
              <w:t xml:space="preserve">Value Type</w:t>
            </w:r>
          </w:p>
        </w:tc>
        <w:tc>
          <w:tcPr>
            <w:tcW w:w="2400" w:type="dxa"/>
            <w:vAlign w:val="center"/>
          </w:tcPr>
          <w:p>
            <w:pPr>
              <w:spacing w:before="0" w:after="0" w:line="240" w:lineRule="auto"/>
              <w:jc w:val="right"/>
            </w:pPr>
            <w:r>
              <w:rPr>
                <w:rFonts w:ascii="Arial" w:hAnsi="Arial" w:cs="Arial"/>
                <w:sz w:val="16"/>
                <w:szCs w:val="16"/>
              </w:rPr>
              <w:t xml:space="preserve">Market Value</w:t>
            </w:r>
          </w:p>
        </w:tc>
      </w:tr>
      <w:tr>
        <w:trPr>
          <w:cantSplit/>
        </w:trPr>
        <w:tc>
          <w:tcPr>
            <w:tcW w:w="3600" w:type="dxa"/>
            <w:vAlign w:val="center"/>
          </w:tcPr>
          <w:p>
            <w:pPr>
              <w:spacing w:before="0" w:after="0" w:line="240" w:lineRule="auto"/>
              <w:jc w:val="left"/>
            </w:pPr>
            <w:r>
              <w:rPr>
                <w:rFonts w:ascii="Arial" w:hAnsi="Arial" w:cs="Arial"/>
                <w:sz w:val="16"/>
                <w:szCs w:val="16"/>
              </w:rPr>
              <w:t xml:space="preserve">Real Property Interest</w:t>
            </w:r>
          </w:p>
        </w:tc>
        <w:tc>
          <w:tcPr>
            <w:tcW w:w="2400" w:type="dxa"/>
            <w:vAlign w:val="center"/>
          </w:tcPr>
          <w:p>
            <w:pPr>
              <w:spacing w:before="0" w:after="0" w:line="240" w:lineRule="auto"/>
              <w:jc w:val="right"/>
            </w:pPr>
            <w:r>
              <w:rPr>
                <w:rFonts w:ascii="Arial" w:hAnsi="Arial" w:cs="Arial"/>
                <w:sz w:val="16"/>
                <w:szCs w:val="16"/>
              </w:rPr>
              <w:t xml:space="preserve">Fee Simple</w:t>
            </w:r>
          </w:p>
        </w:tc>
      </w:tr>
      <w:tr>
        <w:trPr>
          <w:cantSplit/>
        </w:trPr>
        <w:tc>
          <w:tcPr>
            <w:tcW w:w="3600" w:type="dxa"/>
            <w:vAlign w:val="center"/>
          </w:tcPr>
          <w:p>
            <w:pPr>
              <w:spacing w:before="0" w:after="0" w:line="240" w:lineRule="auto"/>
              <w:jc w:val="left"/>
            </w:pPr>
            <w:r>
              <w:rPr>
                <w:rFonts w:ascii="Arial" w:hAnsi="Arial" w:cs="Arial"/>
                <w:sz w:val="16"/>
                <w:szCs w:val="16"/>
              </w:rPr>
              <w:t xml:space="preserve">Effective Date of Value</w:t>
            </w:r>
          </w:p>
        </w:tc>
        <w:tc>
          <w:tcPr>
            <w:tcW w:w="2400" w:type="dxa"/>
            <w:vAlign w:val="center"/>
          </w:tcPr>
          <w:p>
            <w:pPr>
              <w:spacing w:before="0" w:after="0" w:line="240" w:lineRule="auto"/>
              <w:jc w:val="right"/>
            </w:pPr>
            <w:r>
              <w:rPr>
                <w:rFonts w:ascii="Arial" w:hAnsi="Arial" w:cs="Arial"/>
                <w:sz w:val="16"/>
                <w:szCs w:val="16"/>
              </w:rPr>
              <w:t xml:space="preserve">June 30, 2024</w:t>
            </w:r>
          </w:p>
        </w:tc>
      </w:tr>
      <w:tr>
        <w:trPr>
          <w:cantSplit/>
        </w:trPr>
        <w:tc>
          <w:tcPr>
            <w:tcW w:w="3600" w:type="dxa"/>
            <w:vAlign w:val="center"/>
          </w:tcPr>
          <w:p>
            <w:pPr>
              <w:spacing w:before="0" w:after="0" w:line="240" w:lineRule="auto"/>
              <w:jc w:val="left"/>
            </w:pPr>
            <w:r>
              <w:rPr>
                <w:rFonts w:ascii="Arial" w:hAnsi="Arial" w:cs="Arial"/>
                <w:b/>
                <w:sz w:val="16"/>
                <w:szCs w:val="16"/>
              </w:rPr>
              <w:t xml:space="preserve">Value Conclusion</w:t>
            </w:r>
          </w:p>
        </w:tc>
        <w:tc>
          <w:tcPr>
            <w:tcW w:w="2400" w:type="dxa"/>
            <w:vAlign w:val="center"/>
          </w:tcPr>
          <w:p>
            <w:pPr>
              <w:spacing w:before="0" w:after="0" w:line="240" w:lineRule="auto"/>
              <w:jc w:val="right"/>
            </w:pPr>
            <w:r>
              <w:rPr>
                <w:rFonts w:ascii="Arial" w:hAnsi="Arial" w:cs="Arial"/>
                <w:b/>
                <w:sz w:val="16"/>
                <w:szCs w:val="16"/>
                <w:highlight w:val="yellow"/>
              </w:rPr>
              <w:t xml:space="preserve">$1,070,000</w:t>
            </w:r>
          </w:p>
        </w:tc>
      </w:tr>
    </w:tbl>
    <w:p w14:paraId="724E84D9" w14:textId="4409650F" w:rsidR="00D347A2" w:rsidRDefault="00D347A2" w:rsidP="00685350">
      <w:pPr>
        <w:jc w:val="center"/>
        <w:rPr>
          <w:b/>
          <w:bCs/>
          <w:sz w:val="32"/>
          <w:szCs w:val="32"/>
        </w:rPr>
      </w:pPr>
    </w:p>
    <w:p w14:paraId="7327A60E" w14:textId="77777777" w:rsidR="00F4247E" w:rsidRDefault="00F4247E" w:rsidP="00685350">
      <w:pPr>
        <w:jc w:val="center"/>
        <w:rPr>
          <w:b/>
          <w:bCs/>
          <w:sz w:val="32"/>
          <w:szCs w:val="32"/>
        </w:rPr>
      </w:pPr>
    </w:p>
    <w:p w14:paraId="3461516E" w14:textId="77777777" w:rsidR="00F4247E" w:rsidRDefault="00F4247E" w:rsidP="00685350">
      <w:pPr>
        <w:jc w:val="center"/>
        <w:rPr>
          <w:b/>
          <w:bCs/>
          <w:sz w:val="32"/>
          <w:szCs w:val="32"/>
        </w:rPr>
      </w:pPr>
    </w:p>
    <w:p w14:paraId="489CE0B7" w14:textId="77777777" w:rsidR="00F4247E" w:rsidRDefault="00F4247E" w:rsidP="00685350">
      <w:pPr>
        <w:jc w:val="center"/>
        <w:rPr>
          <w:b/>
          <w:bCs/>
          <w:sz w:val="32"/>
          <w:szCs w:val="32"/>
        </w:rPr>
      </w:pPr>
    </w:p>
    <w:p w14:paraId="2C24AA29" w14:textId="3E0FD359" w:rsidR="003A3F31" w:rsidRDefault="00BB550B" w:rsidP="00BB550B">
      <w:pPr>
        <w:pStyle w:val="Heading1"/>
      </w:pPr>
      <w:bookmarkStart w:id="24" w:name="_Toc210134095"/>
      <w:bookmarkStart w:id="25" w:name="_Toc228359493"/>
      <w:r>
        <w:lastRenderedPageBreak/>
        <w:t>Certification</w:t>
      </w:r>
      <w:bookmarkEnd w:id="24"/>
      <w:bookmarkEnd w:id="25"/>
    </w:p>
    <w:p w14:paraId="15A0C0E3" w14:textId="77777777" w:rsidR="00BD244D" w:rsidRDefault="00BD244D" w:rsidP="00BD244D">
      <w:r>
        <w:t xml:space="preserve">The undersigned do hereby certify that, to the best of our knowledge and belief: </w:t>
      </w:r>
    </w:p>
    <w:p w14:paraId="53147DB6" w14:textId="77777777" w:rsidR="00BD244D" w:rsidRPr="001418AD" w:rsidRDefault="00BD244D" w:rsidP="00BD244D">
      <w:r>
        <w:t>• To the best of my knowledge, the statements of fact contained in this report are true and correct.</w:t>
      </w:r>
    </w:p>
    <w:p w14:paraId="54278043" w14:textId="77777777" w:rsidR="00BD244D" w:rsidRPr="001418AD" w:rsidRDefault="00BD244D" w:rsidP="00BD244D">
      <w:r>
        <w:t xml:space="preserve">• The reported analyses, opinions and conclusions are limited only by the reported assumptions and limiting conditions, and are my personal, unbiased professional analyses, opinions and conclusions. </w:t>
      </w:r>
    </w:p>
    <w:p w14:paraId="0A707FAE" w14:textId="77777777" w:rsidR="00BD244D" w:rsidRPr="001418AD" w:rsidRDefault="00BD244D" w:rsidP="00BD244D">
      <w:r>
        <w:t xml:space="preserve">• I have no present or hypothetical interest in the subject property, and have no personal interest or bias with respect to the parties involved. </w:t>
      </w:r>
    </w:p>
    <w:p w14:paraId="18DEFAEC" w14:textId="77777777" w:rsidR="00BD244D" w:rsidRPr="001418AD" w:rsidRDefault="00BD244D" w:rsidP="00BD244D">
      <w:r>
        <w:t>• My compensation is not contingent upon reporting a predetermined value or direction in value that favors the cause of the client, the amount of the value estimate, the attainment of a stipulated result, the prospect of future employment, or the occurrence of a subsequent event.</w:t>
      </w:r>
    </w:p>
    <w:p w14:paraId="3D4CF8DD" w14:textId="77777777" w:rsidR="00BD244D" w:rsidRPr="001418AD" w:rsidRDefault="00BD244D" w:rsidP="00BD244D">
      <w:r>
        <w:t>• The appraisal assignment was not based on a requested minimum valuation, a specific valuation or the approval of a loan.</w:t>
      </w:r>
    </w:p>
    <w:p w14:paraId="4CF41AEA" w14:textId="77777777" w:rsidR="00BD244D" w:rsidRPr="001418AD" w:rsidRDefault="00BD244D" w:rsidP="00BD244D">
      <w:r>
        <w:t>• The analyses, opinions and conclusions were developed, and this report has been prepared in conformity with the Uniform Standards of Professional Appraisal Practice of the Appraisal Foundation (USPAP) and the requirements of the Code of Professional Ethics and the Standards of Professional Practice of the Appraisal Institute.</w:t>
      </w:r>
    </w:p>
    <w:p w14:paraId="4BB95AAC" w14:textId="77777777" w:rsidR="00BD244D" w:rsidRPr="001418AD" w:rsidRDefault="00BD244D" w:rsidP="00BD244D">
      <w:r>
        <w:t xml:space="preserve">• The use of this report is subject to the requirements of the Appraisal Institute relating to review by its duly authorized representatives. </w:t>
      </w:r>
    </w:p>
    <w:p w14:paraId="20D86642" w14:textId="77777777" w:rsidR="00BD244D" w:rsidRPr="001418AD" w:rsidRDefault="00BD244D" w:rsidP="00BD244D">
      <w:r>
        <w:t>• No one other than the individuals named in this certification provided significant professional assistance in the preparation of this report.</w:t>
      </w:r>
    </w:p>
    <w:p w14:paraId="28D7A96D" w14:textId="77777777" w:rsidR="00BD244D" w:rsidRPr="001418AD" w:rsidRDefault="00BD244D" w:rsidP="00BD244D">
      <w:r>
        <w:t>• Shaquille Carter personally inspected the property that is the subject of this report.</w:t>
      </w:r>
    </w:p>
    <w:p w14:paraId="748B7DF5" w14:textId="77777777" w:rsidR="00BD244D" w:rsidRPr="001418AD" w:rsidRDefault="00BD244D" w:rsidP="00BD244D">
      <w:r>
        <w:t xml:space="preserve">• Shaquille Carter, Appraiser – was involved in all aspects of the appraisal report development. Defined the scope of work for the appraisal process. Researched and confirmed pertinent details regarding the subject property by reviewing information available through public sources as well as information provided by other market participants. Reviewed and detailed market trends and significant factors impacting property valuation. Confirmed pertinent details for any applicable construction cost estimates, comparable sales, and/or comparable rental properties. Reconciled value indications from generally accepted appraisal methodologies into value conclusions. </w:t>
      </w:r>
    </w:p>
    <w:p w14:paraId="266C0529" w14:textId="77777777" w:rsidR="00BD244D" w:rsidRPr="001418AD" w:rsidRDefault="00BD244D" w:rsidP="00BD244D">
      <w:r>
        <w:t>• Pursuant to the Conduct Section of the Ethics Rule of USPAP, “If known prior to accepting an assignment, and/or if discovered at any time during the assignment, an appraiser must disclose to the client, and in the subsequent report certification any services regarding the subject property performed by the appraiser within the three-year period immediately preceding acceptance of the assignment, as an appraiser or in any other capacity.”</w:t>
      </w:r>
    </w:p>
    <w:p w14:paraId="190EB1C4" w14:textId="544E37BE" w:rsidR="00BD244D" w:rsidRPr="001418AD" w:rsidRDefault="00685350" w:rsidP="00BD244D">
      <w:r>
        <w:lastRenderedPageBreak/>
        <w:t xml:space="preserve">Shaquille Carter has not provided any services regarding the subject property within the three-year period immediately preceding acceptance of the assignment, either in an appraisal capacity, or in any other capacity. </w:t>
      </w:r>
    </w:p>
    <w:p w14:paraId="63C664B2" w14:textId="77777777" w:rsidR="00766BE8" w:rsidRDefault="00BD244D" w:rsidP="00766BE8">
      <w:r>
        <w:t>• The reported analyses, opinions, and conclusions were developed, and this report has been prepared, in conformity with the requirements of the Code of Professional Ethics and the Standards of Professional Practice of the Appraisal Institute and USPAP.</w:t>
      </w:r>
    </w:p>
    <w:tbl>
      <w:tblPr>
        <w:tblW w:w="10278" w:type="dxa"/>
        <w:tblLayout w:type="fixed"/>
        <w:tblLook w:val="04A0" w:firstRow="1" w:lastRow="0" w:firstColumn="1" w:lastColumn="0" w:noHBand="0" w:noVBand="1"/>
      </w:tblPr>
      <w:tblGrid>
        <w:gridCol w:w="4910"/>
        <w:gridCol w:w="270"/>
        <w:gridCol w:w="5098"/>
      </w:tblGrid>
      <w:tr w:rsidR="00766BE8" w:rsidRPr="006814F0" w14:paraId="2BC40A97" w14:textId="77777777" w:rsidTr="00182D76">
        <w:trPr>
          <w:trHeight w:val="1593"/>
        </w:trPr>
        <w:tc>
          <w:tcPr>
            <w:tcW w:w="4910" w:type="dxa"/>
            <w:vAlign w:val="bottom"/>
          </w:tcPr>
          <w:p w14:paraId="4D11FF38" w14:textId="651E44DE" w:rsidR="00766BE8" w:rsidRDefault="00BB0E37" w:rsidP="00C87421">
            <w:pPr>
              <w:autoSpaceDE w:val="0"/>
              <w:autoSpaceDN w:val="0"/>
              <w:spacing w:after="0" w:line="240" w:lineRule="auto"/>
              <w:rPr>
                <w:rFonts w:cs="Segoe UI"/>
                <w:color w:val="000000"/>
              </w:rPr>
            </w:pPr>
            <w:r>
              <w:t>Shaquille Carter</w:t>
            </w:r>
          </w:p>
          <w:p w14:paraId="4678D92A" w14:textId="77777777" w:rsidR="00766BE8" w:rsidRPr="00D96ECD" w:rsidRDefault="00766BE8" w:rsidP="00C87421">
            <w:pPr>
              <w:autoSpaceDE w:val="0"/>
              <w:autoSpaceDN w:val="0"/>
              <w:spacing w:after="0" w:line="240" w:lineRule="auto"/>
              <w:rPr>
                <w:rFonts w:cs="Segoe UI"/>
                <w:bCs/>
                <w:iCs/>
                <w:color w:val="000000"/>
              </w:rPr>
            </w:pPr>
            <w:r>
              <w:rPr>
                <w:rFonts w:cs="Segoe UI"/>
                <w:color w:val="000000"/>
              </w:rPr>
              <w:t xml:space="preserve">State-Certified General Real Estate Appraiser </w:t>
            </w:r>
          </w:p>
          <w:p w14:paraId="25300796" w14:textId="77777777" w:rsidR="00766BE8" w:rsidRPr="006814F0" w:rsidRDefault="00766BE8" w:rsidP="00BB04B1">
            <w:pPr>
              <w:spacing w:after="0" w:line="240" w:lineRule="auto"/>
              <w:rPr>
                <w:rFonts w:cs="Segoe UI"/>
              </w:rPr>
            </w:pPr>
          </w:p>
        </w:tc>
        <w:tc>
          <w:tcPr>
            <w:tcW w:w="270" w:type="dxa"/>
            <w:vAlign w:val="bottom"/>
          </w:tcPr>
          <w:p w14:paraId="3E9FCB7A" w14:textId="77777777" w:rsidR="00766BE8" w:rsidRPr="006814F0" w:rsidRDefault="00766BE8" w:rsidP="00182D76">
            <w:pPr>
              <w:jc w:val="left"/>
              <w:rPr>
                <w:rFonts w:cs="Segoe UI"/>
              </w:rPr>
            </w:pPr>
          </w:p>
        </w:tc>
        <w:tc>
          <w:tcPr>
            <w:tcW w:w="5098" w:type="dxa"/>
            <w:vAlign w:val="bottom"/>
          </w:tcPr>
          <w:p w14:paraId="134DD3D3" w14:textId="77777777" w:rsidR="00766BE8" w:rsidRPr="006814F0" w:rsidRDefault="00766BE8" w:rsidP="00182D76">
            <w:pPr>
              <w:jc w:val="left"/>
              <w:rPr>
                <w:rFonts w:cs="Segoe UI"/>
              </w:rPr>
            </w:pPr>
          </w:p>
        </w:tc>
      </w:tr>
    </w:tbl>
    <w:p w14:paraId="1AD6FA88" w14:textId="77777777" w:rsidR="00B10F7F" w:rsidRDefault="00B10F7F" w:rsidP="003A3F31">
      <w:pPr>
        <w:sectPr w:rsidR="00B10F7F" w:rsidSect="00F279C8">
          <w:headerReference w:type="default" r:id="rId4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455E54F" w14:textId="77777777" w:rsidR="00244724" w:rsidRDefault="00BD244D" w:rsidP="0001230D">
      <w:pPr>
        <w:pStyle w:val="Heading1"/>
      </w:pPr>
      <w:bookmarkStart w:id="26" w:name="_Toc228359495"/>
      <w:r>
        <w:lastRenderedPageBreak/>
        <w:t>Standard Assumptions &amp; Limiting Conditions</w:t>
      </w:r>
      <w:bookmarkEnd w:id="26"/>
    </w:p>
    <w:p w14:paraId="2E4AE07E" w14:textId="77777777" w:rsidR="00BD244D" w:rsidRPr="007C72AC" w:rsidRDefault="00BD244D" w:rsidP="00BD244D">
      <w:r>
        <w:t>This appraisal report has been made with the following general assumptions:</w:t>
      </w:r>
    </w:p>
    <w:p w14:paraId="0992FE9E" w14:textId="77777777" w:rsidR="00BD244D" w:rsidRPr="006576E3" w:rsidRDefault="00BD244D" w:rsidP="00BD244D">
      <w:pPr>
        <w:numPr>
          <w:ilvl w:val="0"/>
          <w:numId w:val="2"/>
        </w:numPr>
        <w:contextualSpacing/>
        <w:rPr>
          <w:rFonts w:eastAsia="Calibri"/>
        </w:rPr>
      </w:pPr>
      <w:r>
        <w:rPr>
          <w:rFonts w:eastAsia="Calibri"/>
        </w:rPr>
        <w:t xml:space="preserve">Notwithstanding that Appraiser may comment on, analyze or assume certain conditions in the appraisal, the appraiser shall have no monetary liability or responsibility for alleged claims or damages pertaining to: (a) title defects, liens or encumbrances affecting the property; (b) the property’s compliance with local, state or federal zoning, planning, building, disability access and environmental laws, regulations and standards; (c) building permits and planning approvals for improvements on the property; (d) structural or mechanical soundness or safety; (e) contamination, mold, pollution, storage tanks, animal infestations or other hazardous conditions affecting the property; and (f) other conditions and matters for which licensed real estate appraisers are not customarily deemed to have professional expertise. Accordingly: </w:t>
      </w:r>
    </w:p>
    <w:p w14:paraId="673EB9C1" w14:textId="77777777" w:rsidR="00BD244D" w:rsidRPr="006576E3" w:rsidRDefault="00BD244D" w:rsidP="00BD244D">
      <w:pPr>
        <w:numPr>
          <w:ilvl w:val="2"/>
          <w:numId w:val="3"/>
        </w:numPr>
        <w:contextualSpacing/>
        <w:rPr>
          <w:rFonts w:eastAsia="Calibri"/>
        </w:rPr>
      </w:pPr>
      <w:r>
        <w:rPr>
          <w:rFonts w:eastAsia="Calibri"/>
        </w:rPr>
        <w:t>The Appraiser has not conducted any engineering or architectural surveys in connection with this appraisal assignment. Information reported pertaining to dimensions, sizes, and areas is either based on measurements taken by the Appraiser or the Appraiser’s staff or was obtained or taken from referenced sources and is considered reliable. The Appraiser shall not be monetarily liable or responsible for or assume the costs of preparation or arrangement of geotechnical engineering, architectural, or other types of studies, surveys, or inspections that require the expertise of a qualified professional.</w:t>
      </w:r>
    </w:p>
    <w:p w14:paraId="6C691074" w14:textId="77777777" w:rsidR="00BD244D" w:rsidRPr="006576E3" w:rsidRDefault="00BD244D" w:rsidP="00BD244D">
      <w:pPr>
        <w:numPr>
          <w:ilvl w:val="2"/>
          <w:numId w:val="3"/>
        </w:numPr>
        <w:contextualSpacing/>
        <w:rPr>
          <w:rFonts w:eastAsia="Calibri"/>
        </w:rPr>
      </w:pPr>
      <w:r>
        <w:rPr>
          <w:rFonts w:eastAsia="Calibri"/>
        </w:rPr>
        <w:t>Unless otherwise stated in the report, only the real property is considered, so no consideration is given to the value of personal property or equipment located on the premises or the costs of moving or relocating such personal property or equipment. Further, unless otherwise stated, it is assumed that there are no subsurface oil, gas or other mineral deposits or subsurface rights of value involved in this appraisal, whether they are gas, liquid, or solid. Further, unless otherwise stated, it is assumed that there are no rights associated with extraction or exploration of such elements considered. Unless otherwise stated it is also assumed that there are no air or development rights of value that may be transferred.</w:t>
      </w:r>
    </w:p>
    <w:p w14:paraId="15A92F33" w14:textId="77777777" w:rsidR="00BD244D" w:rsidRPr="006576E3" w:rsidRDefault="00BD244D" w:rsidP="00BD244D">
      <w:pPr>
        <w:numPr>
          <w:ilvl w:val="2"/>
          <w:numId w:val="3"/>
        </w:numPr>
        <w:contextualSpacing/>
        <w:rPr>
          <w:rFonts w:eastAsia="Calibri"/>
        </w:rPr>
      </w:pPr>
      <w:r>
        <w:rPr>
          <w:rFonts w:eastAsia="Calibri"/>
        </w:rPr>
        <w:t>Any legal description or plats reported in the appraisal are assumed to be accurate. Any sketches, surveys, plats, photographs, drawings or other exhibits are included only to assist the intended user to better understand and visualize the subject property, the environs, and the competitive data. The appraiser has made no survey of the property and assumes no monetary liability or responsibility in connection with such matters.</w:t>
      </w:r>
    </w:p>
    <w:p w14:paraId="16847126" w14:textId="77777777" w:rsidR="00BD244D" w:rsidRPr="006576E3" w:rsidRDefault="00BD244D" w:rsidP="00BD244D">
      <w:pPr>
        <w:numPr>
          <w:ilvl w:val="2"/>
          <w:numId w:val="3"/>
        </w:numPr>
        <w:contextualSpacing/>
        <w:rPr>
          <w:rFonts w:eastAsia="Calibri"/>
        </w:rPr>
      </w:pPr>
      <w:r>
        <w:rPr>
          <w:rFonts w:eastAsia="Calibri"/>
        </w:rPr>
        <w:t>Title is assumed to be good and marketable, and in fee simple, unless otherwise stated in the report. The property is considered to be free and clear of existing liens, easements, restrictions, and encumbrances, except as stated. Further, the appraiser assumes there are no private deed restrictions affecting the property which would limit the use of the subject property in any way.</w:t>
      </w:r>
    </w:p>
    <w:p w14:paraId="71F58C6D" w14:textId="77777777" w:rsidR="00BD244D" w:rsidRPr="006576E3" w:rsidRDefault="00BD244D" w:rsidP="00BD244D">
      <w:pPr>
        <w:numPr>
          <w:ilvl w:val="2"/>
          <w:numId w:val="3"/>
        </w:numPr>
        <w:contextualSpacing/>
        <w:rPr>
          <w:rFonts w:eastAsia="Calibri"/>
        </w:rPr>
      </w:pPr>
      <w:r>
        <w:rPr>
          <w:rFonts w:eastAsia="Calibri"/>
        </w:rPr>
        <w:t xml:space="preserve">The appraisal report is based on the premise that there is full compliance with all applicable federal, state, and local environmental regulations and laws unless otherwise stated in the appraisal report; additionally, that all applicable zoning, building, and use regulations and restrictions of all types have been complied with unless otherwise stated in the appraisal </w:t>
        <w:lastRenderedPageBreak/>
        <w:t>report. Further, it is assumed that all required licenses, consents, permits, or other legislative or administrative authority, local, state, federal and/or private entity or organization have been or can be obtained or renewed for any use considered in the value opinion. Moreover, unless otherwise stated herein, it is assumed that there are no encroachments or violations of any zoning or other regulations affecting the subject property, that the utilization of the land and improvements is within the boundaries or property lines of the property described, and that there are no trespasses or encroachments.</w:t>
      </w:r>
    </w:p>
    <w:p w14:paraId="741938B1" w14:textId="77777777" w:rsidR="00BD244D" w:rsidRPr="006576E3" w:rsidRDefault="00BD244D" w:rsidP="00BD244D">
      <w:pPr>
        <w:numPr>
          <w:ilvl w:val="2"/>
          <w:numId w:val="3"/>
        </w:numPr>
        <w:contextualSpacing/>
        <w:rPr>
          <w:rFonts w:eastAsia="Calibri"/>
        </w:rPr>
      </w:pPr>
      <w:r>
        <w:rPr>
          <w:rFonts w:eastAsia="Calibri"/>
        </w:rPr>
        <w:t>The American Disabilities Act (ADA) became effective January 26, 1992. The Appraiser has not made a specific compliance survey or analysis of the property to determine whether or not it is in conformity with the various detailed requirements of ADA. It is possible that a compliance survey of the property and a detailed analysis of the requirements of the ADA would reveal that the property is not in compliance with one or more of the requirements of the Act. If so, this fact could have a negative impact upon the value of the property. Since the Appraiser has no direct evidence relating to this issue, possible noncompliance with the requirements of ADA was not considered in estimating the value of the property.</w:t>
      </w:r>
    </w:p>
    <w:p w14:paraId="06A0CB53" w14:textId="77777777" w:rsidR="00BD244D" w:rsidRPr="006576E3" w:rsidRDefault="00BD244D" w:rsidP="00BD244D">
      <w:pPr>
        <w:numPr>
          <w:ilvl w:val="2"/>
          <w:numId w:val="3"/>
        </w:numPr>
        <w:contextualSpacing/>
        <w:rPr>
          <w:rFonts w:eastAsia="Calibri"/>
        </w:rPr>
      </w:pPr>
      <w:r>
        <w:rPr>
          <w:rFonts w:eastAsia="Calibri"/>
        </w:rPr>
        <w:t>No monetary liability or responsibility is assumed for conformity to specific governmental requirements, such as fire, building, safety, earthquake, or occupancy codes, except where specific professional or governmental inspections have been completed and reported in the appraisal report.</w:t>
      </w:r>
    </w:p>
    <w:p w14:paraId="61A4EDB7" w14:textId="77777777" w:rsidR="00BD244D" w:rsidRPr="006576E3" w:rsidRDefault="00BD244D" w:rsidP="00BD244D">
      <w:pPr>
        <w:numPr>
          <w:ilvl w:val="2"/>
          <w:numId w:val="3"/>
        </w:numPr>
        <w:contextualSpacing/>
        <w:rPr>
          <w:rFonts w:eastAsia="Calibri"/>
        </w:rPr>
      </w:pPr>
      <w:r>
        <w:rPr>
          <w:rFonts w:eastAsia="Calibri"/>
        </w:rPr>
        <w:t>It is assumed the subject property is not adversely affected by the potential of floods; unless otherwise stated herein. Further, it is assumed all water and sewer facilities (existing and proposed) are or will be in good working order and are or will be of sufficient size to adequately serve any proposed buildings.</w:t>
      </w:r>
    </w:p>
    <w:p w14:paraId="0F407906" w14:textId="77777777" w:rsidR="00BD244D" w:rsidRPr="006576E3" w:rsidRDefault="00BD244D" w:rsidP="00BD244D">
      <w:pPr>
        <w:numPr>
          <w:ilvl w:val="2"/>
          <w:numId w:val="3"/>
        </w:numPr>
        <w:contextualSpacing/>
        <w:rPr>
          <w:rFonts w:eastAsia="Calibri"/>
        </w:rPr>
      </w:pPr>
      <w:r>
        <w:rPr>
          <w:rFonts w:eastAsia="Calibri"/>
        </w:rPr>
        <w:t>Unless otherwise stated within the appraisal report, the depiction of the physical condition of the improvements described therein is based on visual inspection. No monetary liability or responsibility is assumed for (a) the soundness of structural members since no engineering tests were conducted; (b) the condition of mechanical equipment, plumbing, or electrical components, as complete tests were not made; and (c) hidden, unapparent or masked property conditions or characteristics that were not clearly apparent during the Appraiser’s inspection.</w:t>
      </w:r>
    </w:p>
    <w:p w14:paraId="376F921A" w14:textId="77777777" w:rsidR="00BD244D" w:rsidRPr="006576E3" w:rsidRDefault="00BD244D" w:rsidP="00BD244D">
      <w:pPr>
        <w:numPr>
          <w:ilvl w:val="2"/>
          <w:numId w:val="3"/>
        </w:numPr>
        <w:contextualSpacing/>
        <w:rPr>
          <w:rFonts w:eastAsia="Calibri"/>
        </w:rPr>
      </w:pPr>
      <w:r>
        <w:rPr>
          <w:rFonts w:eastAsia="Calibri"/>
        </w:rPr>
        <w:t>If building improvements are present on the site, it is assumed that no significant evidence of termite damage or infestation was observed during physical inspection, unless so stated in the appraisal report. Further, unless so stated in the appraisal report, no termite inspection report was available. No monetary liability or responsibility is assumed for hidden damages or infestation.</w:t>
      </w:r>
    </w:p>
    <w:p w14:paraId="4E44CEC1" w14:textId="77777777" w:rsidR="00BD244D" w:rsidRPr="006576E3" w:rsidRDefault="00BD244D" w:rsidP="00BD244D">
      <w:pPr>
        <w:numPr>
          <w:ilvl w:val="2"/>
          <w:numId w:val="3"/>
        </w:numPr>
        <w:contextualSpacing/>
        <w:rPr>
          <w:rFonts w:eastAsia="Calibri"/>
        </w:rPr>
      </w:pPr>
      <w:r>
        <w:rPr>
          <w:rFonts w:eastAsia="Calibri"/>
        </w:rPr>
        <w:t>Unless subsoil opinions based upon engineering core borings were furnished, it is assumed there are no subsoil defects present, which would impair development of the land to its maximum permitted use or would render it more or less valuable. No monetary liability or responsibility is assumed for such conditions or for engineering which may be required to discover them.</w:t>
      </w:r>
    </w:p>
    <w:p w14:paraId="40BC9DC0" w14:textId="77777777" w:rsidR="00BD244D" w:rsidRPr="006576E3" w:rsidRDefault="00BA1B4C" w:rsidP="00BD244D">
      <w:pPr>
        <w:numPr>
          <w:ilvl w:val="2"/>
          <w:numId w:val="3"/>
        </w:numPr>
        <w:contextualSpacing/>
        <w:rPr>
          <w:rFonts w:eastAsia="Calibri"/>
        </w:rPr>
      </w:pPr>
      <w:r>
        <w:rPr>
          <w:rFonts w:eastAsia="Calibri"/>
        </w:rPr>
        <w:lastRenderedPageBreak/>
        <w:t xml:space="preserve">The appraiser(s) are not experts in determining the presence or absence of hazardous substances toxic materials, wastes, pollutants or contaminants (including, but not limited to, asbestos, PCB, UFFI, or other raw materials or chemicals) used in construction or otherwise present on the property. the appraiser(s) assume no monetary liability or responsibility for the studies or analyses which would be required to determine the presence or absence of such substances or for loss as a result of the presence of such substances. The Client is free to retain an expert on such matters in this field; however, Client retains such expert at Client’s own discretion, and any costs and/or expenses associated with such retention are the responsibility of Client.  </w:t>
      </w:r>
    </w:p>
    <w:p w14:paraId="1EFCAE36" w14:textId="77777777" w:rsidR="00BD244D" w:rsidRPr="006576E3" w:rsidRDefault="00BA1B4C" w:rsidP="00BD244D">
      <w:pPr>
        <w:numPr>
          <w:ilvl w:val="2"/>
          <w:numId w:val="3"/>
        </w:numPr>
        <w:contextualSpacing/>
        <w:rPr>
          <w:rFonts w:eastAsia="Calibri"/>
        </w:rPr>
      </w:pPr>
      <w:r>
        <w:rPr>
          <w:rFonts w:eastAsia="Calibri"/>
        </w:rPr>
        <w:t xml:space="preserve">The appraiser is not an expert in determining the habitat for protected or endangered species, including, but not limited to, animal or plant life (such as bald eagles, gophers, tortoises, etc.) that may be present on the property. The appraiser assumes no monetary liability or responsibility for the studies or analyses which would be required to determine the presence or absence of such species or for loss as a result of the presence of such species. The Appraiser hereby reserves the right to alter, amend, revise, or rescind any of the value opinions contained within the appraisal repot based upon any subsequent endangered species impact studies, research, and investigation that may be provided. However, it is assumed that no environmental impact studies were either requested or made in conjunction with this analysis, unless otherwise stated within the appraisal report. </w:t>
      </w:r>
    </w:p>
    <w:p w14:paraId="5EB410D4" w14:textId="77777777" w:rsidR="00BD244D" w:rsidRPr="006576E3" w:rsidRDefault="00BD244D" w:rsidP="00BD244D">
      <w:pPr>
        <w:numPr>
          <w:ilvl w:val="0"/>
          <w:numId w:val="2"/>
        </w:numPr>
        <w:contextualSpacing/>
        <w:rPr>
          <w:rFonts w:eastAsia="Calibri"/>
        </w:rPr>
      </w:pPr>
      <w:r>
        <w:rPr>
          <w:rFonts w:eastAsia="Calibri"/>
        </w:rPr>
        <w:t>If the Client instructions to the Appraiser were to inspect only the exterior of the improvements in the appraisal process, the physical attributes of the property were observed from the street(s) as of the inspection date of the appraisal. Physical characteristics of the property were obtained from tax assessment records, available plans, if any, descriptive information, and interviewing the client and other knowledgeable persons. It is assumed the interior of the subject property is consistent with the exterior conditions as observed and that other information relied upon is accurate.</w:t>
      </w:r>
    </w:p>
    <w:p w14:paraId="3CF66C3C" w14:textId="77777777" w:rsidR="00BD244D" w:rsidRPr="006576E3" w:rsidRDefault="00BD244D" w:rsidP="00BD244D">
      <w:pPr>
        <w:numPr>
          <w:ilvl w:val="0"/>
          <w:numId w:val="2"/>
        </w:numPr>
        <w:contextualSpacing/>
        <w:rPr>
          <w:rFonts w:eastAsia="Calibri"/>
        </w:rPr>
      </w:pPr>
      <w:r>
        <w:rPr>
          <w:rFonts w:eastAsia="Calibri"/>
        </w:rPr>
        <w:t>If provided, the estimated insurable value is included at the request of the Client and has not been performed by a qualified insurance agent or risk management underwriter. This cost estimate should not be solely relied upon for insurable value purposes. The Appraiser is not familiar with the definition of insurable value from the insurance provider, the local governmental underwriting regulations, or the types of insurance coverage available. These factors can impact cost estimates and are beyond the scope of the intended use of this appraisal. The Appraiser is not a cost expert in cost estimating for insurance purposes.</w:t>
      </w:r>
    </w:p>
    <w:p w14:paraId="54A2FDC2" w14:textId="77777777" w:rsidR="00BD244D" w:rsidRPr="006576E3" w:rsidRDefault="00BD244D" w:rsidP="00BD244D">
      <w:pPr>
        <w:numPr>
          <w:ilvl w:val="0"/>
          <w:numId w:val="2"/>
        </w:numPr>
        <w:contextualSpacing/>
        <w:rPr>
          <w:rFonts w:eastAsia="Calibri"/>
        </w:rPr>
      </w:pPr>
      <w:r>
        <w:rPr>
          <w:rFonts w:eastAsia="Calibri"/>
        </w:rPr>
        <w:t>The dollar amount of any value opinion herein rendered is based upon the purchasing power and price of the United States Dollar as of the effective date of value. This appraisal is based on market conditions existing as of the date of this appraisal.</w:t>
      </w:r>
    </w:p>
    <w:p w14:paraId="0BEDCBA7" w14:textId="77777777" w:rsidR="00BD244D" w:rsidRPr="006576E3" w:rsidRDefault="00BD244D" w:rsidP="00BD244D">
      <w:pPr>
        <w:numPr>
          <w:ilvl w:val="0"/>
          <w:numId w:val="2"/>
        </w:numPr>
        <w:contextualSpacing/>
        <w:rPr>
          <w:rFonts w:eastAsia="Calibri"/>
        </w:rPr>
      </w:pPr>
      <w:r>
        <w:rPr>
          <w:rFonts w:eastAsia="Calibri"/>
        </w:rPr>
        <w:t>The value opinions reported herein apply to the entire property. Any proration or division of the total into fractional interests will invalidate the value opinions, unless such proration or division of interests is set forth in the report. Any division of the land and improvement values stated herein is applicable only under the program of utilization shown. These separate valuations are invalidated by any other application.</w:t>
      </w:r>
    </w:p>
    <w:p w14:paraId="3CAA86C8" w14:textId="77777777" w:rsidR="00BD244D" w:rsidRPr="006576E3" w:rsidRDefault="00BD244D" w:rsidP="00BD244D">
      <w:pPr>
        <w:numPr>
          <w:ilvl w:val="0"/>
          <w:numId w:val="2"/>
        </w:numPr>
        <w:contextualSpacing/>
        <w:rPr>
          <w:rFonts w:eastAsia="Calibri"/>
        </w:rPr>
      </w:pPr>
      <w:r>
        <w:rPr>
          <w:rFonts w:eastAsia="Calibri"/>
        </w:rPr>
        <w:lastRenderedPageBreak/>
        <w:t>Any projections of income and expenses, including the reversion at time of resale, are not predictions of the future. Rather, they are the appraiser’s best estimate of current market thinking of what future trends will be. No warranty or representation is made that such projections will materialize. The real estate market is constantly fluctuating and changing. It is not the task of an appraiser to estimate the conditions of a future real estate market, but rather to reflect what the investment community envisions for the future in terms of expectations of growth in rental rates, expenses, and supply and demand. The forecasts, projections, or operating estimates contained herein are based on current market conditions, anticipated short-term supply and demand factors, and a continued stable economy. These forecasts are, therefore, subject to changes with future conditions.</w:t>
      </w:r>
    </w:p>
    <w:p w14:paraId="75017A93" w14:textId="77777777" w:rsidR="00BD244D" w:rsidRPr="006576E3" w:rsidRDefault="00BD244D" w:rsidP="00BD244D">
      <w:pPr>
        <w:numPr>
          <w:ilvl w:val="0"/>
          <w:numId w:val="2"/>
        </w:numPr>
        <w:contextualSpacing/>
        <w:rPr>
          <w:rFonts w:eastAsia="Calibri"/>
        </w:rPr>
      </w:pPr>
      <w:r>
        <w:rPr>
          <w:rFonts w:eastAsia="Calibri"/>
        </w:rPr>
        <w:t>The Appraiser assumes no monetary liability or responsibility for any changes in economic or physical conditions which occur following the effective date of value within this report that would influence or potentially affect the analyses, opinions, or conclusions in the report. Any subsequent changes are beyond the scope of the report.</w:t>
      </w:r>
    </w:p>
    <w:p w14:paraId="54C84406" w14:textId="77777777" w:rsidR="00BD244D" w:rsidRPr="006576E3" w:rsidRDefault="00BD244D" w:rsidP="00BD244D">
      <w:pPr>
        <w:numPr>
          <w:ilvl w:val="0"/>
          <w:numId w:val="2"/>
        </w:numPr>
        <w:contextualSpacing/>
        <w:rPr>
          <w:rFonts w:eastAsia="Calibri"/>
        </w:rPr>
      </w:pPr>
      <w:r>
        <w:rPr>
          <w:rFonts w:eastAsia="Calibri"/>
        </w:rPr>
        <w:t>Any proposed or incomplete improvements included in the appraisal report are assumed to be satisfactorily completed in a workmanlike manner or will be thus completed within a reasonable length of time according to plans and specifications submitted.</w:t>
      </w:r>
    </w:p>
    <w:p w14:paraId="21E6864E" w14:textId="77777777" w:rsidR="00BD244D" w:rsidRPr="006576E3" w:rsidRDefault="00BD244D" w:rsidP="00BD244D">
      <w:pPr>
        <w:numPr>
          <w:ilvl w:val="0"/>
          <w:numId w:val="2"/>
        </w:numPr>
        <w:contextualSpacing/>
        <w:rPr>
          <w:rFonts w:eastAsia="Calibri"/>
        </w:rPr>
      </w:pPr>
      <w:r>
        <w:rPr>
          <w:rFonts w:eastAsia="Calibri"/>
        </w:rPr>
        <w:t>If the appraisal report has been prepared in a so-called “public non-disclosure” state, real estate sales prices and other data, such as rents, prices, and financing, are not a matter of public record. If this is such a “non-disclosure” state, although extensive effort has been expended to verify pertinent data with buyers, sellers, brokers, lenders, lessors, lessees, and other sources considered reliable, it has not always been possible to independently verify all significant facts. In these instances, the Appraiser may have relied on verification obtained and reported by appraisers outside of our office. Also, as necessary, assumptions and adjustments have been made based on comparisons and analyses using data in the report and on interviews with market participants. The information furnished by others is believed to be reliable, but no warranty is given for its accuracy.</w:t>
      </w:r>
    </w:p>
    <w:p w14:paraId="23BB15EF" w14:textId="77777777" w:rsidR="00BD244D" w:rsidRPr="006576E3" w:rsidRDefault="00BD244D" w:rsidP="00BD244D">
      <w:pPr>
        <w:numPr>
          <w:ilvl w:val="0"/>
          <w:numId w:val="2"/>
        </w:numPr>
        <w:contextualSpacing/>
        <w:rPr>
          <w:rFonts w:eastAsia="Calibri"/>
        </w:rPr>
      </w:pPr>
      <w:r>
        <w:rPr>
          <w:rFonts w:eastAsia="Calibri"/>
        </w:rPr>
        <w:t>Although the Appraiser has made, insofar as is practical, every effort to verify as factual and true all information and data set forth in this report, no responsibility is assumed for the accuracy of any information furnished the Appraiser either by the Client or others. If for any reason, future investigations should prove any data to be in substantial variance with that presented in this report, the Appraiser reserves the right to alter or change any or all analyses, opinions, or conclusions and/or opinions of value.</w:t>
      </w:r>
    </w:p>
    <w:p w14:paraId="5B45431F" w14:textId="77777777" w:rsidR="00BD244D" w:rsidRDefault="00BD244D" w:rsidP="00BD244D">
      <w:pPr>
        <w:numPr>
          <w:ilvl w:val="0"/>
          <w:numId w:val="2"/>
        </w:numPr>
        <w:contextualSpacing/>
        <w:rPr>
          <w:rFonts w:eastAsia="Calibri"/>
        </w:rPr>
      </w:pPr>
      <w:r>
        <w:rPr>
          <w:rFonts w:eastAsia="Calibri"/>
        </w:rPr>
        <w:t>The right is reserved by the Appraiser to make adjustments to the analyses, opinions, and conclusions set forth in the appraisal report as may be required by consideration of additional or more reliable data that may become available. No change of this report shall be made by anyone other than the Appraiser. The Appraiser shall have no monetary liability or responsibility for any unauthorized change(s) to the report.</w:t>
      </w:r>
    </w:p>
    <w:p w14:paraId="0B2CD92D" w14:textId="77777777" w:rsidR="008C73B9" w:rsidRDefault="00BD244D" w:rsidP="008C73B9">
      <w:pPr>
        <w:numPr>
          <w:ilvl w:val="0"/>
          <w:numId w:val="2"/>
        </w:numPr>
        <w:contextualSpacing/>
        <w:rPr>
          <w:rFonts w:eastAsia="Calibri"/>
        </w:rPr>
      </w:pPr>
      <w:r>
        <w:rPr>
          <w:rFonts w:eastAsia="Calibri"/>
        </w:rPr>
        <w:t xml:space="preserve">The submission of the appraisal report constitutes completion of the services authorized and agreed upon. Such appraisal report is submitted on the condition the Client will provide reasonable notice and customary compensation, including expert witness fees, relating to any </w:t>
        <w:lastRenderedPageBreak/>
        <w:t>subsequent required attendance at conferences, depositions, or judicial or administrative proceedings. In the event the Appraiser is subpoenaed for either an appearance or a request to produce documents, a best effort will be made to notify the Client immediately. The Client has the sole responsibility for obtaining a protective order, providing legal instruction not to appear with the appraisal report and related work files, and will answer all questions pertaining to the assignment, the preparation of the report, and the reasoning used to formulate the opinion of value. Unless paid in whole or in part by the party issuing the subpoena or by another party of interest in the matter, the Client is responsible for all unpaid fees resulting from the appearance or production of documents regardless of who orders the work.</w:t>
      </w:r>
    </w:p>
    <w:p w14:paraId="52944FD0" w14:textId="77777777" w:rsidR="00BD244D" w:rsidRPr="008C73B9" w:rsidRDefault="00BD244D" w:rsidP="008C73B9">
      <w:pPr>
        <w:numPr>
          <w:ilvl w:val="0"/>
          <w:numId w:val="2"/>
        </w:numPr>
        <w:contextualSpacing/>
        <w:rPr>
          <w:rFonts w:eastAsia="Calibri"/>
        </w:rPr>
      </w:pPr>
      <w:r>
        <w:rPr>
          <w:rFonts w:eastAsia="Calibri"/>
        </w:rPr>
        <w:t>Client shall not disseminate, distribute, make available or otherwise provide any Appraisal Report prepared hereunder to any third party (including without limitation, incorporating or referencing the Appraisal Report , in whole or in part, in any offering or other material intended for review by other parties) except to (a) any third party expressly acknowledged in a signed writing by Appraiser  as an “Intended User” of the Appraisal Report provided that either Appraiser has received an acceptable release from such third party with respect to such Appraisal Report or Client provides acceptable indemnity protections to Appraiser against any claims resulting from the distribution of the Appraisal Report to such third party, (b) any third party service provider (including rating agencies and auditors) using the Appraisal Report in the course of providing services for the sole benefit of an Intended User, or (c) as required by statute, government regulation, legal process, or judicial decree.  In the event Appraiser consents, in writing, to Client incorporating or referencing the Appraisal Report in any offering or other materials intended for review by other parties, Client shall not distribute, file, or otherwise make such materials available to any such parties unless and until Client has provided Appraiser with complete copies of such materials and Appraiser has approved all such materials in writing.  Client shall not modify any such materials once approved by Appraiser.  In the absence of satisfying the conditions of this paragraph with respect to a party who is not designated as an Intended User, the receipt of an Appraisal Report by such party shall not confer any right upon such party to use or rely upon such report, and Appraiser shall have no liability for such unauthorized use or reliance upon such report.  In the event Client breaches the provisions of this paragraph, Client shall indemnify, defend and hold Appraiser, and its affiliates and their officers, directors, employees, contractors, agents and other representatives (Appraiser and each of the foregoing an “Indemnified Party” and collectively the “Indemnified Parties”), fully harmless from and against all losses, liabilities, damages and expenses (collectively, “Damages”) claimed against, sustained or incurred by any Indemnified Party arising out of or in connection with such breach, regardless of any negligence on the part of any Indemnified Party in preparing the Appraisal Report.</w:t>
      </w:r>
    </w:p>
    <w:p w14:paraId="1EC6CECF" w14:textId="77777777" w:rsidR="00BD244D" w:rsidRDefault="00BD244D" w:rsidP="001B16D5">
      <w:pPr>
        <w:rPr>
          <w:b/>
          <w:bCs/>
          <w:sz w:val="32"/>
          <w:szCs w:val="32"/>
        </w:rPr>
      </w:pPr>
    </w:p>
    <w:p w14:paraId="4BF8926C" w14:textId="77777777" w:rsidR="00BF1FB6" w:rsidRDefault="00BF1FB6" w:rsidP="001B16D5">
      <w:pPr>
        <w:rPr>
          <w:b/>
          <w:bCs/>
          <w:sz w:val="32"/>
          <w:szCs w:val="32"/>
        </w:rPr>
      </w:pPr>
    </w:p>
    <w:p w14:paraId="1A160E0E" w14:textId="57BD538E" w:rsidR="00BF1FB6" w:rsidRDefault="00BF1FB6">
      <w:pPr>
        <w:rPr>
          <w:b/>
          <w:bCs/>
          <w:sz w:val="32"/>
          <w:szCs w:val="32"/>
        </w:rPr>
      </w:pPr>
    </w:p>
    <w:sectPr w:rsidR="00BF1FB6" w:rsidSect="00F279C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614A6" w14:textId="77777777" w:rsidR="008240A4" w:rsidRDefault="008240A4" w:rsidP="000A518B">
      <w:pPr>
        <w:spacing w:after="0" w:line="240" w:lineRule="auto"/>
      </w:pPr>
      <w:r>
        <w:separator/>
      </w:r>
    </w:p>
  </w:endnote>
  <w:endnote w:type="continuationSeparator" w:id="0">
    <w:p w14:paraId="653A9B0A" w14:textId="77777777" w:rsidR="008240A4" w:rsidRDefault="008240A4" w:rsidP="000A5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altName w:val="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587532"/>
      <w:docPartObj>
        <w:docPartGallery w:val="Page Numbers (Bottom of Page)"/>
        <w:docPartUnique/>
      </w:docPartObj>
    </w:sdtPr>
    <w:sdtEndPr>
      <w:rPr>
        <w:noProof/>
      </w:rPr>
    </w:sdtEndPr>
    <w:sdtContent>
      <w:p w14:paraId="2DDF59A9" w14:textId="77777777" w:rsidR="00C456A4" w:rsidRDefault="00C456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7F7D49" w14:textId="77777777" w:rsidR="00DD5CB6" w:rsidRDefault="00DD5C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F1F33" w14:textId="77777777" w:rsidR="00FB1B15" w:rsidRDefault="00C456A4">
    <w:pPr>
      <w:pStyle w:val="Footer"/>
      <w:jc w:val="right"/>
    </w:pPr>
    <w:r>
      <w:t>A-</w:t>
    </w:r>
    <w:r w:rsidR="00FF5C02">
      <w:t>1</w:t>
    </w:r>
  </w:p>
  <w:p w14:paraId="77BCC09D" w14:textId="77777777" w:rsidR="00FB1B15" w:rsidRDefault="00FB1B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881709"/>
      <w:docPartObj>
        <w:docPartGallery w:val="Page Numbers (Bottom of Page)"/>
        <w:docPartUnique/>
      </w:docPartObj>
    </w:sdtPr>
    <w:sdtEndPr>
      <w:rPr>
        <w:noProof/>
      </w:rPr>
    </w:sdtEndPr>
    <w:sdtContent>
      <w:p w14:paraId="3BB294C1" w14:textId="77777777" w:rsidR="00AD4924" w:rsidRDefault="00AD49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017259" w14:textId="77777777" w:rsidR="005A769C" w:rsidRDefault="005A769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56224"/>
      <w:docPartObj>
        <w:docPartGallery w:val="Page Numbers (Bottom of Page)"/>
        <w:docPartUnique/>
      </w:docPartObj>
    </w:sdtPr>
    <w:sdtEndPr>
      <w:rPr>
        <w:noProof/>
      </w:rPr>
    </w:sdtEndPr>
    <w:sdtContent>
      <w:p w14:paraId="6F4AB5E4" w14:textId="77777777" w:rsidR="005A769C" w:rsidRDefault="005A76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30DD7F" w14:textId="77777777" w:rsidR="005A769C" w:rsidRDefault="005A7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FD2B" w14:textId="77777777" w:rsidR="008240A4" w:rsidRDefault="008240A4" w:rsidP="000A518B">
      <w:pPr>
        <w:spacing w:after="0" w:line="240" w:lineRule="auto"/>
      </w:pPr>
      <w:r>
        <w:separator/>
      </w:r>
    </w:p>
  </w:footnote>
  <w:footnote w:type="continuationSeparator" w:id="0">
    <w:p w14:paraId="6DB735CF" w14:textId="77777777" w:rsidR="008240A4" w:rsidRDefault="008240A4" w:rsidP="000A518B">
      <w:pPr>
        <w:spacing w:after="0" w:line="240" w:lineRule="auto"/>
      </w:pPr>
      <w:r>
        <w:continuationSeparator/>
      </w:r>
    </w:p>
  </w:footnote>
  <w:footnote w:id="1">
    <w:p w14:paraId="7F4A0755" w14:textId="77777777" w:rsidR="00FE1FD5" w:rsidRDefault="00FE1FD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A451D" w14:textId="77777777" w:rsidR="000A518B" w:rsidRPr="005C0E63" w:rsidRDefault="000A518B" w:rsidP="005C0E63">
    <w:pPr>
      <w:pStyle w:val="Header"/>
      <w:rPr>
        <w:b/>
        <w:bCs/>
      </w:rPr>
    </w:pPr>
    <w:r>
      <w:rPr>
        <w:noProof/>
      </w:rPr>
      <w:drawing>
        <wp:inline distT="0" distB="0" distL="0" distR="0" wp14:anchorId="44B50C53" wp14:editId="293808B8">
          <wp:extent cx="800100" cy="981075"/>
          <wp:effectExtent l="0" t="0" r="0" b="9525"/>
          <wp:docPr id="1641614412" name="Picture 16416144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5C0E63">
      <w:rPr>
        <w:b/>
        <w:bCs/>
      </w:rPr>
      <w:tab/>
    </w:r>
    <w:r w:rsidR="005C0E63">
      <w:rPr>
        <w:b/>
        <w:bCs/>
      </w:rPr>
      <w:tab/>
    </w:r>
    <w:r w:rsidR="005C0E63" w:rsidRPr="005C0E63">
      <w:t>Subject Property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4CD34" w14:textId="77777777" w:rsidR="00673306" w:rsidRPr="00673306" w:rsidRDefault="00673306" w:rsidP="00673306">
    <w:pPr>
      <w:pStyle w:val="Header"/>
      <w:jc w:val="right"/>
      <w:rPr>
        <w:color w:val="EE0000"/>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CA2C7" w14:textId="77777777" w:rsidR="005C0E63" w:rsidRDefault="005C0E63">
    <w:pPr>
      <w:pStyle w:val="Header"/>
    </w:pPr>
    <w:r>
      <w:rPr>
        <w:noProof/>
      </w:rPr>
      <w:drawing>
        <wp:inline distT="0" distB="0" distL="0" distR="0" wp14:anchorId="35BC178E" wp14:editId="0BE06307">
          <wp:extent cx="800100" cy="981075"/>
          <wp:effectExtent l="0" t="0" r="0" b="9525"/>
          <wp:docPr id="746718981" name="Picture 74671898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2D2904">
      <w:tab/>
    </w:r>
    <w:r w:rsidR="002D2904">
      <w:tab/>
    </w:r>
    <w:r w:rsidR="002D2904">
      <w:rPr>
        <w:noProof/>
      </w:rPr>
      <w:drawing>
        <wp:inline distT="0" distB="0" distL="0" distR="0" wp14:anchorId="33B41AD5" wp14:editId="056CA765">
          <wp:extent cx="847843" cy="314369"/>
          <wp:effectExtent l="0" t="0" r="0" b="9525"/>
          <wp:docPr id="8695997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99709" name="Picture 869599709"/>
                  <pic:cNvPicPr/>
                </pic:nvPicPr>
                <pic:blipFill>
                  <a:blip r:embed="rId2">
                    <a:extLst>
                      <a:ext uri="{28A0092B-C50C-407E-A947-70E740481C1C}">
                        <a14:useLocalDpi xmlns:a14="http://schemas.microsoft.com/office/drawing/2010/main" val="0"/>
                      </a:ext>
                    </a:extLst>
                  </a:blip>
                  <a:stretch>
                    <a:fillRect/>
                  </a:stretch>
                </pic:blipFill>
                <pic:spPr>
                  <a:xfrm>
                    <a:off x="0" y="0"/>
                    <a:ext cx="847843" cy="314369"/>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E683C" w14:textId="77777777" w:rsidR="003D688A" w:rsidRDefault="003D688A">
    <w:pPr>
      <w:pStyle w:val="Header"/>
    </w:pPr>
    <w:r>
      <w:rPr>
        <w:noProof/>
      </w:rPr>
      <w:drawing>
        <wp:inline distT="0" distB="0" distL="0" distR="0" wp14:anchorId="488B45D0" wp14:editId="22021A86">
          <wp:extent cx="800100" cy="981075"/>
          <wp:effectExtent l="0" t="0" r="0" b="9525"/>
          <wp:docPr id="836640407" name="Picture 83664040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663E33">
      <w:tab/>
    </w:r>
    <w:r w:rsidR="00663E33">
      <w:tab/>
    </w:r>
    <w:r w:rsidR="00663E33">
      <w:rPr>
        <w:noProof/>
      </w:rPr>
      <w:drawing>
        <wp:inline distT="0" distB="0" distL="0" distR="0" wp14:anchorId="6E75700C" wp14:editId="3E9C3F5D">
          <wp:extent cx="847843" cy="314369"/>
          <wp:effectExtent l="0" t="0" r="0" b="9525"/>
          <wp:docPr id="12673101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10123" name="Picture 1267310123"/>
                  <pic:cNvPicPr/>
                </pic:nvPicPr>
                <pic:blipFill>
                  <a:blip r:embed="rId2">
                    <a:extLst>
                      <a:ext uri="{28A0092B-C50C-407E-A947-70E740481C1C}">
                        <a14:useLocalDpi xmlns:a14="http://schemas.microsoft.com/office/drawing/2010/main" val="0"/>
                      </a:ext>
                    </a:extLst>
                  </a:blip>
                  <a:stretch>
                    <a:fillRect/>
                  </a:stretch>
                </pic:blipFill>
                <pic:spPr>
                  <a:xfrm>
                    <a:off x="0" y="0"/>
                    <a:ext cx="847843" cy="314369"/>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553EC" w14:textId="77777777" w:rsidR="00AD2EED" w:rsidRDefault="00AD2EED">
    <w:pPr>
      <w:pStyle w:val="Header"/>
    </w:pPr>
    <w:r>
      <w:rPr>
        <w:noProof/>
      </w:rPr>
      <w:drawing>
        <wp:inline distT="0" distB="0" distL="0" distR="0" wp14:anchorId="7DCBFD38" wp14:editId="15BE4C0D">
          <wp:extent cx="800100" cy="981075"/>
          <wp:effectExtent l="0" t="0" r="0" b="9525"/>
          <wp:docPr id="161643210" name="Picture 1616432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0100" cy="981075"/>
                  </a:xfrm>
                  <a:prstGeom prst="rect">
                    <a:avLst/>
                  </a:prstGeom>
                </pic:spPr>
              </pic:pic>
            </a:graphicData>
          </a:graphic>
        </wp:inline>
      </w:drawing>
    </w:r>
    <w:r w:rsidR="00663E33">
      <w:tab/>
    </w:r>
    <w:r w:rsidR="00663E33">
      <w:tab/>
    </w:r>
    <w:r w:rsidR="00663E33">
      <w:rPr>
        <w:noProof/>
      </w:rPr>
      <w:drawing>
        <wp:inline distT="0" distB="0" distL="0" distR="0" wp14:anchorId="796CD280" wp14:editId="2C849F6A">
          <wp:extent cx="847843" cy="314369"/>
          <wp:effectExtent l="0" t="0" r="0" b="9525"/>
          <wp:docPr id="2135046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4606" name="Picture 213504606"/>
                  <pic:cNvPicPr/>
                </pic:nvPicPr>
                <pic:blipFill>
                  <a:blip r:embed="rId2">
                    <a:extLst>
                      <a:ext uri="{28A0092B-C50C-407E-A947-70E740481C1C}">
                        <a14:useLocalDpi xmlns:a14="http://schemas.microsoft.com/office/drawing/2010/main" val="0"/>
                      </a:ext>
                    </a:extLst>
                  </a:blip>
                  <a:stretch>
                    <a:fillRect/>
                  </a:stretch>
                </pic:blipFill>
                <pic:spPr>
                  <a:xfrm>
                    <a:off x="0" y="0"/>
                    <a:ext cx="847843" cy="3143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134A"/>
    <w:multiLevelType w:val="hybridMultilevel"/>
    <w:tmpl w:val="74FEC4F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F3349"/>
    <w:multiLevelType w:val="hybridMultilevel"/>
    <w:tmpl w:val="6D7ED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D3894"/>
    <w:multiLevelType w:val="hybridMultilevel"/>
    <w:tmpl w:val="6AF6BE6E"/>
    <w:lvl w:ilvl="0" w:tplc="1DEE782A">
      <w:start w:val="1"/>
      <w:numFmt w:val="bullet"/>
      <w:pStyle w:val="SummaryTableBullet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31455F"/>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 w15:restartNumberingAfterBreak="0">
    <w:nsid w:val="5BED4FF4"/>
    <w:multiLevelType w:val="hybridMultilevel"/>
    <w:tmpl w:val="B044A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B8390C"/>
    <w:multiLevelType w:val="hybridMultilevel"/>
    <w:tmpl w:val="1A8A9B98"/>
    <w:lvl w:ilvl="0" w:tplc="0409000F">
      <w:start w:val="1"/>
      <w:numFmt w:val="decimal"/>
      <w:pStyle w:val="AssignedAppraiser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BF1C6F"/>
    <w:multiLevelType w:val="hybridMultilevel"/>
    <w:tmpl w:val="23F83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5E65C3"/>
    <w:multiLevelType w:val="multilevel"/>
    <w:tmpl w:val="5DF6254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73716688">
    <w:abstractNumId w:val="2"/>
  </w:num>
  <w:num w:numId="2" w16cid:durableId="1147357398">
    <w:abstractNumId w:val="3"/>
  </w:num>
  <w:num w:numId="3" w16cid:durableId="2013339023">
    <w:abstractNumId w:val="7"/>
  </w:num>
  <w:num w:numId="4" w16cid:durableId="354774887">
    <w:abstractNumId w:val="1"/>
  </w:num>
  <w:num w:numId="5" w16cid:durableId="192309058">
    <w:abstractNumId w:val="5"/>
  </w:num>
  <w:num w:numId="6" w16cid:durableId="1167089958">
    <w:abstractNumId w:val="0"/>
  </w:num>
  <w:num w:numId="7" w16cid:durableId="1713652373">
    <w:abstractNumId w:val="6"/>
  </w:num>
  <w:num w:numId="8" w16cid:durableId="1141651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18B"/>
    <w:rsid w:val="0000026B"/>
    <w:rsid w:val="0000115B"/>
    <w:rsid w:val="00003377"/>
    <w:rsid w:val="0000575E"/>
    <w:rsid w:val="000061EF"/>
    <w:rsid w:val="000063E2"/>
    <w:rsid w:val="0001230D"/>
    <w:rsid w:val="00015545"/>
    <w:rsid w:val="000179D1"/>
    <w:rsid w:val="00017A6B"/>
    <w:rsid w:val="000202E7"/>
    <w:rsid w:val="00022CE1"/>
    <w:rsid w:val="00024219"/>
    <w:rsid w:val="000262DF"/>
    <w:rsid w:val="00030011"/>
    <w:rsid w:val="0003082C"/>
    <w:rsid w:val="00032EA0"/>
    <w:rsid w:val="0003326E"/>
    <w:rsid w:val="000340AF"/>
    <w:rsid w:val="00036DEA"/>
    <w:rsid w:val="00036F1A"/>
    <w:rsid w:val="00040DD5"/>
    <w:rsid w:val="00042B7D"/>
    <w:rsid w:val="000443D6"/>
    <w:rsid w:val="00046B66"/>
    <w:rsid w:val="00047AE4"/>
    <w:rsid w:val="00050659"/>
    <w:rsid w:val="00051017"/>
    <w:rsid w:val="000539D7"/>
    <w:rsid w:val="0005450A"/>
    <w:rsid w:val="00055E55"/>
    <w:rsid w:val="000563FA"/>
    <w:rsid w:val="000567F0"/>
    <w:rsid w:val="0006004D"/>
    <w:rsid w:val="000617D0"/>
    <w:rsid w:val="00063032"/>
    <w:rsid w:val="0006337C"/>
    <w:rsid w:val="00064364"/>
    <w:rsid w:val="0006516A"/>
    <w:rsid w:val="00067237"/>
    <w:rsid w:val="00070BA4"/>
    <w:rsid w:val="000725B5"/>
    <w:rsid w:val="00073069"/>
    <w:rsid w:val="00073D05"/>
    <w:rsid w:val="000755CB"/>
    <w:rsid w:val="00076553"/>
    <w:rsid w:val="00076642"/>
    <w:rsid w:val="0007719E"/>
    <w:rsid w:val="000864F4"/>
    <w:rsid w:val="00090254"/>
    <w:rsid w:val="00091D48"/>
    <w:rsid w:val="00092559"/>
    <w:rsid w:val="00092DF4"/>
    <w:rsid w:val="0009778C"/>
    <w:rsid w:val="000A148F"/>
    <w:rsid w:val="000A518B"/>
    <w:rsid w:val="000A521E"/>
    <w:rsid w:val="000A57C9"/>
    <w:rsid w:val="000A6404"/>
    <w:rsid w:val="000A6CBF"/>
    <w:rsid w:val="000B3943"/>
    <w:rsid w:val="000B4AF8"/>
    <w:rsid w:val="000B7949"/>
    <w:rsid w:val="000C1D69"/>
    <w:rsid w:val="000C3BBA"/>
    <w:rsid w:val="000C699F"/>
    <w:rsid w:val="000D03F0"/>
    <w:rsid w:val="000D10CA"/>
    <w:rsid w:val="000D2791"/>
    <w:rsid w:val="000D2B53"/>
    <w:rsid w:val="000D3A86"/>
    <w:rsid w:val="000D49B3"/>
    <w:rsid w:val="000D4AD9"/>
    <w:rsid w:val="000D55A0"/>
    <w:rsid w:val="000D6162"/>
    <w:rsid w:val="000D7C29"/>
    <w:rsid w:val="000E0DD1"/>
    <w:rsid w:val="000E3E9E"/>
    <w:rsid w:val="000E4D5C"/>
    <w:rsid w:val="000E70BF"/>
    <w:rsid w:val="000E71EE"/>
    <w:rsid w:val="000F092B"/>
    <w:rsid w:val="000F1234"/>
    <w:rsid w:val="000F2B99"/>
    <w:rsid w:val="000F32A8"/>
    <w:rsid w:val="000F374A"/>
    <w:rsid w:val="000F396F"/>
    <w:rsid w:val="000F4DAE"/>
    <w:rsid w:val="000F67FE"/>
    <w:rsid w:val="000F74BB"/>
    <w:rsid w:val="001001BE"/>
    <w:rsid w:val="001005C7"/>
    <w:rsid w:val="00100647"/>
    <w:rsid w:val="00100B5D"/>
    <w:rsid w:val="00101E0E"/>
    <w:rsid w:val="00102BD7"/>
    <w:rsid w:val="00104057"/>
    <w:rsid w:val="00104436"/>
    <w:rsid w:val="001044AD"/>
    <w:rsid w:val="00105982"/>
    <w:rsid w:val="001073E6"/>
    <w:rsid w:val="00110524"/>
    <w:rsid w:val="00114A37"/>
    <w:rsid w:val="00114A89"/>
    <w:rsid w:val="00115DE1"/>
    <w:rsid w:val="0011621E"/>
    <w:rsid w:val="001177F5"/>
    <w:rsid w:val="00121C2C"/>
    <w:rsid w:val="00122087"/>
    <w:rsid w:val="00124B11"/>
    <w:rsid w:val="00125763"/>
    <w:rsid w:val="00125839"/>
    <w:rsid w:val="00125A19"/>
    <w:rsid w:val="001271F5"/>
    <w:rsid w:val="0013161F"/>
    <w:rsid w:val="00134116"/>
    <w:rsid w:val="001343A7"/>
    <w:rsid w:val="00134BC7"/>
    <w:rsid w:val="0013526E"/>
    <w:rsid w:val="001373A6"/>
    <w:rsid w:val="001418AD"/>
    <w:rsid w:val="00141B05"/>
    <w:rsid w:val="0014262D"/>
    <w:rsid w:val="00154B6B"/>
    <w:rsid w:val="00154C42"/>
    <w:rsid w:val="00155456"/>
    <w:rsid w:val="001560A9"/>
    <w:rsid w:val="00157059"/>
    <w:rsid w:val="00161219"/>
    <w:rsid w:val="00166971"/>
    <w:rsid w:val="0017004D"/>
    <w:rsid w:val="00170F73"/>
    <w:rsid w:val="001748B3"/>
    <w:rsid w:val="00174A6F"/>
    <w:rsid w:val="00177A94"/>
    <w:rsid w:val="00182C63"/>
    <w:rsid w:val="001850B3"/>
    <w:rsid w:val="00186833"/>
    <w:rsid w:val="001874F5"/>
    <w:rsid w:val="0019200F"/>
    <w:rsid w:val="001931E5"/>
    <w:rsid w:val="00193A4A"/>
    <w:rsid w:val="00193F7A"/>
    <w:rsid w:val="00195ADF"/>
    <w:rsid w:val="00195CED"/>
    <w:rsid w:val="00195F24"/>
    <w:rsid w:val="00197CBC"/>
    <w:rsid w:val="001A2415"/>
    <w:rsid w:val="001A2ADF"/>
    <w:rsid w:val="001A3D77"/>
    <w:rsid w:val="001A3E71"/>
    <w:rsid w:val="001A47FC"/>
    <w:rsid w:val="001A4C51"/>
    <w:rsid w:val="001A60A6"/>
    <w:rsid w:val="001A721B"/>
    <w:rsid w:val="001B0109"/>
    <w:rsid w:val="001B134D"/>
    <w:rsid w:val="001B16D5"/>
    <w:rsid w:val="001B1E65"/>
    <w:rsid w:val="001B5D9F"/>
    <w:rsid w:val="001B61E2"/>
    <w:rsid w:val="001B6FC5"/>
    <w:rsid w:val="001B71F3"/>
    <w:rsid w:val="001C05BF"/>
    <w:rsid w:val="001C0822"/>
    <w:rsid w:val="001C1FA8"/>
    <w:rsid w:val="001C2E3C"/>
    <w:rsid w:val="001C5C6B"/>
    <w:rsid w:val="001C5D6A"/>
    <w:rsid w:val="001C7A9B"/>
    <w:rsid w:val="001D00EC"/>
    <w:rsid w:val="001D0877"/>
    <w:rsid w:val="001D210F"/>
    <w:rsid w:val="001D286D"/>
    <w:rsid w:val="001D4050"/>
    <w:rsid w:val="001D4334"/>
    <w:rsid w:val="001D5693"/>
    <w:rsid w:val="001D676C"/>
    <w:rsid w:val="001E0E0D"/>
    <w:rsid w:val="001E1151"/>
    <w:rsid w:val="001E223B"/>
    <w:rsid w:val="001E365C"/>
    <w:rsid w:val="001E4381"/>
    <w:rsid w:val="001E6A6D"/>
    <w:rsid w:val="001F20D7"/>
    <w:rsid w:val="001F50F1"/>
    <w:rsid w:val="001F58A5"/>
    <w:rsid w:val="001F5926"/>
    <w:rsid w:val="001F640B"/>
    <w:rsid w:val="002017BD"/>
    <w:rsid w:val="00205C89"/>
    <w:rsid w:val="00206CC8"/>
    <w:rsid w:val="00207393"/>
    <w:rsid w:val="00207B68"/>
    <w:rsid w:val="002128FE"/>
    <w:rsid w:val="0021618B"/>
    <w:rsid w:val="0021711A"/>
    <w:rsid w:val="002200CD"/>
    <w:rsid w:val="0022031B"/>
    <w:rsid w:val="002239F3"/>
    <w:rsid w:val="00225481"/>
    <w:rsid w:val="002267E7"/>
    <w:rsid w:val="00226850"/>
    <w:rsid w:val="00227207"/>
    <w:rsid w:val="00233B62"/>
    <w:rsid w:val="0023667A"/>
    <w:rsid w:val="00237523"/>
    <w:rsid w:val="0023773F"/>
    <w:rsid w:val="00240F95"/>
    <w:rsid w:val="00242498"/>
    <w:rsid w:val="002445DE"/>
    <w:rsid w:val="00244724"/>
    <w:rsid w:val="002447B6"/>
    <w:rsid w:val="0024481C"/>
    <w:rsid w:val="00250E25"/>
    <w:rsid w:val="00251284"/>
    <w:rsid w:val="002528F9"/>
    <w:rsid w:val="00254691"/>
    <w:rsid w:val="00254F13"/>
    <w:rsid w:val="0025520B"/>
    <w:rsid w:val="0025652D"/>
    <w:rsid w:val="00256F69"/>
    <w:rsid w:val="00257E5D"/>
    <w:rsid w:val="00264A2A"/>
    <w:rsid w:val="00265115"/>
    <w:rsid w:val="002662F9"/>
    <w:rsid w:val="00267A08"/>
    <w:rsid w:val="00267B94"/>
    <w:rsid w:val="00271AE7"/>
    <w:rsid w:val="00276F91"/>
    <w:rsid w:val="0027704B"/>
    <w:rsid w:val="0028372C"/>
    <w:rsid w:val="0028382A"/>
    <w:rsid w:val="00285E92"/>
    <w:rsid w:val="0028704D"/>
    <w:rsid w:val="00287547"/>
    <w:rsid w:val="00287CF2"/>
    <w:rsid w:val="002922BC"/>
    <w:rsid w:val="00292F29"/>
    <w:rsid w:val="00293F9B"/>
    <w:rsid w:val="00294C94"/>
    <w:rsid w:val="002961A6"/>
    <w:rsid w:val="002A038A"/>
    <w:rsid w:val="002A4E34"/>
    <w:rsid w:val="002A6688"/>
    <w:rsid w:val="002A6D4D"/>
    <w:rsid w:val="002A6DE1"/>
    <w:rsid w:val="002B03D3"/>
    <w:rsid w:val="002B0554"/>
    <w:rsid w:val="002B1780"/>
    <w:rsid w:val="002B2E08"/>
    <w:rsid w:val="002B57D3"/>
    <w:rsid w:val="002B634A"/>
    <w:rsid w:val="002B656B"/>
    <w:rsid w:val="002C0BB7"/>
    <w:rsid w:val="002C45BE"/>
    <w:rsid w:val="002C51B3"/>
    <w:rsid w:val="002C58AC"/>
    <w:rsid w:val="002C6052"/>
    <w:rsid w:val="002C6C13"/>
    <w:rsid w:val="002D02B1"/>
    <w:rsid w:val="002D1556"/>
    <w:rsid w:val="002D2904"/>
    <w:rsid w:val="002D2CA8"/>
    <w:rsid w:val="002D4194"/>
    <w:rsid w:val="002D5F74"/>
    <w:rsid w:val="002D63EC"/>
    <w:rsid w:val="002D6E23"/>
    <w:rsid w:val="002D733A"/>
    <w:rsid w:val="002D735F"/>
    <w:rsid w:val="002E2040"/>
    <w:rsid w:val="002E38F8"/>
    <w:rsid w:val="002E4507"/>
    <w:rsid w:val="002E5C17"/>
    <w:rsid w:val="002E6B69"/>
    <w:rsid w:val="002E6F72"/>
    <w:rsid w:val="002F068C"/>
    <w:rsid w:val="002F0EF9"/>
    <w:rsid w:val="002F1087"/>
    <w:rsid w:val="002F32B5"/>
    <w:rsid w:val="002F3732"/>
    <w:rsid w:val="00301610"/>
    <w:rsid w:val="00304068"/>
    <w:rsid w:val="003043C8"/>
    <w:rsid w:val="00305101"/>
    <w:rsid w:val="0030589C"/>
    <w:rsid w:val="00305AC3"/>
    <w:rsid w:val="003066CF"/>
    <w:rsid w:val="0030748C"/>
    <w:rsid w:val="00307522"/>
    <w:rsid w:val="00307D60"/>
    <w:rsid w:val="0031171D"/>
    <w:rsid w:val="00312D54"/>
    <w:rsid w:val="003130B0"/>
    <w:rsid w:val="00315774"/>
    <w:rsid w:val="0031774E"/>
    <w:rsid w:val="00320541"/>
    <w:rsid w:val="00322E8D"/>
    <w:rsid w:val="003230E0"/>
    <w:rsid w:val="0032373C"/>
    <w:rsid w:val="00324B10"/>
    <w:rsid w:val="00324F7F"/>
    <w:rsid w:val="003254DB"/>
    <w:rsid w:val="0032793B"/>
    <w:rsid w:val="00327C8F"/>
    <w:rsid w:val="003302B2"/>
    <w:rsid w:val="0033158D"/>
    <w:rsid w:val="003346EF"/>
    <w:rsid w:val="0033569A"/>
    <w:rsid w:val="00336B99"/>
    <w:rsid w:val="00341604"/>
    <w:rsid w:val="0034229F"/>
    <w:rsid w:val="00344B10"/>
    <w:rsid w:val="00344B96"/>
    <w:rsid w:val="003459B5"/>
    <w:rsid w:val="003460F0"/>
    <w:rsid w:val="00350813"/>
    <w:rsid w:val="00350ACC"/>
    <w:rsid w:val="00353E62"/>
    <w:rsid w:val="00357794"/>
    <w:rsid w:val="00357B1E"/>
    <w:rsid w:val="003608CC"/>
    <w:rsid w:val="00360D9C"/>
    <w:rsid w:val="00363133"/>
    <w:rsid w:val="00365330"/>
    <w:rsid w:val="0037027B"/>
    <w:rsid w:val="003716DF"/>
    <w:rsid w:val="00375409"/>
    <w:rsid w:val="003770E1"/>
    <w:rsid w:val="00377A59"/>
    <w:rsid w:val="00381B67"/>
    <w:rsid w:val="00383A1D"/>
    <w:rsid w:val="00383D7C"/>
    <w:rsid w:val="00384BFA"/>
    <w:rsid w:val="00387395"/>
    <w:rsid w:val="00387B4A"/>
    <w:rsid w:val="00393DB0"/>
    <w:rsid w:val="003957B9"/>
    <w:rsid w:val="003958A1"/>
    <w:rsid w:val="0039653C"/>
    <w:rsid w:val="003971B9"/>
    <w:rsid w:val="00397A64"/>
    <w:rsid w:val="003A160F"/>
    <w:rsid w:val="003A3381"/>
    <w:rsid w:val="003A3F31"/>
    <w:rsid w:val="003A492E"/>
    <w:rsid w:val="003A4FD1"/>
    <w:rsid w:val="003A73F8"/>
    <w:rsid w:val="003B019C"/>
    <w:rsid w:val="003B12CB"/>
    <w:rsid w:val="003B134A"/>
    <w:rsid w:val="003B180B"/>
    <w:rsid w:val="003B3546"/>
    <w:rsid w:val="003B3F72"/>
    <w:rsid w:val="003B6D44"/>
    <w:rsid w:val="003B79E6"/>
    <w:rsid w:val="003C0195"/>
    <w:rsid w:val="003C1341"/>
    <w:rsid w:val="003C1C36"/>
    <w:rsid w:val="003C4EBE"/>
    <w:rsid w:val="003C7AF3"/>
    <w:rsid w:val="003D67D3"/>
    <w:rsid w:val="003D688A"/>
    <w:rsid w:val="003D6FC1"/>
    <w:rsid w:val="003E0852"/>
    <w:rsid w:val="003E1C77"/>
    <w:rsid w:val="003E238E"/>
    <w:rsid w:val="003E2F2A"/>
    <w:rsid w:val="003E4BD2"/>
    <w:rsid w:val="003E50CA"/>
    <w:rsid w:val="003E5465"/>
    <w:rsid w:val="003E61D3"/>
    <w:rsid w:val="003E69D4"/>
    <w:rsid w:val="003E745F"/>
    <w:rsid w:val="003E77E4"/>
    <w:rsid w:val="003F23F3"/>
    <w:rsid w:val="003F2902"/>
    <w:rsid w:val="003F5CCE"/>
    <w:rsid w:val="003F6D33"/>
    <w:rsid w:val="00400F18"/>
    <w:rsid w:val="00405ED6"/>
    <w:rsid w:val="004115A0"/>
    <w:rsid w:val="00412352"/>
    <w:rsid w:val="0041383D"/>
    <w:rsid w:val="0041599A"/>
    <w:rsid w:val="00415EDE"/>
    <w:rsid w:val="0041703B"/>
    <w:rsid w:val="004215CE"/>
    <w:rsid w:val="00423CD5"/>
    <w:rsid w:val="00425C9B"/>
    <w:rsid w:val="00431D0F"/>
    <w:rsid w:val="00436007"/>
    <w:rsid w:val="00440F45"/>
    <w:rsid w:val="004426AB"/>
    <w:rsid w:val="00444863"/>
    <w:rsid w:val="00445943"/>
    <w:rsid w:val="00446D5F"/>
    <w:rsid w:val="004473F1"/>
    <w:rsid w:val="00447AAB"/>
    <w:rsid w:val="00450EED"/>
    <w:rsid w:val="00452515"/>
    <w:rsid w:val="00452F6B"/>
    <w:rsid w:val="00456738"/>
    <w:rsid w:val="00457638"/>
    <w:rsid w:val="00460B7F"/>
    <w:rsid w:val="00463080"/>
    <w:rsid w:val="00464A80"/>
    <w:rsid w:val="004656EB"/>
    <w:rsid w:val="00467B4A"/>
    <w:rsid w:val="00467B6D"/>
    <w:rsid w:val="00472002"/>
    <w:rsid w:val="004725CF"/>
    <w:rsid w:val="00472EAE"/>
    <w:rsid w:val="0047450D"/>
    <w:rsid w:val="00474CA6"/>
    <w:rsid w:val="004813C7"/>
    <w:rsid w:val="004824FA"/>
    <w:rsid w:val="004826DF"/>
    <w:rsid w:val="004915B5"/>
    <w:rsid w:val="00492D81"/>
    <w:rsid w:val="004936B6"/>
    <w:rsid w:val="00493E05"/>
    <w:rsid w:val="004A1AAD"/>
    <w:rsid w:val="004A244A"/>
    <w:rsid w:val="004A3A92"/>
    <w:rsid w:val="004A5380"/>
    <w:rsid w:val="004A7AA0"/>
    <w:rsid w:val="004B35E7"/>
    <w:rsid w:val="004B4995"/>
    <w:rsid w:val="004B4CBE"/>
    <w:rsid w:val="004B62C7"/>
    <w:rsid w:val="004B64C9"/>
    <w:rsid w:val="004B71E9"/>
    <w:rsid w:val="004C1B5F"/>
    <w:rsid w:val="004C2575"/>
    <w:rsid w:val="004C6893"/>
    <w:rsid w:val="004D1789"/>
    <w:rsid w:val="004D2783"/>
    <w:rsid w:val="004D4643"/>
    <w:rsid w:val="004D604A"/>
    <w:rsid w:val="004E38D5"/>
    <w:rsid w:val="004E4E05"/>
    <w:rsid w:val="004E5757"/>
    <w:rsid w:val="004E61EE"/>
    <w:rsid w:val="004F26D9"/>
    <w:rsid w:val="004F2BE0"/>
    <w:rsid w:val="004F3BD9"/>
    <w:rsid w:val="004F4E88"/>
    <w:rsid w:val="004F5B71"/>
    <w:rsid w:val="004F5BE6"/>
    <w:rsid w:val="004F62C3"/>
    <w:rsid w:val="00500A0E"/>
    <w:rsid w:val="00501834"/>
    <w:rsid w:val="0050244A"/>
    <w:rsid w:val="00504741"/>
    <w:rsid w:val="0050556E"/>
    <w:rsid w:val="00506568"/>
    <w:rsid w:val="00506ABB"/>
    <w:rsid w:val="00506E3B"/>
    <w:rsid w:val="005078E1"/>
    <w:rsid w:val="005115E1"/>
    <w:rsid w:val="00511D21"/>
    <w:rsid w:val="0051212D"/>
    <w:rsid w:val="00516E56"/>
    <w:rsid w:val="00517186"/>
    <w:rsid w:val="00521CAB"/>
    <w:rsid w:val="005257FE"/>
    <w:rsid w:val="005345C0"/>
    <w:rsid w:val="00534A75"/>
    <w:rsid w:val="0053537C"/>
    <w:rsid w:val="00541584"/>
    <w:rsid w:val="00542C8E"/>
    <w:rsid w:val="00542EC6"/>
    <w:rsid w:val="0054523F"/>
    <w:rsid w:val="00546680"/>
    <w:rsid w:val="00553366"/>
    <w:rsid w:val="0055360D"/>
    <w:rsid w:val="005548C7"/>
    <w:rsid w:val="005558B4"/>
    <w:rsid w:val="00556C70"/>
    <w:rsid w:val="00557172"/>
    <w:rsid w:val="00560C7D"/>
    <w:rsid w:val="00564EAB"/>
    <w:rsid w:val="00570E32"/>
    <w:rsid w:val="00570F15"/>
    <w:rsid w:val="0057293D"/>
    <w:rsid w:val="00573A88"/>
    <w:rsid w:val="00574D08"/>
    <w:rsid w:val="00575795"/>
    <w:rsid w:val="00580428"/>
    <w:rsid w:val="00580D8A"/>
    <w:rsid w:val="005821B8"/>
    <w:rsid w:val="00582E36"/>
    <w:rsid w:val="0058461A"/>
    <w:rsid w:val="00587222"/>
    <w:rsid w:val="005908C7"/>
    <w:rsid w:val="005917B6"/>
    <w:rsid w:val="00593FA6"/>
    <w:rsid w:val="005942B1"/>
    <w:rsid w:val="00597722"/>
    <w:rsid w:val="005A1468"/>
    <w:rsid w:val="005A253D"/>
    <w:rsid w:val="005A2A8A"/>
    <w:rsid w:val="005A5EED"/>
    <w:rsid w:val="005A769C"/>
    <w:rsid w:val="005B1D80"/>
    <w:rsid w:val="005B226B"/>
    <w:rsid w:val="005B2DF3"/>
    <w:rsid w:val="005B31E2"/>
    <w:rsid w:val="005B33BC"/>
    <w:rsid w:val="005B3A4E"/>
    <w:rsid w:val="005B41F1"/>
    <w:rsid w:val="005B4B26"/>
    <w:rsid w:val="005B5024"/>
    <w:rsid w:val="005B5E3C"/>
    <w:rsid w:val="005C0E63"/>
    <w:rsid w:val="005C49B3"/>
    <w:rsid w:val="005C70F8"/>
    <w:rsid w:val="005D0930"/>
    <w:rsid w:val="005D1D01"/>
    <w:rsid w:val="005D3624"/>
    <w:rsid w:val="005D38C4"/>
    <w:rsid w:val="005D4223"/>
    <w:rsid w:val="005D6673"/>
    <w:rsid w:val="005D7296"/>
    <w:rsid w:val="005D74FF"/>
    <w:rsid w:val="005D7AB1"/>
    <w:rsid w:val="005E0010"/>
    <w:rsid w:val="005E2339"/>
    <w:rsid w:val="005E32E6"/>
    <w:rsid w:val="005E4308"/>
    <w:rsid w:val="005E62B7"/>
    <w:rsid w:val="005E6A84"/>
    <w:rsid w:val="005E6BF5"/>
    <w:rsid w:val="005F4A42"/>
    <w:rsid w:val="005F7CE2"/>
    <w:rsid w:val="00601268"/>
    <w:rsid w:val="0060294E"/>
    <w:rsid w:val="006065A1"/>
    <w:rsid w:val="006078D2"/>
    <w:rsid w:val="0060793D"/>
    <w:rsid w:val="006113BC"/>
    <w:rsid w:val="00611951"/>
    <w:rsid w:val="00612555"/>
    <w:rsid w:val="006138D7"/>
    <w:rsid w:val="00613C9A"/>
    <w:rsid w:val="00615FAE"/>
    <w:rsid w:val="00616EE6"/>
    <w:rsid w:val="00616F2B"/>
    <w:rsid w:val="00617E1B"/>
    <w:rsid w:val="00617F7B"/>
    <w:rsid w:val="00622E16"/>
    <w:rsid w:val="00623260"/>
    <w:rsid w:val="006237B9"/>
    <w:rsid w:val="00636EFD"/>
    <w:rsid w:val="0063781E"/>
    <w:rsid w:val="006400D1"/>
    <w:rsid w:val="006403B2"/>
    <w:rsid w:val="006407D5"/>
    <w:rsid w:val="00642FD5"/>
    <w:rsid w:val="00645741"/>
    <w:rsid w:val="0064714E"/>
    <w:rsid w:val="006476E3"/>
    <w:rsid w:val="00651B92"/>
    <w:rsid w:val="00651CF2"/>
    <w:rsid w:val="006522D6"/>
    <w:rsid w:val="006616D7"/>
    <w:rsid w:val="00662F75"/>
    <w:rsid w:val="00663E33"/>
    <w:rsid w:val="00665A0C"/>
    <w:rsid w:val="00667CDC"/>
    <w:rsid w:val="00670556"/>
    <w:rsid w:val="00672731"/>
    <w:rsid w:val="00673306"/>
    <w:rsid w:val="00673A66"/>
    <w:rsid w:val="0067402B"/>
    <w:rsid w:val="006742EF"/>
    <w:rsid w:val="00674918"/>
    <w:rsid w:val="006762E6"/>
    <w:rsid w:val="00677994"/>
    <w:rsid w:val="00682E05"/>
    <w:rsid w:val="00684F12"/>
    <w:rsid w:val="00685136"/>
    <w:rsid w:val="00685350"/>
    <w:rsid w:val="006855B0"/>
    <w:rsid w:val="0068612F"/>
    <w:rsid w:val="006862F0"/>
    <w:rsid w:val="00686CF2"/>
    <w:rsid w:val="00686FE5"/>
    <w:rsid w:val="006913C9"/>
    <w:rsid w:val="006916A3"/>
    <w:rsid w:val="00691DA2"/>
    <w:rsid w:val="00694263"/>
    <w:rsid w:val="00695995"/>
    <w:rsid w:val="00696651"/>
    <w:rsid w:val="00696E3D"/>
    <w:rsid w:val="006A0E7B"/>
    <w:rsid w:val="006A112C"/>
    <w:rsid w:val="006A1E16"/>
    <w:rsid w:val="006A2E3A"/>
    <w:rsid w:val="006A3D82"/>
    <w:rsid w:val="006A3F9D"/>
    <w:rsid w:val="006A46C9"/>
    <w:rsid w:val="006A5476"/>
    <w:rsid w:val="006A6A4E"/>
    <w:rsid w:val="006A6BC0"/>
    <w:rsid w:val="006A79ED"/>
    <w:rsid w:val="006B13DE"/>
    <w:rsid w:val="006B1FD3"/>
    <w:rsid w:val="006B2D17"/>
    <w:rsid w:val="006B3CE2"/>
    <w:rsid w:val="006B3D48"/>
    <w:rsid w:val="006B4873"/>
    <w:rsid w:val="006B4F0D"/>
    <w:rsid w:val="006B5A58"/>
    <w:rsid w:val="006B77DF"/>
    <w:rsid w:val="006C03ED"/>
    <w:rsid w:val="006C058B"/>
    <w:rsid w:val="006C13E8"/>
    <w:rsid w:val="006C4532"/>
    <w:rsid w:val="006C48B3"/>
    <w:rsid w:val="006C63D7"/>
    <w:rsid w:val="006C75F6"/>
    <w:rsid w:val="006D1410"/>
    <w:rsid w:val="006D1FC0"/>
    <w:rsid w:val="006D3820"/>
    <w:rsid w:val="006D404E"/>
    <w:rsid w:val="006D40C4"/>
    <w:rsid w:val="006D4C59"/>
    <w:rsid w:val="006D64D8"/>
    <w:rsid w:val="006D6BEF"/>
    <w:rsid w:val="006E0E11"/>
    <w:rsid w:val="006E265F"/>
    <w:rsid w:val="006E2B8A"/>
    <w:rsid w:val="006E5ED8"/>
    <w:rsid w:val="006E7125"/>
    <w:rsid w:val="006F4487"/>
    <w:rsid w:val="006F53FC"/>
    <w:rsid w:val="006F5888"/>
    <w:rsid w:val="006F7D6F"/>
    <w:rsid w:val="007018DA"/>
    <w:rsid w:val="0070285B"/>
    <w:rsid w:val="00703803"/>
    <w:rsid w:val="00703D77"/>
    <w:rsid w:val="007060C7"/>
    <w:rsid w:val="007065B8"/>
    <w:rsid w:val="00706990"/>
    <w:rsid w:val="00707573"/>
    <w:rsid w:val="00710317"/>
    <w:rsid w:val="007111E6"/>
    <w:rsid w:val="00711384"/>
    <w:rsid w:val="00711950"/>
    <w:rsid w:val="00712CF1"/>
    <w:rsid w:val="00715578"/>
    <w:rsid w:val="0071735D"/>
    <w:rsid w:val="00717475"/>
    <w:rsid w:val="007178DA"/>
    <w:rsid w:val="00717E88"/>
    <w:rsid w:val="0072037A"/>
    <w:rsid w:val="007210F7"/>
    <w:rsid w:val="007216E7"/>
    <w:rsid w:val="00721B01"/>
    <w:rsid w:val="00725564"/>
    <w:rsid w:val="00733E48"/>
    <w:rsid w:val="00734462"/>
    <w:rsid w:val="00734B47"/>
    <w:rsid w:val="00737A1A"/>
    <w:rsid w:val="00737FFC"/>
    <w:rsid w:val="00740BBE"/>
    <w:rsid w:val="00740E5F"/>
    <w:rsid w:val="00741CA5"/>
    <w:rsid w:val="00742523"/>
    <w:rsid w:val="00742F05"/>
    <w:rsid w:val="00744636"/>
    <w:rsid w:val="00746DBE"/>
    <w:rsid w:val="00747928"/>
    <w:rsid w:val="00750675"/>
    <w:rsid w:val="00751C48"/>
    <w:rsid w:val="00751EE1"/>
    <w:rsid w:val="0075353F"/>
    <w:rsid w:val="0075491B"/>
    <w:rsid w:val="00754F4A"/>
    <w:rsid w:val="00755E94"/>
    <w:rsid w:val="00757438"/>
    <w:rsid w:val="0076038F"/>
    <w:rsid w:val="00762539"/>
    <w:rsid w:val="00763FA7"/>
    <w:rsid w:val="00764D71"/>
    <w:rsid w:val="007658FF"/>
    <w:rsid w:val="007664C3"/>
    <w:rsid w:val="00766765"/>
    <w:rsid w:val="00766BE8"/>
    <w:rsid w:val="007706B9"/>
    <w:rsid w:val="0077182B"/>
    <w:rsid w:val="00772F65"/>
    <w:rsid w:val="00773C14"/>
    <w:rsid w:val="00774DE9"/>
    <w:rsid w:val="00776BB5"/>
    <w:rsid w:val="00777306"/>
    <w:rsid w:val="00782839"/>
    <w:rsid w:val="00782935"/>
    <w:rsid w:val="00791600"/>
    <w:rsid w:val="007916B7"/>
    <w:rsid w:val="00791BBA"/>
    <w:rsid w:val="0079359D"/>
    <w:rsid w:val="00793C09"/>
    <w:rsid w:val="00794620"/>
    <w:rsid w:val="0079520A"/>
    <w:rsid w:val="00796C36"/>
    <w:rsid w:val="0079715E"/>
    <w:rsid w:val="007A2EBC"/>
    <w:rsid w:val="007A33E6"/>
    <w:rsid w:val="007A43B1"/>
    <w:rsid w:val="007A4EC1"/>
    <w:rsid w:val="007A6342"/>
    <w:rsid w:val="007A6477"/>
    <w:rsid w:val="007A651A"/>
    <w:rsid w:val="007A6D34"/>
    <w:rsid w:val="007B1BCE"/>
    <w:rsid w:val="007B34B7"/>
    <w:rsid w:val="007B3831"/>
    <w:rsid w:val="007B50B7"/>
    <w:rsid w:val="007B6140"/>
    <w:rsid w:val="007B69C9"/>
    <w:rsid w:val="007C052F"/>
    <w:rsid w:val="007C2FD7"/>
    <w:rsid w:val="007C5004"/>
    <w:rsid w:val="007C5486"/>
    <w:rsid w:val="007D13D1"/>
    <w:rsid w:val="007D172F"/>
    <w:rsid w:val="007D2ABB"/>
    <w:rsid w:val="007D4920"/>
    <w:rsid w:val="007D59C6"/>
    <w:rsid w:val="007D6122"/>
    <w:rsid w:val="007E0130"/>
    <w:rsid w:val="007E0336"/>
    <w:rsid w:val="007E0CB4"/>
    <w:rsid w:val="007E1429"/>
    <w:rsid w:val="007E2CC7"/>
    <w:rsid w:val="007E3031"/>
    <w:rsid w:val="007E36FB"/>
    <w:rsid w:val="007E3913"/>
    <w:rsid w:val="007E4214"/>
    <w:rsid w:val="007E4C45"/>
    <w:rsid w:val="007E5803"/>
    <w:rsid w:val="007E7E04"/>
    <w:rsid w:val="007F01C6"/>
    <w:rsid w:val="007F33AF"/>
    <w:rsid w:val="007F34A4"/>
    <w:rsid w:val="007F57AA"/>
    <w:rsid w:val="00801C71"/>
    <w:rsid w:val="00801F79"/>
    <w:rsid w:val="00802335"/>
    <w:rsid w:val="0080261A"/>
    <w:rsid w:val="008028EA"/>
    <w:rsid w:val="0080391E"/>
    <w:rsid w:val="00804332"/>
    <w:rsid w:val="00804887"/>
    <w:rsid w:val="00806216"/>
    <w:rsid w:val="008116E6"/>
    <w:rsid w:val="008162FE"/>
    <w:rsid w:val="00816CEF"/>
    <w:rsid w:val="008208B3"/>
    <w:rsid w:val="00820D26"/>
    <w:rsid w:val="008240A4"/>
    <w:rsid w:val="00824F0A"/>
    <w:rsid w:val="00826F84"/>
    <w:rsid w:val="008318DB"/>
    <w:rsid w:val="008344C9"/>
    <w:rsid w:val="00835643"/>
    <w:rsid w:val="0084148F"/>
    <w:rsid w:val="0084292E"/>
    <w:rsid w:val="008438C7"/>
    <w:rsid w:val="00845CA8"/>
    <w:rsid w:val="00845FCE"/>
    <w:rsid w:val="008460B4"/>
    <w:rsid w:val="00846F96"/>
    <w:rsid w:val="00847D88"/>
    <w:rsid w:val="008514BF"/>
    <w:rsid w:val="0085370E"/>
    <w:rsid w:val="00853E68"/>
    <w:rsid w:val="00854295"/>
    <w:rsid w:val="008612E1"/>
    <w:rsid w:val="00861472"/>
    <w:rsid w:val="00861D6B"/>
    <w:rsid w:val="00862C6C"/>
    <w:rsid w:val="00864202"/>
    <w:rsid w:val="0086562D"/>
    <w:rsid w:val="00866CA1"/>
    <w:rsid w:val="008718DA"/>
    <w:rsid w:val="00873845"/>
    <w:rsid w:val="00874FCF"/>
    <w:rsid w:val="00876A03"/>
    <w:rsid w:val="00881E8D"/>
    <w:rsid w:val="00883664"/>
    <w:rsid w:val="0088620D"/>
    <w:rsid w:val="00887EF9"/>
    <w:rsid w:val="00887F52"/>
    <w:rsid w:val="008902E8"/>
    <w:rsid w:val="00892E9B"/>
    <w:rsid w:val="00894CF9"/>
    <w:rsid w:val="00895FA2"/>
    <w:rsid w:val="0089762A"/>
    <w:rsid w:val="008A194E"/>
    <w:rsid w:val="008A20B0"/>
    <w:rsid w:val="008A480E"/>
    <w:rsid w:val="008A5484"/>
    <w:rsid w:val="008A5628"/>
    <w:rsid w:val="008A65E7"/>
    <w:rsid w:val="008B0485"/>
    <w:rsid w:val="008B0D14"/>
    <w:rsid w:val="008B1C94"/>
    <w:rsid w:val="008B308C"/>
    <w:rsid w:val="008B37FA"/>
    <w:rsid w:val="008B611B"/>
    <w:rsid w:val="008B7997"/>
    <w:rsid w:val="008C12A1"/>
    <w:rsid w:val="008C25D0"/>
    <w:rsid w:val="008C288B"/>
    <w:rsid w:val="008C2A6A"/>
    <w:rsid w:val="008C37D6"/>
    <w:rsid w:val="008C4B48"/>
    <w:rsid w:val="008C4C53"/>
    <w:rsid w:val="008C593B"/>
    <w:rsid w:val="008C59EA"/>
    <w:rsid w:val="008C61DD"/>
    <w:rsid w:val="008C65EC"/>
    <w:rsid w:val="008C73B9"/>
    <w:rsid w:val="008C7E41"/>
    <w:rsid w:val="008D0B7A"/>
    <w:rsid w:val="008D1931"/>
    <w:rsid w:val="008D2125"/>
    <w:rsid w:val="008D4079"/>
    <w:rsid w:val="008D4B72"/>
    <w:rsid w:val="008D528D"/>
    <w:rsid w:val="008D59F2"/>
    <w:rsid w:val="008D66F7"/>
    <w:rsid w:val="008D7630"/>
    <w:rsid w:val="008D7AFF"/>
    <w:rsid w:val="008D7B52"/>
    <w:rsid w:val="008E065F"/>
    <w:rsid w:val="008E4711"/>
    <w:rsid w:val="008E6900"/>
    <w:rsid w:val="008E6D4B"/>
    <w:rsid w:val="008E7CD7"/>
    <w:rsid w:val="008F00E0"/>
    <w:rsid w:val="008F0261"/>
    <w:rsid w:val="008F09AC"/>
    <w:rsid w:val="008F10D5"/>
    <w:rsid w:val="008F125D"/>
    <w:rsid w:val="008F1C6D"/>
    <w:rsid w:val="008F366E"/>
    <w:rsid w:val="008F36AD"/>
    <w:rsid w:val="008F4475"/>
    <w:rsid w:val="008F6F33"/>
    <w:rsid w:val="008F7D93"/>
    <w:rsid w:val="00900C12"/>
    <w:rsid w:val="00902E4A"/>
    <w:rsid w:val="009037B5"/>
    <w:rsid w:val="0090399A"/>
    <w:rsid w:val="0090574C"/>
    <w:rsid w:val="00906507"/>
    <w:rsid w:val="00906C9A"/>
    <w:rsid w:val="009100EA"/>
    <w:rsid w:val="009113DE"/>
    <w:rsid w:val="00911593"/>
    <w:rsid w:val="00913F03"/>
    <w:rsid w:val="00914D0C"/>
    <w:rsid w:val="00915D4D"/>
    <w:rsid w:val="009217C8"/>
    <w:rsid w:val="00923117"/>
    <w:rsid w:val="00924198"/>
    <w:rsid w:val="00926054"/>
    <w:rsid w:val="00926E70"/>
    <w:rsid w:val="009300C6"/>
    <w:rsid w:val="0093056E"/>
    <w:rsid w:val="00932EE6"/>
    <w:rsid w:val="00933784"/>
    <w:rsid w:val="00937A20"/>
    <w:rsid w:val="009401D7"/>
    <w:rsid w:val="009411B2"/>
    <w:rsid w:val="009441FA"/>
    <w:rsid w:val="00944398"/>
    <w:rsid w:val="00944932"/>
    <w:rsid w:val="00945642"/>
    <w:rsid w:val="009457A2"/>
    <w:rsid w:val="00945973"/>
    <w:rsid w:val="00946C81"/>
    <w:rsid w:val="009515A8"/>
    <w:rsid w:val="00951A41"/>
    <w:rsid w:val="009535F7"/>
    <w:rsid w:val="00953962"/>
    <w:rsid w:val="00955123"/>
    <w:rsid w:val="009557FA"/>
    <w:rsid w:val="00956171"/>
    <w:rsid w:val="00957332"/>
    <w:rsid w:val="00962A7B"/>
    <w:rsid w:val="00965BBB"/>
    <w:rsid w:val="00966F2E"/>
    <w:rsid w:val="00967119"/>
    <w:rsid w:val="00971878"/>
    <w:rsid w:val="00976292"/>
    <w:rsid w:val="00977FF1"/>
    <w:rsid w:val="00980BAB"/>
    <w:rsid w:val="009817C3"/>
    <w:rsid w:val="00981C29"/>
    <w:rsid w:val="009835F5"/>
    <w:rsid w:val="0098376C"/>
    <w:rsid w:val="00990EA2"/>
    <w:rsid w:val="00994115"/>
    <w:rsid w:val="00994BAB"/>
    <w:rsid w:val="00995AA2"/>
    <w:rsid w:val="00996679"/>
    <w:rsid w:val="00996DAD"/>
    <w:rsid w:val="00997A4E"/>
    <w:rsid w:val="009A49BF"/>
    <w:rsid w:val="009A6C4D"/>
    <w:rsid w:val="009B1A4F"/>
    <w:rsid w:val="009B1B81"/>
    <w:rsid w:val="009B3051"/>
    <w:rsid w:val="009B5C7B"/>
    <w:rsid w:val="009B5E32"/>
    <w:rsid w:val="009B7F06"/>
    <w:rsid w:val="009C045E"/>
    <w:rsid w:val="009C0793"/>
    <w:rsid w:val="009C09A9"/>
    <w:rsid w:val="009C22D7"/>
    <w:rsid w:val="009C2D63"/>
    <w:rsid w:val="009C3266"/>
    <w:rsid w:val="009C3EC2"/>
    <w:rsid w:val="009C6050"/>
    <w:rsid w:val="009C67FA"/>
    <w:rsid w:val="009D006C"/>
    <w:rsid w:val="009D15FE"/>
    <w:rsid w:val="009D2B1C"/>
    <w:rsid w:val="009D37B3"/>
    <w:rsid w:val="009D4656"/>
    <w:rsid w:val="009D5ACC"/>
    <w:rsid w:val="009D5DB1"/>
    <w:rsid w:val="009D5FBF"/>
    <w:rsid w:val="009E09F9"/>
    <w:rsid w:val="009E2364"/>
    <w:rsid w:val="009E3B38"/>
    <w:rsid w:val="009E40D3"/>
    <w:rsid w:val="009F0877"/>
    <w:rsid w:val="009F1CAE"/>
    <w:rsid w:val="009F1D26"/>
    <w:rsid w:val="009F3095"/>
    <w:rsid w:val="009F40DC"/>
    <w:rsid w:val="009F4C61"/>
    <w:rsid w:val="009F50B6"/>
    <w:rsid w:val="009F5867"/>
    <w:rsid w:val="009F7367"/>
    <w:rsid w:val="009F7D7A"/>
    <w:rsid w:val="00A00A54"/>
    <w:rsid w:val="00A01A3D"/>
    <w:rsid w:val="00A026E2"/>
    <w:rsid w:val="00A04B01"/>
    <w:rsid w:val="00A0548C"/>
    <w:rsid w:val="00A0721E"/>
    <w:rsid w:val="00A074F1"/>
    <w:rsid w:val="00A07551"/>
    <w:rsid w:val="00A10D50"/>
    <w:rsid w:val="00A11719"/>
    <w:rsid w:val="00A14475"/>
    <w:rsid w:val="00A1497E"/>
    <w:rsid w:val="00A17CA7"/>
    <w:rsid w:val="00A20343"/>
    <w:rsid w:val="00A2107A"/>
    <w:rsid w:val="00A22C2B"/>
    <w:rsid w:val="00A2434C"/>
    <w:rsid w:val="00A2522F"/>
    <w:rsid w:val="00A258A5"/>
    <w:rsid w:val="00A30AE6"/>
    <w:rsid w:val="00A31618"/>
    <w:rsid w:val="00A344CA"/>
    <w:rsid w:val="00A34E7C"/>
    <w:rsid w:val="00A34E86"/>
    <w:rsid w:val="00A358AC"/>
    <w:rsid w:val="00A363D9"/>
    <w:rsid w:val="00A4441A"/>
    <w:rsid w:val="00A468D9"/>
    <w:rsid w:val="00A52039"/>
    <w:rsid w:val="00A53B23"/>
    <w:rsid w:val="00A56833"/>
    <w:rsid w:val="00A570EF"/>
    <w:rsid w:val="00A6050C"/>
    <w:rsid w:val="00A6063E"/>
    <w:rsid w:val="00A65F15"/>
    <w:rsid w:val="00A70BB6"/>
    <w:rsid w:val="00A76099"/>
    <w:rsid w:val="00A76687"/>
    <w:rsid w:val="00A76F47"/>
    <w:rsid w:val="00A772FD"/>
    <w:rsid w:val="00A7765F"/>
    <w:rsid w:val="00A77C3B"/>
    <w:rsid w:val="00A81CAB"/>
    <w:rsid w:val="00A85661"/>
    <w:rsid w:val="00A904DC"/>
    <w:rsid w:val="00A90573"/>
    <w:rsid w:val="00A925E7"/>
    <w:rsid w:val="00A9723E"/>
    <w:rsid w:val="00AA031F"/>
    <w:rsid w:val="00AA101D"/>
    <w:rsid w:val="00AA1F09"/>
    <w:rsid w:val="00AA4AE3"/>
    <w:rsid w:val="00AA4BA5"/>
    <w:rsid w:val="00AA7B7C"/>
    <w:rsid w:val="00AB0798"/>
    <w:rsid w:val="00AB225F"/>
    <w:rsid w:val="00AB2D8E"/>
    <w:rsid w:val="00AB5C06"/>
    <w:rsid w:val="00AB66A6"/>
    <w:rsid w:val="00AB7A0E"/>
    <w:rsid w:val="00AC24B4"/>
    <w:rsid w:val="00AC2775"/>
    <w:rsid w:val="00AC39D1"/>
    <w:rsid w:val="00AC5B38"/>
    <w:rsid w:val="00AC70D4"/>
    <w:rsid w:val="00AD2EED"/>
    <w:rsid w:val="00AD4924"/>
    <w:rsid w:val="00AD58EA"/>
    <w:rsid w:val="00AE01C3"/>
    <w:rsid w:val="00AE07E1"/>
    <w:rsid w:val="00AE11E4"/>
    <w:rsid w:val="00AE23E4"/>
    <w:rsid w:val="00AE4297"/>
    <w:rsid w:val="00AE52EC"/>
    <w:rsid w:val="00AE7702"/>
    <w:rsid w:val="00AF268E"/>
    <w:rsid w:val="00AF2809"/>
    <w:rsid w:val="00AF624E"/>
    <w:rsid w:val="00AF6AA2"/>
    <w:rsid w:val="00B0264D"/>
    <w:rsid w:val="00B02A37"/>
    <w:rsid w:val="00B035A9"/>
    <w:rsid w:val="00B06D41"/>
    <w:rsid w:val="00B070D0"/>
    <w:rsid w:val="00B07848"/>
    <w:rsid w:val="00B10F7F"/>
    <w:rsid w:val="00B12D00"/>
    <w:rsid w:val="00B13347"/>
    <w:rsid w:val="00B1342C"/>
    <w:rsid w:val="00B13AF6"/>
    <w:rsid w:val="00B151DC"/>
    <w:rsid w:val="00B208BA"/>
    <w:rsid w:val="00B20E74"/>
    <w:rsid w:val="00B218D5"/>
    <w:rsid w:val="00B22F76"/>
    <w:rsid w:val="00B2402E"/>
    <w:rsid w:val="00B26C89"/>
    <w:rsid w:val="00B30975"/>
    <w:rsid w:val="00B31358"/>
    <w:rsid w:val="00B367BF"/>
    <w:rsid w:val="00B37838"/>
    <w:rsid w:val="00B3795F"/>
    <w:rsid w:val="00B4057C"/>
    <w:rsid w:val="00B41887"/>
    <w:rsid w:val="00B41E6A"/>
    <w:rsid w:val="00B42FF3"/>
    <w:rsid w:val="00B4305A"/>
    <w:rsid w:val="00B431F6"/>
    <w:rsid w:val="00B434F1"/>
    <w:rsid w:val="00B439CA"/>
    <w:rsid w:val="00B43F0B"/>
    <w:rsid w:val="00B44BB7"/>
    <w:rsid w:val="00B45AFE"/>
    <w:rsid w:val="00B45EEC"/>
    <w:rsid w:val="00B47021"/>
    <w:rsid w:val="00B47742"/>
    <w:rsid w:val="00B539B6"/>
    <w:rsid w:val="00B54DE8"/>
    <w:rsid w:val="00B55B23"/>
    <w:rsid w:val="00B5737C"/>
    <w:rsid w:val="00B57559"/>
    <w:rsid w:val="00B627FD"/>
    <w:rsid w:val="00B62EE6"/>
    <w:rsid w:val="00B647BD"/>
    <w:rsid w:val="00B67D45"/>
    <w:rsid w:val="00B7073A"/>
    <w:rsid w:val="00B72127"/>
    <w:rsid w:val="00B73C73"/>
    <w:rsid w:val="00B7512E"/>
    <w:rsid w:val="00B76D77"/>
    <w:rsid w:val="00B77D71"/>
    <w:rsid w:val="00B80908"/>
    <w:rsid w:val="00B82282"/>
    <w:rsid w:val="00B82806"/>
    <w:rsid w:val="00B836DD"/>
    <w:rsid w:val="00B8448D"/>
    <w:rsid w:val="00B86732"/>
    <w:rsid w:val="00B86F92"/>
    <w:rsid w:val="00B872E7"/>
    <w:rsid w:val="00B8758F"/>
    <w:rsid w:val="00B904D6"/>
    <w:rsid w:val="00B914B3"/>
    <w:rsid w:val="00B92EE5"/>
    <w:rsid w:val="00B92F73"/>
    <w:rsid w:val="00B94828"/>
    <w:rsid w:val="00B94DA9"/>
    <w:rsid w:val="00B967DA"/>
    <w:rsid w:val="00B97B6A"/>
    <w:rsid w:val="00BA00E2"/>
    <w:rsid w:val="00BA1B4C"/>
    <w:rsid w:val="00BA79BA"/>
    <w:rsid w:val="00BB04B1"/>
    <w:rsid w:val="00BB0E37"/>
    <w:rsid w:val="00BB1907"/>
    <w:rsid w:val="00BB3227"/>
    <w:rsid w:val="00BB38C6"/>
    <w:rsid w:val="00BB548F"/>
    <w:rsid w:val="00BB550B"/>
    <w:rsid w:val="00BB5809"/>
    <w:rsid w:val="00BB752C"/>
    <w:rsid w:val="00BC023A"/>
    <w:rsid w:val="00BC1543"/>
    <w:rsid w:val="00BC194F"/>
    <w:rsid w:val="00BC3645"/>
    <w:rsid w:val="00BC5897"/>
    <w:rsid w:val="00BC6803"/>
    <w:rsid w:val="00BD06AB"/>
    <w:rsid w:val="00BD244D"/>
    <w:rsid w:val="00BD4E49"/>
    <w:rsid w:val="00BD64BF"/>
    <w:rsid w:val="00BD64FA"/>
    <w:rsid w:val="00BD6DBD"/>
    <w:rsid w:val="00BE0270"/>
    <w:rsid w:val="00BE5D02"/>
    <w:rsid w:val="00BE642D"/>
    <w:rsid w:val="00BE7A06"/>
    <w:rsid w:val="00BE7CC3"/>
    <w:rsid w:val="00BF0FA5"/>
    <w:rsid w:val="00BF11F4"/>
    <w:rsid w:val="00BF1FB6"/>
    <w:rsid w:val="00BF2FB8"/>
    <w:rsid w:val="00BF3452"/>
    <w:rsid w:val="00BF57D6"/>
    <w:rsid w:val="00C01334"/>
    <w:rsid w:val="00C014AA"/>
    <w:rsid w:val="00C01FAF"/>
    <w:rsid w:val="00C0254D"/>
    <w:rsid w:val="00C045DA"/>
    <w:rsid w:val="00C051EF"/>
    <w:rsid w:val="00C102FA"/>
    <w:rsid w:val="00C13C5D"/>
    <w:rsid w:val="00C14453"/>
    <w:rsid w:val="00C14980"/>
    <w:rsid w:val="00C15A95"/>
    <w:rsid w:val="00C17719"/>
    <w:rsid w:val="00C17DDF"/>
    <w:rsid w:val="00C218C4"/>
    <w:rsid w:val="00C24462"/>
    <w:rsid w:val="00C25764"/>
    <w:rsid w:val="00C25B54"/>
    <w:rsid w:val="00C3186F"/>
    <w:rsid w:val="00C321F5"/>
    <w:rsid w:val="00C32906"/>
    <w:rsid w:val="00C33095"/>
    <w:rsid w:val="00C34155"/>
    <w:rsid w:val="00C34A88"/>
    <w:rsid w:val="00C354EA"/>
    <w:rsid w:val="00C42435"/>
    <w:rsid w:val="00C456A4"/>
    <w:rsid w:val="00C47B25"/>
    <w:rsid w:val="00C502A0"/>
    <w:rsid w:val="00C50466"/>
    <w:rsid w:val="00C505B9"/>
    <w:rsid w:val="00C51395"/>
    <w:rsid w:val="00C51D01"/>
    <w:rsid w:val="00C535DD"/>
    <w:rsid w:val="00C56768"/>
    <w:rsid w:val="00C570CA"/>
    <w:rsid w:val="00C620B4"/>
    <w:rsid w:val="00C63072"/>
    <w:rsid w:val="00C652F0"/>
    <w:rsid w:val="00C677CC"/>
    <w:rsid w:val="00C71F75"/>
    <w:rsid w:val="00C7330F"/>
    <w:rsid w:val="00C73D81"/>
    <w:rsid w:val="00C762E2"/>
    <w:rsid w:val="00C80ABF"/>
    <w:rsid w:val="00C80FD8"/>
    <w:rsid w:val="00C816B2"/>
    <w:rsid w:val="00C84C66"/>
    <w:rsid w:val="00C855D1"/>
    <w:rsid w:val="00C87421"/>
    <w:rsid w:val="00C87AA4"/>
    <w:rsid w:val="00C909E8"/>
    <w:rsid w:val="00C90E00"/>
    <w:rsid w:val="00C90FF4"/>
    <w:rsid w:val="00C9177E"/>
    <w:rsid w:val="00C91784"/>
    <w:rsid w:val="00C92B58"/>
    <w:rsid w:val="00C93A27"/>
    <w:rsid w:val="00C949C7"/>
    <w:rsid w:val="00C94C80"/>
    <w:rsid w:val="00C95B75"/>
    <w:rsid w:val="00CA020E"/>
    <w:rsid w:val="00CA05AB"/>
    <w:rsid w:val="00CA0F13"/>
    <w:rsid w:val="00CA1E96"/>
    <w:rsid w:val="00CA2C98"/>
    <w:rsid w:val="00CA4186"/>
    <w:rsid w:val="00CA4C8B"/>
    <w:rsid w:val="00CB0CE6"/>
    <w:rsid w:val="00CB11DC"/>
    <w:rsid w:val="00CB167A"/>
    <w:rsid w:val="00CB41FE"/>
    <w:rsid w:val="00CB4513"/>
    <w:rsid w:val="00CB5C00"/>
    <w:rsid w:val="00CB658B"/>
    <w:rsid w:val="00CC1D1B"/>
    <w:rsid w:val="00CC62E8"/>
    <w:rsid w:val="00CC6D13"/>
    <w:rsid w:val="00CD4104"/>
    <w:rsid w:val="00CE0403"/>
    <w:rsid w:val="00CE05DE"/>
    <w:rsid w:val="00CE0818"/>
    <w:rsid w:val="00CE0A45"/>
    <w:rsid w:val="00CE1408"/>
    <w:rsid w:val="00CE345A"/>
    <w:rsid w:val="00CE36EE"/>
    <w:rsid w:val="00CE4346"/>
    <w:rsid w:val="00CF1649"/>
    <w:rsid w:val="00CF1C85"/>
    <w:rsid w:val="00CF3A29"/>
    <w:rsid w:val="00CF48EB"/>
    <w:rsid w:val="00CF572F"/>
    <w:rsid w:val="00CF65E6"/>
    <w:rsid w:val="00CF67EF"/>
    <w:rsid w:val="00CF7A3F"/>
    <w:rsid w:val="00CF7DBB"/>
    <w:rsid w:val="00D001D4"/>
    <w:rsid w:val="00D005EC"/>
    <w:rsid w:val="00D01068"/>
    <w:rsid w:val="00D01A02"/>
    <w:rsid w:val="00D03518"/>
    <w:rsid w:val="00D057F0"/>
    <w:rsid w:val="00D10243"/>
    <w:rsid w:val="00D1057B"/>
    <w:rsid w:val="00D165BF"/>
    <w:rsid w:val="00D16A56"/>
    <w:rsid w:val="00D17A5C"/>
    <w:rsid w:val="00D21EDF"/>
    <w:rsid w:val="00D21FFB"/>
    <w:rsid w:val="00D2284C"/>
    <w:rsid w:val="00D256FA"/>
    <w:rsid w:val="00D31C91"/>
    <w:rsid w:val="00D347A2"/>
    <w:rsid w:val="00D34FAB"/>
    <w:rsid w:val="00D410E5"/>
    <w:rsid w:val="00D41BDC"/>
    <w:rsid w:val="00D43B24"/>
    <w:rsid w:val="00D4468A"/>
    <w:rsid w:val="00D46A9B"/>
    <w:rsid w:val="00D47910"/>
    <w:rsid w:val="00D52108"/>
    <w:rsid w:val="00D53E45"/>
    <w:rsid w:val="00D5487F"/>
    <w:rsid w:val="00D564F2"/>
    <w:rsid w:val="00D56B81"/>
    <w:rsid w:val="00D56F9B"/>
    <w:rsid w:val="00D5706D"/>
    <w:rsid w:val="00D60239"/>
    <w:rsid w:val="00D60EC4"/>
    <w:rsid w:val="00D61D83"/>
    <w:rsid w:val="00D63294"/>
    <w:rsid w:val="00D637A1"/>
    <w:rsid w:val="00D63821"/>
    <w:rsid w:val="00D67607"/>
    <w:rsid w:val="00D75579"/>
    <w:rsid w:val="00D76431"/>
    <w:rsid w:val="00D77ADE"/>
    <w:rsid w:val="00D81F96"/>
    <w:rsid w:val="00D823A8"/>
    <w:rsid w:val="00D826AF"/>
    <w:rsid w:val="00D849B4"/>
    <w:rsid w:val="00D900CE"/>
    <w:rsid w:val="00D911D1"/>
    <w:rsid w:val="00D915FC"/>
    <w:rsid w:val="00D92CB1"/>
    <w:rsid w:val="00D93F7D"/>
    <w:rsid w:val="00D94980"/>
    <w:rsid w:val="00D9675A"/>
    <w:rsid w:val="00D971C0"/>
    <w:rsid w:val="00DA010D"/>
    <w:rsid w:val="00DA1E3E"/>
    <w:rsid w:val="00DA3B1E"/>
    <w:rsid w:val="00DA428E"/>
    <w:rsid w:val="00DB00E4"/>
    <w:rsid w:val="00DB114C"/>
    <w:rsid w:val="00DB2795"/>
    <w:rsid w:val="00DB36DE"/>
    <w:rsid w:val="00DB42AF"/>
    <w:rsid w:val="00DB6EE2"/>
    <w:rsid w:val="00DC0AD0"/>
    <w:rsid w:val="00DC18E4"/>
    <w:rsid w:val="00DC40AE"/>
    <w:rsid w:val="00DC423E"/>
    <w:rsid w:val="00DC5C07"/>
    <w:rsid w:val="00DC65FA"/>
    <w:rsid w:val="00DD3D08"/>
    <w:rsid w:val="00DD5CB6"/>
    <w:rsid w:val="00DD6CAC"/>
    <w:rsid w:val="00DD7C21"/>
    <w:rsid w:val="00DE2814"/>
    <w:rsid w:val="00DE3686"/>
    <w:rsid w:val="00DE45CF"/>
    <w:rsid w:val="00DF0990"/>
    <w:rsid w:val="00DF127F"/>
    <w:rsid w:val="00DF1924"/>
    <w:rsid w:val="00DF1943"/>
    <w:rsid w:val="00DF2A2E"/>
    <w:rsid w:val="00DF354A"/>
    <w:rsid w:val="00DF4602"/>
    <w:rsid w:val="00DF4A90"/>
    <w:rsid w:val="00DF78D1"/>
    <w:rsid w:val="00DF7A65"/>
    <w:rsid w:val="00E02339"/>
    <w:rsid w:val="00E078C4"/>
    <w:rsid w:val="00E102DF"/>
    <w:rsid w:val="00E110A0"/>
    <w:rsid w:val="00E120B0"/>
    <w:rsid w:val="00E13134"/>
    <w:rsid w:val="00E1389F"/>
    <w:rsid w:val="00E17BB1"/>
    <w:rsid w:val="00E203C3"/>
    <w:rsid w:val="00E2339C"/>
    <w:rsid w:val="00E31DDE"/>
    <w:rsid w:val="00E338EE"/>
    <w:rsid w:val="00E33F22"/>
    <w:rsid w:val="00E34D38"/>
    <w:rsid w:val="00E3730A"/>
    <w:rsid w:val="00E37917"/>
    <w:rsid w:val="00E4606B"/>
    <w:rsid w:val="00E502D9"/>
    <w:rsid w:val="00E50ECC"/>
    <w:rsid w:val="00E50F46"/>
    <w:rsid w:val="00E524C8"/>
    <w:rsid w:val="00E52B17"/>
    <w:rsid w:val="00E5527C"/>
    <w:rsid w:val="00E56F00"/>
    <w:rsid w:val="00E60B1B"/>
    <w:rsid w:val="00E6183B"/>
    <w:rsid w:val="00E625EF"/>
    <w:rsid w:val="00E6265C"/>
    <w:rsid w:val="00E65189"/>
    <w:rsid w:val="00E667CA"/>
    <w:rsid w:val="00E677FA"/>
    <w:rsid w:val="00E75197"/>
    <w:rsid w:val="00E75645"/>
    <w:rsid w:val="00E802D1"/>
    <w:rsid w:val="00E80C7D"/>
    <w:rsid w:val="00E84ACF"/>
    <w:rsid w:val="00E8654F"/>
    <w:rsid w:val="00E92757"/>
    <w:rsid w:val="00E93251"/>
    <w:rsid w:val="00E935FB"/>
    <w:rsid w:val="00E9411B"/>
    <w:rsid w:val="00E97428"/>
    <w:rsid w:val="00E97E5A"/>
    <w:rsid w:val="00EA0F04"/>
    <w:rsid w:val="00EA1CD1"/>
    <w:rsid w:val="00EA5D39"/>
    <w:rsid w:val="00EA641A"/>
    <w:rsid w:val="00EB06A6"/>
    <w:rsid w:val="00EB0D25"/>
    <w:rsid w:val="00EB1167"/>
    <w:rsid w:val="00EB26DC"/>
    <w:rsid w:val="00EB33C0"/>
    <w:rsid w:val="00EB3F55"/>
    <w:rsid w:val="00EB453E"/>
    <w:rsid w:val="00EB49CE"/>
    <w:rsid w:val="00EB7CB6"/>
    <w:rsid w:val="00EC0024"/>
    <w:rsid w:val="00EC11C2"/>
    <w:rsid w:val="00EC12F7"/>
    <w:rsid w:val="00EC156A"/>
    <w:rsid w:val="00EC1DCB"/>
    <w:rsid w:val="00EC2231"/>
    <w:rsid w:val="00EC51F8"/>
    <w:rsid w:val="00EC625B"/>
    <w:rsid w:val="00EC73F1"/>
    <w:rsid w:val="00EC77FD"/>
    <w:rsid w:val="00ED0656"/>
    <w:rsid w:val="00ED0E6E"/>
    <w:rsid w:val="00ED2812"/>
    <w:rsid w:val="00ED346A"/>
    <w:rsid w:val="00ED3A31"/>
    <w:rsid w:val="00ED3BE6"/>
    <w:rsid w:val="00ED5D0E"/>
    <w:rsid w:val="00ED622A"/>
    <w:rsid w:val="00ED71DB"/>
    <w:rsid w:val="00EE2843"/>
    <w:rsid w:val="00EE2BB4"/>
    <w:rsid w:val="00EE54AD"/>
    <w:rsid w:val="00EE5E1B"/>
    <w:rsid w:val="00EE645C"/>
    <w:rsid w:val="00EF0223"/>
    <w:rsid w:val="00EF0B02"/>
    <w:rsid w:val="00EF1522"/>
    <w:rsid w:val="00EF2BD1"/>
    <w:rsid w:val="00EF4152"/>
    <w:rsid w:val="00F03B28"/>
    <w:rsid w:val="00F0441A"/>
    <w:rsid w:val="00F056D9"/>
    <w:rsid w:val="00F11350"/>
    <w:rsid w:val="00F12F0C"/>
    <w:rsid w:val="00F1544B"/>
    <w:rsid w:val="00F156BB"/>
    <w:rsid w:val="00F15C38"/>
    <w:rsid w:val="00F16BE8"/>
    <w:rsid w:val="00F17A8E"/>
    <w:rsid w:val="00F228C9"/>
    <w:rsid w:val="00F23FB0"/>
    <w:rsid w:val="00F279C8"/>
    <w:rsid w:val="00F30A31"/>
    <w:rsid w:val="00F33D1E"/>
    <w:rsid w:val="00F354B9"/>
    <w:rsid w:val="00F362CE"/>
    <w:rsid w:val="00F401A9"/>
    <w:rsid w:val="00F41AC8"/>
    <w:rsid w:val="00F4247E"/>
    <w:rsid w:val="00F432F4"/>
    <w:rsid w:val="00F43EB7"/>
    <w:rsid w:val="00F46EFF"/>
    <w:rsid w:val="00F51854"/>
    <w:rsid w:val="00F54D76"/>
    <w:rsid w:val="00F5567E"/>
    <w:rsid w:val="00F55DB5"/>
    <w:rsid w:val="00F55F25"/>
    <w:rsid w:val="00F57451"/>
    <w:rsid w:val="00F60614"/>
    <w:rsid w:val="00F61202"/>
    <w:rsid w:val="00F6371E"/>
    <w:rsid w:val="00F640F7"/>
    <w:rsid w:val="00F647F0"/>
    <w:rsid w:val="00F65C66"/>
    <w:rsid w:val="00F70FAD"/>
    <w:rsid w:val="00F72A6A"/>
    <w:rsid w:val="00F73328"/>
    <w:rsid w:val="00F73620"/>
    <w:rsid w:val="00F748B3"/>
    <w:rsid w:val="00F7529A"/>
    <w:rsid w:val="00F756BA"/>
    <w:rsid w:val="00F80C88"/>
    <w:rsid w:val="00F81557"/>
    <w:rsid w:val="00F834E8"/>
    <w:rsid w:val="00F84E22"/>
    <w:rsid w:val="00F87CD6"/>
    <w:rsid w:val="00F916BB"/>
    <w:rsid w:val="00F9383D"/>
    <w:rsid w:val="00F940A7"/>
    <w:rsid w:val="00F943F7"/>
    <w:rsid w:val="00F96FC2"/>
    <w:rsid w:val="00FA22F9"/>
    <w:rsid w:val="00FA5365"/>
    <w:rsid w:val="00FA59EA"/>
    <w:rsid w:val="00FB1394"/>
    <w:rsid w:val="00FB15A3"/>
    <w:rsid w:val="00FB1B15"/>
    <w:rsid w:val="00FB1FB9"/>
    <w:rsid w:val="00FB3D1B"/>
    <w:rsid w:val="00FB750B"/>
    <w:rsid w:val="00FC1844"/>
    <w:rsid w:val="00FC1ADB"/>
    <w:rsid w:val="00FC364F"/>
    <w:rsid w:val="00FC4BA3"/>
    <w:rsid w:val="00FC5377"/>
    <w:rsid w:val="00FC63DF"/>
    <w:rsid w:val="00FD11EA"/>
    <w:rsid w:val="00FD299A"/>
    <w:rsid w:val="00FD573A"/>
    <w:rsid w:val="00FD7293"/>
    <w:rsid w:val="00FD7435"/>
    <w:rsid w:val="00FE1FD5"/>
    <w:rsid w:val="00FE2B48"/>
    <w:rsid w:val="00FE62E5"/>
    <w:rsid w:val="00FE6B49"/>
    <w:rsid w:val="00FE723D"/>
    <w:rsid w:val="00FF01B2"/>
    <w:rsid w:val="00FF123E"/>
    <w:rsid w:val="00FF2350"/>
    <w:rsid w:val="00FF2F93"/>
    <w:rsid w:val="00FF35F7"/>
    <w:rsid w:val="00FF3C79"/>
    <w:rsid w:val="00FF46C7"/>
    <w:rsid w:val="00FF5973"/>
    <w:rsid w:val="00FF5C02"/>
    <w:rsid w:val="00FF65BC"/>
    <w:rsid w:val="00FF6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E0BF0"/>
  <w15:chartTrackingRefBased/>
  <w15:docId w15:val="{6B421D71-9C4E-4AFB-A281-EAA67AAF3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E37"/>
    <w:pPr>
      <w:jc w:val="both"/>
    </w:pPr>
  </w:style>
  <w:style w:type="paragraph" w:styleId="Heading1">
    <w:name w:val="heading 1"/>
    <w:basedOn w:val="Normal"/>
    <w:next w:val="Normal"/>
    <w:link w:val="Heading1Char"/>
    <w:autoRedefine/>
    <w:uiPriority w:val="9"/>
    <w:qFormat/>
    <w:rsid w:val="00D93F7D"/>
    <w:pPr>
      <w:keepNext/>
      <w:keepLines/>
      <w:spacing w:before="240" w:after="0"/>
      <w:outlineLvl w:val="0"/>
    </w:pPr>
    <w:rPr>
      <w:rFonts w:eastAsiaTheme="majorEastAsia" w:cstheme="majorBidi"/>
      <w:b/>
      <w:color w:val="000000" w:themeColor="text1"/>
      <w:sz w:val="36"/>
      <w:szCs w:val="32"/>
    </w:rPr>
  </w:style>
  <w:style w:type="paragraph" w:styleId="Heading2">
    <w:name w:val="heading 2"/>
    <w:basedOn w:val="Normal"/>
    <w:next w:val="Normal"/>
    <w:link w:val="Heading2Char"/>
    <w:uiPriority w:val="9"/>
    <w:unhideWhenUsed/>
    <w:qFormat/>
    <w:rsid w:val="001C2E3C"/>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3667A"/>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semiHidden/>
    <w:unhideWhenUsed/>
    <w:qFormat/>
    <w:rsid w:val="006B13D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1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18B"/>
  </w:style>
  <w:style w:type="paragraph" w:styleId="Footer">
    <w:name w:val="footer"/>
    <w:basedOn w:val="Normal"/>
    <w:link w:val="FooterChar"/>
    <w:uiPriority w:val="99"/>
    <w:unhideWhenUsed/>
    <w:rsid w:val="000A51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18B"/>
  </w:style>
  <w:style w:type="character" w:customStyle="1" w:styleId="Heading2Char">
    <w:name w:val="Heading 2 Char"/>
    <w:basedOn w:val="DefaultParagraphFont"/>
    <w:link w:val="Heading2"/>
    <w:uiPriority w:val="9"/>
    <w:rsid w:val="001C2E3C"/>
    <w:rPr>
      <w:rFonts w:eastAsiaTheme="majorEastAsia" w:cstheme="majorBidi"/>
      <w:b/>
      <w:sz w:val="26"/>
      <w:szCs w:val="26"/>
    </w:rPr>
  </w:style>
  <w:style w:type="table" w:styleId="TableGrid">
    <w:name w:val="Table Grid"/>
    <w:basedOn w:val="TableNormal"/>
    <w:uiPriority w:val="39"/>
    <w:rsid w:val="00B43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C0E63"/>
    <w:rPr>
      <w:color w:val="808080"/>
    </w:rPr>
  </w:style>
  <w:style w:type="character" w:customStyle="1" w:styleId="Heading1Char">
    <w:name w:val="Heading 1 Char"/>
    <w:basedOn w:val="DefaultParagraphFont"/>
    <w:link w:val="Heading1"/>
    <w:uiPriority w:val="9"/>
    <w:rsid w:val="00D93F7D"/>
    <w:rPr>
      <w:rFonts w:eastAsiaTheme="majorEastAsia" w:cstheme="majorBidi"/>
      <w:b/>
      <w:color w:val="000000" w:themeColor="text1"/>
      <w:sz w:val="36"/>
      <w:szCs w:val="32"/>
    </w:rPr>
  </w:style>
  <w:style w:type="paragraph" w:styleId="TOCHeading">
    <w:name w:val="TOC Heading"/>
    <w:basedOn w:val="Heading1"/>
    <w:next w:val="Normal"/>
    <w:uiPriority w:val="39"/>
    <w:unhideWhenUsed/>
    <w:qFormat/>
    <w:rsid w:val="005C0E63"/>
    <w:pPr>
      <w:outlineLvl w:val="9"/>
    </w:pPr>
  </w:style>
  <w:style w:type="paragraph" w:styleId="Title">
    <w:name w:val="Title"/>
    <w:basedOn w:val="Normal"/>
    <w:next w:val="Normal"/>
    <w:link w:val="TitleChar"/>
    <w:autoRedefine/>
    <w:uiPriority w:val="10"/>
    <w:qFormat/>
    <w:rsid w:val="00AE11E4"/>
    <w:pPr>
      <w:spacing w:after="0" w:line="240" w:lineRule="auto"/>
      <w:contextualSpacing/>
      <w:jc w:val="right"/>
    </w:pPr>
    <w:rPr>
      <w:rFonts w:eastAsiaTheme="majorEastAsia" w:cstheme="majorBidi"/>
      <w:b/>
      <w:spacing w:val="-10"/>
      <w:kern w:val="28"/>
      <w:sz w:val="48"/>
      <w:szCs w:val="48"/>
    </w:rPr>
  </w:style>
  <w:style w:type="character" w:customStyle="1" w:styleId="TitleChar">
    <w:name w:val="Title Char"/>
    <w:basedOn w:val="DefaultParagraphFont"/>
    <w:link w:val="Title"/>
    <w:uiPriority w:val="10"/>
    <w:rsid w:val="00AE11E4"/>
    <w:rPr>
      <w:rFonts w:eastAsiaTheme="majorEastAsia" w:cstheme="majorBidi"/>
      <w:b/>
      <w:spacing w:val="-10"/>
      <w:kern w:val="28"/>
      <w:sz w:val="48"/>
      <w:szCs w:val="48"/>
    </w:rPr>
  </w:style>
  <w:style w:type="paragraph" w:customStyle="1" w:styleId="Exhibit">
    <w:name w:val="Exhibit"/>
    <w:basedOn w:val="Normal"/>
    <w:qFormat/>
    <w:rsid w:val="00474CA6"/>
    <w:pPr>
      <w:spacing w:after="240" w:line="240" w:lineRule="auto"/>
      <w:jc w:val="center"/>
    </w:pPr>
    <w:rPr>
      <w:rFonts w:ascii="Calibri" w:eastAsia="Times New Roman" w:hAnsi="Calibri" w:cs="Arial"/>
      <w:sz w:val="20"/>
      <w:szCs w:val="20"/>
    </w:rPr>
  </w:style>
  <w:style w:type="paragraph" w:customStyle="1" w:styleId="SummaryTableTitle">
    <w:name w:val="Summary Table Title"/>
    <w:basedOn w:val="SummaryTable"/>
    <w:rsid w:val="00474CA6"/>
    <w:pPr>
      <w:tabs>
        <w:tab w:val="left" w:pos="360"/>
        <w:tab w:val="left" w:pos="727"/>
      </w:tabs>
    </w:pPr>
    <w:rPr>
      <w:b/>
    </w:rPr>
  </w:style>
  <w:style w:type="paragraph" w:customStyle="1" w:styleId="SummaryTable">
    <w:name w:val="Summary Table"/>
    <w:basedOn w:val="Normal"/>
    <w:link w:val="SummaryTableChar"/>
    <w:rsid w:val="00474CA6"/>
    <w:pPr>
      <w:spacing w:before="30" w:after="30" w:line="240" w:lineRule="auto"/>
    </w:pPr>
    <w:rPr>
      <w:rFonts w:ascii="Calibri" w:eastAsia="Times New Roman" w:hAnsi="Calibri" w:cs="Arial"/>
      <w:sz w:val="20"/>
      <w:szCs w:val="20"/>
      <w:lang w:val="x-none" w:eastAsia="x-none"/>
    </w:rPr>
  </w:style>
  <w:style w:type="character" w:customStyle="1" w:styleId="SummaryTableChar">
    <w:name w:val="Summary Table Char"/>
    <w:link w:val="SummaryTable"/>
    <w:rsid w:val="00474CA6"/>
    <w:rPr>
      <w:rFonts w:ascii="Calibri" w:eastAsia="Times New Roman" w:hAnsi="Calibri" w:cs="Arial"/>
      <w:sz w:val="20"/>
      <w:szCs w:val="20"/>
      <w:lang w:val="x-none" w:eastAsia="x-none"/>
    </w:rPr>
  </w:style>
  <w:style w:type="paragraph" w:customStyle="1" w:styleId="SummaryTableHeading">
    <w:name w:val="Summary Table Heading"/>
    <w:basedOn w:val="SummaryTable"/>
    <w:next w:val="Normal"/>
    <w:rsid w:val="00474CA6"/>
    <w:pPr>
      <w:keepNext/>
    </w:pPr>
    <w:rPr>
      <w:b/>
      <w:color w:val="FFFFFF" w:themeColor="background1"/>
    </w:rPr>
  </w:style>
  <w:style w:type="table" w:customStyle="1" w:styleId="BBGtbl1">
    <w:name w:val="BBGtbl1"/>
    <w:basedOn w:val="TableNormal"/>
    <w:uiPriority w:val="99"/>
    <w:rsid w:val="00474CA6"/>
    <w:pPr>
      <w:spacing w:after="0" w:line="240" w:lineRule="auto"/>
    </w:pPr>
    <w:rPr>
      <w:rFonts w:ascii="Calibri" w:eastAsia="Times New Roman" w:hAnsi="Calibri" w:cs="Times New Roman"/>
      <w:sz w:val="18"/>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pPr>
        <w:jc w:val="left"/>
      </w:pPr>
      <w:rPr>
        <w:rFonts w:ascii="Calibri" w:hAnsi="Calibri"/>
        <w:b/>
        <w:color w:val="FFFFFF" w:themeColor="background1"/>
        <w:sz w:val="20"/>
      </w:rPr>
      <w:tblPr/>
      <w:tcPr>
        <w:shd w:val="clear" w:color="auto" w:fill="000000" w:themeFill="text1"/>
      </w:tcPr>
    </w:tblStylePr>
    <w:tblStylePr w:type="firstCol">
      <w:tblPr/>
      <w:tcPr>
        <w:tcBorders>
          <w:top w:val="nil"/>
          <w:left w:val="nil"/>
          <w:bottom w:val="nil"/>
          <w:right w:val="single" w:sz="4" w:space="0" w:color="000000" w:themeColor="text1"/>
          <w:insideH w:val="nil"/>
          <w:insideV w:val="nil"/>
          <w:tl2br w:val="nil"/>
          <w:tr2bl w:val="nil"/>
        </w:tcBorders>
        <w:shd w:val="clear" w:color="auto" w:fill="FFFFFF" w:themeFill="background1"/>
      </w:tcPr>
    </w:tblStylePr>
  </w:style>
  <w:style w:type="paragraph" w:customStyle="1" w:styleId="SummaryTableBulletList">
    <w:name w:val="Summary Table Bullet List"/>
    <w:basedOn w:val="SummaryTable"/>
    <w:next w:val="SummaryTable"/>
    <w:qFormat/>
    <w:rsid w:val="00474CA6"/>
    <w:pPr>
      <w:numPr>
        <w:numId w:val="1"/>
      </w:numPr>
      <w:tabs>
        <w:tab w:val="num" w:pos="360"/>
      </w:tabs>
      <w:ind w:left="0" w:firstLine="0"/>
    </w:pPr>
  </w:style>
  <w:style w:type="character" w:customStyle="1" w:styleId="ChangeMe">
    <w:name w:val="ChangeMe"/>
    <w:qFormat/>
    <w:rsid w:val="00474CA6"/>
    <w:rPr>
      <w:color w:val="FF0000"/>
    </w:rPr>
  </w:style>
  <w:style w:type="paragraph" w:styleId="TOC1">
    <w:name w:val="toc 1"/>
    <w:basedOn w:val="Normal"/>
    <w:next w:val="Normal"/>
    <w:autoRedefine/>
    <w:uiPriority w:val="39"/>
    <w:unhideWhenUsed/>
    <w:rsid w:val="002A6D4D"/>
    <w:pPr>
      <w:spacing w:after="100"/>
    </w:pPr>
  </w:style>
  <w:style w:type="character" w:styleId="Hyperlink">
    <w:name w:val="Hyperlink"/>
    <w:basedOn w:val="DefaultParagraphFont"/>
    <w:uiPriority w:val="99"/>
    <w:unhideWhenUsed/>
    <w:rsid w:val="002A6D4D"/>
    <w:rPr>
      <w:color w:val="0563C1" w:themeColor="hyperlink"/>
      <w:u w:val="single"/>
    </w:rPr>
  </w:style>
  <w:style w:type="character" w:styleId="CommentReference">
    <w:name w:val="annotation reference"/>
    <w:basedOn w:val="DefaultParagraphFont"/>
    <w:uiPriority w:val="99"/>
    <w:unhideWhenUsed/>
    <w:rsid w:val="00763FA7"/>
    <w:rPr>
      <w:sz w:val="16"/>
      <w:szCs w:val="16"/>
    </w:rPr>
  </w:style>
  <w:style w:type="paragraph" w:styleId="CommentText">
    <w:name w:val="annotation text"/>
    <w:basedOn w:val="Normal"/>
    <w:link w:val="CommentTextChar"/>
    <w:uiPriority w:val="99"/>
    <w:unhideWhenUsed/>
    <w:rsid w:val="00763FA7"/>
    <w:pPr>
      <w:spacing w:line="240" w:lineRule="auto"/>
    </w:pPr>
    <w:rPr>
      <w:sz w:val="20"/>
      <w:szCs w:val="20"/>
    </w:rPr>
  </w:style>
  <w:style w:type="character" w:customStyle="1" w:styleId="CommentTextChar">
    <w:name w:val="Comment Text Char"/>
    <w:basedOn w:val="DefaultParagraphFont"/>
    <w:link w:val="CommentText"/>
    <w:uiPriority w:val="99"/>
    <w:rsid w:val="00763FA7"/>
    <w:rPr>
      <w:sz w:val="20"/>
      <w:szCs w:val="20"/>
    </w:rPr>
  </w:style>
  <w:style w:type="paragraph" w:styleId="CommentSubject">
    <w:name w:val="annotation subject"/>
    <w:basedOn w:val="CommentText"/>
    <w:next w:val="CommentText"/>
    <w:link w:val="CommentSubjectChar"/>
    <w:uiPriority w:val="99"/>
    <w:semiHidden/>
    <w:unhideWhenUsed/>
    <w:rsid w:val="00763FA7"/>
    <w:rPr>
      <w:b/>
      <w:bCs/>
    </w:rPr>
  </w:style>
  <w:style w:type="character" w:customStyle="1" w:styleId="CommentSubjectChar">
    <w:name w:val="Comment Subject Char"/>
    <w:basedOn w:val="CommentTextChar"/>
    <w:link w:val="CommentSubject"/>
    <w:uiPriority w:val="99"/>
    <w:semiHidden/>
    <w:rsid w:val="00763FA7"/>
    <w:rPr>
      <w:b/>
      <w:bCs/>
      <w:sz w:val="20"/>
      <w:szCs w:val="20"/>
    </w:rPr>
  </w:style>
  <w:style w:type="paragraph" w:customStyle="1" w:styleId="Footnote">
    <w:name w:val="Footnote"/>
    <w:basedOn w:val="Normal"/>
    <w:link w:val="FootnoteChar"/>
    <w:rsid w:val="0033158D"/>
    <w:pPr>
      <w:tabs>
        <w:tab w:val="left" w:pos="1296"/>
        <w:tab w:val="left" w:pos="3960"/>
      </w:tabs>
      <w:spacing w:before="40" w:after="120" w:line="240" w:lineRule="auto"/>
      <w:ind w:left="634" w:right="936"/>
    </w:pPr>
    <w:rPr>
      <w:rFonts w:ascii="Calibri" w:eastAsia="Bookman" w:hAnsi="Calibri" w:cs="Times New Roman"/>
      <w:color w:val="000000"/>
      <w:sz w:val="16"/>
      <w:szCs w:val="20"/>
    </w:rPr>
  </w:style>
  <w:style w:type="character" w:customStyle="1" w:styleId="FootnoteChar">
    <w:name w:val="Footnote Char"/>
    <w:link w:val="Footnote"/>
    <w:rsid w:val="0033158D"/>
    <w:rPr>
      <w:rFonts w:ascii="Calibri" w:eastAsia="Bookman" w:hAnsi="Calibri" w:cs="Times New Roman"/>
      <w:color w:val="000000"/>
      <w:sz w:val="16"/>
      <w:szCs w:val="20"/>
    </w:rPr>
  </w:style>
  <w:style w:type="character" w:styleId="FootnoteReference">
    <w:name w:val="footnote reference"/>
    <w:rsid w:val="0033158D"/>
    <w:rPr>
      <w:vertAlign w:val="superscript"/>
    </w:rPr>
  </w:style>
  <w:style w:type="character" w:customStyle="1" w:styleId="Heading4Char">
    <w:name w:val="Heading 4 Char"/>
    <w:basedOn w:val="DefaultParagraphFont"/>
    <w:link w:val="Heading4"/>
    <w:uiPriority w:val="9"/>
    <w:semiHidden/>
    <w:rsid w:val="006B13DE"/>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23667A"/>
    <w:rPr>
      <w:rFonts w:asciiTheme="majorHAnsi" w:eastAsiaTheme="majorEastAsia" w:hAnsiTheme="majorHAnsi" w:cstheme="majorBidi"/>
      <w:b/>
      <w:sz w:val="24"/>
      <w:szCs w:val="24"/>
    </w:rPr>
  </w:style>
  <w:style w:type="paragraph" w:styleId="TOC2">
    <w:name w:val="toc 2"/>
    <w:basedOn w:val="Normal"/>
    <w:next w:val="Normal"/>
    <w:autoRedefine/>
    <w:uiPriority w:val="39"/>
    <w:unhideWhenUsed/>
    <w:rsid w:val="008F6F33"/>
    <w:pPr>
      <w:spacing w:after="100"/>
      <w:ind w:left="220"/>
    </w:pPr>
  </w:style>
  <w:style w:type="paragraph" w:styleId="TOC3">
    <w:name w:val="toc 3"/>
    <w:basedOn w:val="Normal"/>
    <w:next w:val="Normal"/>
    <w:autoRedefine/>
    <w:uiPriority w:val="39"/>
    <w:unhideWhenUsed/>
    <w:rsid w:val="008F6F33"/>
    <w:pPr>
      <w:spacing w:after="100"/>
      <w:ind w:left="440"/>
    </w:pPr>
  </w:style>
  <w:style w:type="paragraph" w:styleId="FootnoteText">
    <w:name w:val="footnote text"/>
    <w:basedOn w:val="Normal"/>
    <w:link w:val="FootnoteTextChar"/>
    <w:uiPriority w:val="99"/>
    <w:semiHidden/>
    <w:unhideWhenUsed/>
    <w:rsid w:val="008F6F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6F33"/>
    <w:rPr>
      <w:sz w:val="20"/>
      <w:szCs w:val="20"/>
    </w:rPr>
  </w:style>
  <w:style w:type="paragraph" w:styleId="Revision">
    <w:name w:val="Revision"/>
    <w:hidden/>
    <w:uiPriority w:val="99"/>
    <w:semiHidden/>
    <w:rsid w:val="00EB3F55"/>
    <w:pPr>
      <w:spacing w:after="0" w:line="240" w:lineRule="auto"/>
    </w:pPr>
  </w:style>
  <w:style w:type="paragraph" w:styleId="ListParagraph">
    <w:name w:val="List Paragraph"/>
    <w:aliases w:val="Certification Bullet  List"/>
    <w:basedOn w:val="Normal"/>
    <w:link w:val="ListParagraphChar"/>
    <w:uiPriority w:val="9"/>
    <w:qFormat/>
    <w:rsid w:val="00F279C8"/>
    <w:pPr>
      <w:ind w:left="720"/>
      <w:contextualSpacing/>
    </w:pPr>
  </w:style>
  <w:style w:type="paragraph" w:customStyle="1" w:styleId="Heading30">
    <w:name w:val="Heading3"/>
    <w:basedOn w:val="Heading3"/>
    <w:link w:val="Heading3Char0"/>
    <w:uiPriority w:val="1"/>
    <w:qFormat/>
    <w:rsid w:val="007065B8"/>
    <w:pPr>
      <w:keepLines w:val="0"/>
      <w:numPr>
        <w:ilvl w:val="1"/>
      </w:numPr>
      <w:spacing w:before="200" w:line="240" w:lineRule="auto"/>
    </w:pPr>
    <w:rPr>
      <w:rFonts w:ascii="Segoe UI" w:hAnsi="Segoe UI"/>
      <w:b w:val="0"/>
      <w:bCs/>
      <w:color w:val="44546A" w:themeColor="text2"/>
      <w:sz w:val="21"/>
      <w:u w:val="single"/>
    </w:rPr>
  </w:style>
  <w:style w:type="character" w:customStyle="1" w:styleId="Heading3Char0">
    <w:name w:val="Heading3 Char"/>
    <w:link w:val="Heading30"/>
    <w:uiPriority w:val="1"/>
    <w:rsid w:val="007065B8"/>
    <w:rPr>
      <w:rFonts w:ascii="Segoe UI" w:eastAsiaTheme="majorEastAsia" w:hAnsi="Segoe UI" w:cstheme="majorBidi"/>
      <w:bCs/>
      <w:color w:val="44546A" w:themeColor="text2"/>
      <w:sz w:val="21"/>
      <w:szCs w:val="24"/>
      <w:u w:val="single"/>
    </w:rPr>
  </w:style>
  <w:style w:type="paragraph" w:customStyle="1" w:styleId="Heading40">
    <w:name w:val="Heading4"/>
    <w:basedOn w:val="Heading4"/>
    <w:link w:val="Heading4Char0"/>
    <w:qFormat/>
    <w:rsid w:val="007065B8"/>
    <w:pPr>
      <w:spacing w:before="120" w:line="240" w:lineRule="auto"/>
    </w:pPr>
    <w:rPr>
      <w:rFonts w:ascii="Segoe UI" w:hAnsi="Segoe UI"/>
      <w:i w:val="0"/>
      <w:iCs w:val="0"/>
      <w:color w:val="44546A" w:themeColor="text2"/>
      <w:sz w:val="21"/>
      <w:szCs w:val="21"/>
    </w:rPr>
  </w:style>
  <w:style w:type="character" w:customStyle="1" w:styleId="Heading4Char0">
    <w:name w:val="Heading4 Char"/>
    <w:basedOn w:val="Heading4Char"/>
    <w:link w:val="Heading40"/>
    <w:rsid w:val="007065B8"/>
    <w:rPr>
      <w:rFonts w:ascii="Segoe UI" w:eastAsiaTheme="majorEastAsia" w:hAnsi="Segoe UI" w:cstheme="majorBidi"/>
      <w:i w:val="0"/>
      <w:iCs w:val="0"/>
      <w:color w:val="44546A" w:themeColor="text2"/>
      <w:sz w:val="21"/>
      <w:szCs w:val="21"/>
    </w:rPr>
  </w:style>
  <w:style w:type="paragraph" w:customStyle="1" w:styleId="AssignedAppraiserList">
    <w:name w:val="Assigned Appraiser List"/>
    <w:basedOn w:val="ListParagraph"/>
    <w:uiPriority w:val="3"/>
    <w:qFormat/>
    <w:rsid w:val="00E677FA"/>
    <w:pPr>
      <w:numPr>
        <w:numId w:val="5"/>
      </w:numPr>
      <w:spacing w:after="120" w:line="240" w:lineRule="auto"/>
      <w:contextualSpacing w:val="0"/>
      <w:jc w:val="left"/>
    </w:pPr>
    <w:rPr>
      <w:rFonts w:ascii="Segoe UI" w:eastAsia="Calibri" w:hAnsi="Segoe UI" w:cs="Times New Roman"/>
      <w:color w:val="000000" w:themeColor="text1"/>
      <w:sz w:val="18"/>
      <w:szCs w:val="21"/>
    </w:rPr>
  </w:style>
  <w:style w:type="paragraph" w:customStyle="1" w:styleId="ChartTitle">
    <w:name w:val="Chart Title"/>
    <w:basedOn w:val="Title"/>
    <w:autoRedefine/>
    <w:uiPriority w:val="2"/>
    <w:qFormat/>
    <w:rsid w:val="00E677FA"/>
    <w:pPr>
      <w:keepNext/>
      <w:keepLines/>
      <w:shd w:val="clear" w:color="auto" w:fill="FFFFFF" w:themeFill="background1"/>
      <w:spacing w:after="40"/>
      <w:mirrorIndents/>
      <w:jc w:val="center"/>
    </w:pPr>
    <w:rPr>
      <w:rFonts w:ascii="Segoe UI" w:hAnsi="Segoe UI"/>
      <w:caps/>
      <w:color w:val="44546A" w:themeColor="text2"/>
      <w:spacing w:val="0"/>
      <w:sz w:val="18"/>
      <w:szCs w:val="52"/>
    </w:rPr>
  </w:style>
  <w:style w:type="paragraph" w:customStyle="1" w:styleId="BodyJustified">
    <w:name w:val="Body  Justified"/>
    <w:basedOn w:val="Normal"/>
    <w:link w:val="BodyJustifiedChar"/>
    <w:qFormat/>
    <w:rsid w:val="00E677FA"/>
    <w:pPr>
      <w:spacing w:after="0" w:line="240" w:lineRule="auto"/>
    </w:pPr>
    <w:rPr>
      <w:rFonts w:ascii="Segoe UI" w:eastAsia="Calibri" w:hAnsi="Segoe UI" w:cs="Times New Roman"/>
      <w:color w:val="000000" w:themeColor="text1"/>
      <w:sz w:val="18"/>
      <w:szCs w:val="21"/>
    </w:rPr>
  </w:style>
  <w:style w:type="character" w:customStyle="1" w:styleId="BodyJustifiedChar">
    <w:name w:val="Body  Justified Char"/>
    <w:basedOn w:val="DefaultParagraphFont"/>
    <w:link w:val="BodyJustified"/>
    <w:rsid w:val="00E677FA"/>
    <w:rPr>
      <w:rFonts w:ascii="Segoe UI" w:eastAsia="Calibri" w:hAnsi="Segoe UI" w:cs="Times New Roman"/>
      <w:color w:val="000000" w:themeColor="text1"/>
      <w:sz w:val="18"/>
      <w:szCs w:val="21"/>
    </w:rPr>
  </w:style>
  <w:style w:type="paragraph" w:customStyle="1" w:styleId="Header2">
    <w:name w:val="Header 2"/>
    <w:basedOn w:val="Normal"/>
    <w:next w:val="BodyText"/>
    <w:link w:val="Header2Char"/>
    <w:qFormat/>
    <w:rsid w:val="00F33D1E"/>
    <w:pPr>
      <w:keepNext/>
      <w:keepLines/>
      <w:shd w:val="clear" w:color="auto" w:fill="D1D1D1"/>
      <w:spacing w:before="160" w:after="60" w:line="312" w:lineRule="auto"/>
      <w:ind w:left="-144" w:right="-144" w:firstLine="144"/>
      <w:jc w:val="left"/>
      <w:outlineLvl w:val="1"/>
    </w:pPr>
    <w:rPr>
      <w:rFonts w:ascii="Segoe UI" w:eastAsia="Calibri" w:hAnsi="Segoe UI" w:cs="Times New Roman"/>
      <w:b/>
      <w:color w:val="262626" w:themeColor="text1" w:themeTint="D9"/>
      <w:spacing w:val="14"/>
      <w:position w:val="-28"/>
      <w:sz w:val="19"/>
      <w:szCs w:val="21"/>
    </w:rPr>
  </w:style>
  <w:style w:type="character" w:customStyle="1" w:styleId="Header2Char">
    <w:name w:val="Header 2 Char"/>
    <w:basedOn w:val="DefaultParagraphFont"/>
    <w:link w:val="Header2"/>
    <w:rsid w:val="00F33D1E"/>
    <w:rPr>
      <w:rFonts w:ascii="Segoe UI" w:eastAsia="Calibri" w:hAnsi="Segoe UI" w:cs="Times New Roman"/>
      <w:b/>
      <w:color w:val="262626" w:themeColor="text1" w:themeTint="D9"/>
      <w:spacing w:val="14"/>
      <w:position w:val="-28"/>
      <w:sz w:val="19"/>
      <w:szCs w:val="21"/>
      <w:shd w:val="clear" w:color="auto" w:fill="D1D1D1"/>
    </w:rPr>
  </w:style>
  <w:style w:type="paragraph" w:styleId="BodyText">
    <w:name w:val="Body Text"/>
    <w:basedOn w:val="Normal"/>
    <w:link w:val="BodyTextChar"/>
    <w:uiPriority w:val="99"/>
    <w:semiHidden/>
    <w:unhideWhenUsed/>
    <w:rsid w:val="00F33D1E"/>
    <w:pPr>
      <w:spacing w:after="120"/>
    </w:pPr>
  </w:style>
  <w:style w:type="character" w:customStyle="1" w:styleId="BodyTextChar">
    <w:name w:val="Body Text Char"/>
    <w:basedOn w:val="DefaultParagraphFont"/>
    <w:link w:val="BodyText"/>
    <w:uiPriority w:val="99"/>
    <w:semiHidden/>
    <w:rsid w:val="00F33D1E"/>
  </w:style>
  <w:style w:type="paragraph" w:customStyle="1" w:styleId="Heading20">
    <w:name w:val="Heading2"/>
    <w:basedOn w:val="Heading2"/>
    <w:link w:val="Heading2Char0"/>
    <w:uiPriority w:val="1"/>
    <w:qFormat/>
    <w:rsid w:val="00AE07E1"/>
    <w:pPr>
      <w:spacing w:before="260" w:line="240" w:lineRule="auto"/>
    </w:pPr>
    <w:rPr>
      <w:rFonts w:ascii="Segoe UI Light" w:hAnsi="Segoe UI Light"/>
      <w:iCs/>
      <w:color w:val="44546A" w:themeColor="text2"/>
      <w:spacing w:val="-2"/>
      <w:kern w:val="24"/>
    </w:rPr>
  </w:style>
  <w:style w:type="character" w:customStyle="1" w:styleId="Heading2Char0">
    <w:name w:val="Heading2 Char"/>
    <w:basedOn w:val="Heading2Char"/>
    <w:link w:val="Heading20"/>
    <w:uiPriority w:val="1"/>
    <w:rsid w:val="00AE07E1"/>
    <w:rPr>
      <w:rFonts w:ascii="Segoe UI Light" w:eastAsiaTheme="majorEastAsia" w:hAnsi="Segoe UI Light" w:cstheme="majorBidi"/>
      <w:b/>
      <w:iCs/>
      <w:color w:val="44546A" w:themeColor="text2"/>
      <w:spacing w:val="-2"/>
      <w:kern w:val="24"/>
      <w:sz w:val="26"/>
      <w:szCs w:val="26"/>
    </w:rPr>
  </w:style>
  <w:style w:type="character" w:customStyle="1" w:styleId="ListParagraphChar">
    <w:name w:val="List Paragraph Char"/>
    <w:aliases w:val="Certification Bullet  List Char"/>
    <w:basedOn w:val="DefaultParagraphFont"/>
    <w:link w:val="ListParagraph"/>
    <w:uiPriority w:val="9"/>
    <w:rsid w:val="00463080"/>
  </w:style>
  <w:style w:type="paragraph" w:customStyle="1" w:styleId="3ptAfter">
    <w:name w:val="3pt After"/>
    <w:basedOn w:val="BodyText"/>
    <w:link w:val="3ptAfterChar"/>
    <w:uiPriority w:val="2"/>
    <w:qFormat/>
    <w:rsid w:val="000A521E"/>
    <w:pPr>
      <w:spacing w:after="60" w:line="240" w:lineRule="auto"/>
    </w:pPr>
    <w:rPr>
      <w:rFonts w:ascii="Segoe UI" w:eastAsia="Times New Roman" w:hAnsi="Segoe UI" w:cs="Times New Roman"/>
      <w:bCs/>
      <w:iCs/>
      <w:color w:val="000000" w:themeColor="text1"/>
      <w:sz w:val="21"/>
      <w:szCs w:val="21"/>
    </w:rPr>
  </w:style>
  <w:style w:type="table" w:customStyle="1" w:styleId="ValbridgeCustomTable">
    <w:name w:val="Valbridge Custom Table"/>
    <w:basedOn w:val="TableNormal"/>
    <w:uiPriority w:val="39"/>
    <w:rsid w:val="000A521E"/>
    <w:pPr>
      <w:spacing w:after="0" w:line="240" w:lineRule="auto"/>
      <w:jc w:val="center"/>
    </w:pPr>
    <w:rPr>
      <w:rFonts w:ascii="Segoe UI" w:eastAsia="Times New Roman" w:hAnsi="Segoe UI" w:cs="Times New Roman"/>
      <w:sz w:val="21"/>
      <w:szCs w:val="21"/>
    </w:rPr>
    <w:tblPr>
      <w:jc w:val="center"/>
      <w:tblBorders>
        <w:bottom w:val="single" w:sz="18" w:space="0" w:color="44546A" w:themeColor="text2"/>
      </w:tblBorders>
    </w:tblPr>
    <w:trPr>
      <w:jc w:val="center"/>
    </w:trPr>
    <w:tcPr>
      <w:vAlign w:val="center"/>
    </w:tcPr>
    <w:tblStylePr w:type="firstRow">
      <w:pPr>
        <w:jc w:val="center"/>
      </w:pPr>
      <w:rPr>
        <w:rFonts w:ascii="Segoe UI" w:hAnsi="Segoe UI"/>
        <w:b/>
        <w:color w:val="FFFFFF"/>
        <w:sz w:val="21"/>
      </w:rPr>
      <w:tblPr/>
      <w:tcPr>
        <w:shd w:val="clear" w:color="auto" w:fill="1F497D"/>
      </w:tcPr>
    </w:tblStylePr>
    <w:tblStylePr w:type="firstCol">
      <w:pPr>
        <w:jc w:val="left"/>
      </w:pPr>
      <w:tblPr/>
      <w:tcPr>
        <w:vAlign w:val="center"/>
      </w:tcPr>
    </w:tblStylePr>
  </w:style>
  <w:style w:type="character" w:customStyle="1" w:styleId="3ptAfterChar">
    <w:name w:val="3pt After Char"/>
    <w:basedOn w:val="DefaultParagraphFont"/>
    <w:link w:val="3ptAfter"/>
    <w:uiPriority w:val="2"/>
    <w:rsid w:val="000A521E"/>
    <w:rPr>
      <w:rFonts w:ascii="Segoe UI" w:eastAsia="Times New Roman" w:hAnsi="Segoe UI" w:cs="Times New Roman"/>
      <w:bCs/>
      <w:iCs/>
      <w:color w:val="000000" w:themeColor="text1"/>
      <w:sz w:val="21"/>
      <w:szCs w:val="21"/>
    </w:rPr>
  </w:style>
  <w:style w:type="character" w:styleId="UnresolvedMention">
    <w:name w:val="Unresolved Mention"/>
    <w:basedOn w:val="DefaultParagraphFont"/>
    <w:uiPriority w:val="99"/>
    <w:semiHidden/>
    <w:unhideWhenUsed/>
    <w:rsid w:val="009C045E"/>
    <w:rPr>
      <w:color w:val="605E5C"/>
      <w:shd w:val="clear" w:color="auto" w:fill="E1DFDD"/>
    </w:rPr>
  </w:style>
  <w:style w:type="paragraph" w:styleId="Caption">
    <w:name w:val="caption"/>
    <w:basedOn w:val="Normal"/>
    <w:next w:val="Normal"/>
    <w:uiPriority w:val="35"/>
    <w:unhideWhenUsed/>
    <w:qFormat/>
    <w:rsid w:val="00933784"/>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rsid w:val="00A344C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344CA"/>
    <w:rPr>
      <w:sz w:val="20"/>
      <w:szCs w:val="20"/>
    </w:rPr>
  </w:style>
  <w:style w:type="character" w:styleId="EndnoteReference">
    <w:name w:val="endnote reference"/>
    <w:basedOn w:val="DefaultParagraphFont"/>
    <w:uiPriority w:val="99"/>
    <w:semiHidden/>
    <w:unhideWhenUsed/>
    <w:rsid w:val="00A344CA"/>
    <w:rPr>
      <w:vertAlign w:val="superscript"/>
    </w:rPr>
  </w:style>
  <w:style w:type="paragraph" w:styleId="NormalWeb">
    <w:name w:val="Normal (Web)"/>
    <w:basedOn w:val="Normal"/>
    <w:uiPriority w:val="99"/>
    <w:semiHidden/>
    <w:unhideWhenUsed/>
    <w:rsid w:val="00C535DD"/>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596">
      <w:bodyDiv w:val="1"/>
      <w:marLeft w:val="0"/>
      <w:marRight w:val="0"/>
      <w:marTop w:val="0"/>
      <w:marBottom w:val="0"/>
      <w:divBdr>
        <w:top w:val="none" w:sz="0" w:space="0" w:color="auto"/>
        <w:left w:val="none" w:sz="0" w:space="0" w:color="auto"/>
        <w:bottom w:val="none" w:sz="0" w:space="0" w:color="auto"/>
        <w:right w:val="none" w:sz="0" w:space="0" w:color="auto"/>
      </w:divBdr>
    </w:div>
    <w:div w:id="4944118">
      <w:bodyDiv w:val="1"/>
      <w:marLeft w:val="0"/>
      <w:marRight w:val="0"/>
      <w:marTop w:val="0"/>
      <w:marBottom w:val="0"/>
      <w:divBdr>
        <w:top w:val="none" w:sz="0" w:space="0" w:color="auto"/>
        <w:left w:val="none" w:sz="0" w:space="0" w:color="auto"/>
        <w:bottom w:val="none" w:sz="0" w:space="0" w:color="auto"/>
        <w:right w:val="none" w:sz="0" w:space="0" w:color="auto"/>
      </w:divBdr>
    </w:div>
    <w:div w:id="10107565">
      <w:bodyDiv w:val="1"/>
      <w:marLeft w:val="0"/>
      <w:marRight w:val="0"/>
      <w:marTop w:val="0"/>
      <w:marBottom w:val="0"/>
      <w:divBdr>
        <w:top w:val="none" w:sz="0" w:space="0" w:color="auto"/>
        <w:left w:val="none" w:sz="0" w:space="0" w:color="auto"/>
        <w:bottom w:val="none" w:sz="0" w:space="0" w:color="auto"/>
        <w:right w:val="none" w:sz="0" w:space="0" w:color="auto"/>
      </w:divBdr>
    </w:div>
    <w:div w:id="15424392">
      <w:bodyDiv w:val="1"/>
      <w:marLeft w:val="0"/>
      <w:marRight w:val="0"/>
      <w:marTop w:val="0"/>
      <w:marBottom w:val="0"/>
      <w:divBdr>
        <w:top w:val="none" w:sz="0" w:space="0" w:color="auto"/>
        <w:left w:val="none" w:sz="0" w:space="0" w:color="auto"/>
        <w:bottom w:val="none" w:sz="0" w:space="0" w:color="auto"/>
        <w:right w:val="none" w:sz="0" w:space="0" w:color="auto"/>
      </w:divBdr>
    </w:div>
    <w:div w:id="25572042">
      <w:bodyDiv w:val="1"/>
      <w:marLeft w:val="0"/>
      <w:marRight w:val="0"/>
      <w:marTop w:val="0"/>
      <w:marBottom w:val="0"/>
      <w:divBdr>
        <w:top w:val="none" w:sz="0" w:space="0" w:color="auto"/>
        <w:left w:val="none" w:sz="0" w:space="0" w:color="auto"/>
        <w:bottom w:val="none" w:sz="0" w:space="0" w:color="auto"/>
        <w:right w:val="none" w:sz="0" w:space="0" w:color="auto"/>
      </w:divBdr>
    </w:div>
    <w:div w:id="36316647">
      <w:bodyDiv w:val="1"/>
      <w:marLeft w:val="0"/>
      <w:marRight w:val="0"/>
      <w:marTop w:val="0"/>
      <w:marBottom w:val="0"/>
      <w:divBdr>
        <w:top w:val="none" w:sz="0" w:space="0" w:color="auto"/>
        <w:left w:val="none" w:sz="0" w:space="0" w:color="auto"/>
        <w:bottom w:val="none" w:sz="0" w:space="0" w:color="auto"/>
        <w:right w:val="none" w:sz="0" w:space="0" w:color="auto"/>
      </w:divBdr>
    </w:div>
    <w:div w:id="41371078">
      <w:bodyDiv w:val="1"/>
      <w:marLeft w:val="0"/>
      <w:marRight w:val="0"/>
      <w:marTop w:val="0"/>
      <w:marBottom w:val="0"/>
      <w:divBdr>
        <w:top w:val="none" w:sz="0" w:space="0" w:color="auto"/>
        <w:left w:val="none" w:sz="0" w:space="0" w:color="auto"/>
        <w:bottom w:val="none" w:sz="0" w:space="0" w:color="auto"/>
        <w:right w:val="none" w:sz="0" w:space="0" w:color="auto"/>
      </w:divBdr>
    </w:div>
    <w:div w:id="49698560">
      <w:bodyDiv w:val="1"/>
      <w:marLeft w:val="0"/>
      <w:marRight w:val="0"/>
      <w:marTop w:val="0"/>
      <w:marBottom w:val="0"/>
      <w:divBdr>
        <w:top w:val="none" w:sz="0" w:space="0" w:color="auto"/>
        <w:left w:val="none" w:sz="0" w:space="0" w:color="auto"/>
        <w:bottom w:val="none" w:sz="0" w:space="0" w:color="auto"/>
        <w:right w:val="none" w:sz="0" w:space="0" w:color="auto"/>
      </w:divBdr>
    </w:div>
    <w:div w:id="52626359">
      <w:bodyDiv w:val="1"/>
      <w:marLeft w:val="0"/>
      <w:marRight w:val="0"/>
      <w:marTop w:val="0"/>
      <w:marBottom w:val="0"/>
      <w:divBdr>
        <w:top w:val="none" w:sz="0" w:space="0" w:color="auto"/>
        <w:left w:val="none" w:sz="0" w:space="0" w:color="auto"/>
        <w:bottom w:val="none" w:sz="0" w:space="0" w:color="auto"/>
        <w:right w:val="none" w:sz="0" w:space="0" w:color="auto"/>
      </w:divBdr>
    </w:div>
    <w:div w:id="90662958">
      <w:bodyDiv w:val="1"/>
      <w:marLeft w:val="0"/>
      <w:marRight w:val="0"/>
      <w:marTop w:val="0"/>
      <w:marBottom w:val="0"/>
      <w:divBdr>
        <w:top w:val="none" w:sz="0" w:space="0" w:color="auto"/>
        <w:left w:val="none" w:sz="0" w:space="0" w:color="auto"/>
        <w:bottom w:val="none" w:sz="0" w:space="0" w:color="auto"/>
        <w:right w:val="none" w:sz="0" w:space="0" w:color="auto"/>
      </w:divBdr>
    </w:div>
    <w:div w:id="93670003">
      <w:bodyDiv w:val="1"/>
      <w:marLeft w:val="0"/>
      <w:marRight w:val="0"/>
      <w:marTop w:val="0"/>
      <w:marBottom w:val="0"/>
      <w:divBdr>
        <w:top w:val="none" w:sz="0" w:space="0" w:color="auto"/>
        <w:left w:val="none" w:sz="0" w:space="0" w:color="auto"/>
        <w:bottom w:val="none" w:sz="0" w:space="0" w:color="auto"/>
        <w:right w:val="none" w:sz="0" w:space="0" w:color="auto"/>
      </w:divBdr>
    </w:div>
    <w:div w:id="93744197">
      <w:bodyDiv w:val="1"/>
      <w:marLeft w:val="0"/>
      <w:marRight w:val="0"/>
      <w:marTop w:val="0"/>
      <w:marBottom w:val="0"/>
      <w:divBdr>
        <w:top w:val="none" w:sz="0" w:space="0" w:color="auto"/>
        <w:left w:val="none" w:sz="0" w:space="0" w:color="auto"/>
        <w:bottom w:val="none" w:sz="0" w:space="0" w:color="auto"/>
        <w:right w:val="none" w:sz="0" w:space="0" w:color="auto"/>
      </w:divBdr>
    </w:div>
    <w:div w:id="128745207">
      <w:bodyDiv w:val="1"/>
      <w:marLeft w:val="0"/>
      <w:marRight w:val="0"/>
      <w:marTop w:val="0"/>
      <w:marBottom w:val="0"/>
      <w:divBdr>
        <w:top w:val="none" w:sz="0" w:space="0" w:color="auto"/>
        <w:left w:val="none" w:sz="0" w:space="0" w:color="auto"/>
        <w:bottom w:val="none" w:sz="0" w:space="0" w:color="auto"/>
        <w:right w:val="none" w:sz="0" w:space="0" w:color="auto"/>
      </w:divBdr>
    </w:div>
    <w:div w:id="131607165">
      <w:bodyDiv w:val="1"/>
      <w:marLeft w:val="0"/>
      <w:marRight w:val="0"/>
      <w:marTop w:val="0"/>
      <w:marBottom w:val="0"/>
      <w:divBdr>
        <w:top w:val="none" w:sz="0" w:space="0" w:color="auto"/>
        <w:left w:val="none" w:sz="0" w:space="0" w:color="auto"/>
        <w:bottom w:val="none" w:sz="0" w:space="0" w:color="auto"/>
        <w:right w:val="none" w:sz="0" w:space="0" w:color="auto"/>
      </w:divBdr>
    </w:div>
    <w:div w:id="134491337">
      <w:bodyDiv w:val="1"/>
      <w:marLeft w:val="0"/>
      <w:marRight w:val="0"/>
      <w:marTop w:val="0"/>
      <w:marBottom w:val="0"/>
      <w:divBdr>
        <w:top w:val="none" w:sz="0" w:space="0" w:color="auto"/>
        <w:left w:val="none" w:sz="0" w:space="0" w:color="auto"/>
        <w:bottom w:val="none" w:sz="0" w:space="0" w:color="auto"/>
        <w:right w:val="none" w:sz="0" w:space="0" w:color="auto"/>
      </w:divBdr>
    </w:div>
    <w:div w:id="137841516">
      <w:bodyDiv w:val="1"/>
      <w:marLeft w:val="0"/>
      <w:marRight w:val="0"/>
      <w:marTop w:val="0"/>
      <w:marBottom w:val="0"/>
      <w:divBdr>
        <w:top w:val="none" w:sz="0" w:space="0" w:color="auto"/>
        <w:left w:val="none" w:sz="0" w:space="0" w:color="auto"/>
        <w:bottom w:val="none" w:sz="0" w:space="0" w:color="auto"/>
        <w:right w:val="none" w:sz="0" w:space="0" w:color="auto"/>
      </w:divBdr>
    </w:div>
    <w:div w:id="139884751">
      <w:bodyDiv w:val="1"/>
      <w:marLeft w:val="0"/>
      <w:marRight w:val="0"/>
      <w:marTop w:val="0"/>
      <w:marBottom w:val="0"/>
      <w:divBdr>
        <w:top w:val="none" w:sz="0" w:space="0" w:color="auto"/>
        <w:left w:val="none" w:sz="0" w:space="0" w:color="auto"/>
        <w:bottom w:val="none" w:sz="0" w:space="0" w:color="auto"/>
        <w:right w:val="none" w:sz="0" w:space="0" w:color="auto"/>
      </w:divBdr>
    </w:div>
    <w:div w:id="140854887">
      <w:bodyDiv w:val="1"/>
      <w:marLeft w:val="0"/>
      <w:marRight w:val="0"/>
      <w:marTop w:val="0"/>
      <w:marBottom w:val="0"/>
      <w:divBdr>
        <w:top w:val="none" w:sz="0" w:space="0" w:color="auto"/>
        <w:left w:val="none" w:sz="0" w:space="0" w:color="auto"/>
        <w:bottom w:val="none" w:sz="0" w:space="0" w:color="auto"/>
        <w:right w:val="none" w:sz="0" w:space="0" w:color="auto"/>
      </w:divBdr>
    </w:div>
    <w:div w:id="146750723">
      <w:bodyDiv w:val="1"/>
      <w:marLeft w:val="0"/>
      <w:marRight w:val="0"/>
      <w:marTop w:val="0"/>
      <w:marBottom w:val="0"/>
      <w:divBdr>
        <w:top w:val="none" w:sz="0" w:space="0" w:color="auto"/>
        <w:left w:val="none" w:sz="0" w:space="0" w:color="auto"/>
        <w:bottom w:val="none" w:sz="0" w:space="0" w:color="auto"/>
        <w:right w:val="none" w:sz="0" w:space="0" w:color="auto"/>
      </w:divBdr>
    </w:div>
    <w:div w:id="148792070">
      <w:bodyDiv w:val="1"/>
      <w:marLeft w:val="0"/>
      <w:marRight w:val="0"/>
      <w:marTop w:val="0"/>
      <w:marBottom w:val="0"/>
      <w:divBdr>
        <w:top w:val="none" w:sz="0" w:space="0" w:color="auto"/>
        <w:left w:val="none" w:sz="0" w:space="0" w:color="auto"/>
        <w:bottom w:val="none" w:sz="0" w:space="0" w:color="auto"/>
        <w:right w:val="none" w:sz="0" w:space="0" w:color="auto"/>
      </w:divBdr>
    </w:div>
    <w:div w:id="164251712">
      <w:bodyDiv w:val="1"/>
      <w:marLeft w:val="0"/>
      <w:marRight w:val="0"/>
      <w:marTop w:val="0"/>
      <w:marBottom w:val="0"/>
      <w:divBdr>
        <w:top w:val="none" w:sz="0" w:space="0" w:color="auto"/>
        <w:left w:val="none" w:sz="0" w:space="0" w:color="auto"/>
        <w:bottom w:val="none" w:sz="0" w:space="0" w:color="auto"/>
        <w:right w:val="none" w:sz="0" w:space="0" w:color="auto"/>
      </w:divBdr>
    </w:div>
    <w:div w:id="169608685">
      <w:bodyDiv w:val="1"/>
      <w:marLeft w:val="0"/>
      <w:marRight w:val="0"/>
      <w:marTop w:val="0"/>
      <w:marBottom w:val="0"/>
      <w:divBdr>
        <w:top w:val="none" w:sz="0" w:space="0" w:color="auto"/>
        <w:left w:val="none" w:sz="0" w:space="0" w:color="auto"/>
        <w:bottom w:val="none" w:sz="0" w:space="0" w:color="auto"/>
        <w:right w:val="none" w:sz="0" w:space="0" w:color="auto"/>
      </w:divBdr>
    </w:div>
    <w:div w:id="170536375">
      <w:bodyDiv w:val="1"/>
      <w:marLeft w:val="0"/>
      <w:marRight w:val="0"/>
      <w:marTop w:val="0"/>
      <w:marBottom w:val="0"/>
      <w:divBdr>
        <w:top w:val="none" w:sz="0" w:space="0" w:color="auto"/>
        <w:left w:val="none" w:sz="0" w:space="0" w:color="auto"/>
        <w:bottom w:val="none" w:sz="0" w:space="0" w:color="auto"/>
        <w:right w:val="none" w:sz="0" w:space="0" w:color="auto"/>
      </w:divBdr>
    </w:div>
    <w:div w:id="174197841">
      <w:bodyDiv w:val="1"/>
      <w:marLeft w:val="0"/>
      <w:marRight w:val="0"/>
      <w:marTop w:val="0"/>
      <w:marBottom w:val="0"/>
      <w:divBdr>
        <w:top w:val="none" w:sz="0" w:space="0" w:color="auto"/>
        <w:left w:val="none" w:sz="0" w:space="0" w:color="auto"/>
        <w:bottom w:val="none" w:sz="0" w:space="0" w:color="auto"/>
        <w:right w:val="none" w:sz="0" w:space="0" w:color="auto"/>
      </w:divBdr>
    </w:div>
    <w:div w:id="183329590">
      <w:bodyDiv w:val="1"/>
      <w:marLeft w:val="0"/>
      <w:marRight w:val="0"/>
      <w:marTop w:val="0"/>
      <w:marBottom w:val="0"/>
      <w:divBdr>
        <w:top w:val="none" w:sz="0" w:space="0" w:color="auto"/>
        <w:left w:val="none" w:sz="0" w:space="0" w:color="auto"/>
        <w:bottom w:val="none" w:sz="0" w:space="0" w:color="auto"/>
        <w:right w:val="none" w:sz="0" w:space="0" w:color="auto"/>
      </w:divBdr>
    </w:div>
    <w:div w:id="190149035">
      <w:bodyDiv w:val="1"/>
      <w:marLeft w:val="0"/>
      <w:marRight w:val="0"/>
      <w:marTop w:val="0"/>
      <w:marBottom w:val="0"/>
      <w:divBdr>
        <w:top w:val="none" w:sz="0" w:space="0" w:color="auto"/>
        <w:left w:val="none" w:sz="0" w:space="0" w:color="auto"/>
        <w:bottom w:val="none" w:sz="0" w:space="0" w:color="auto"/>
        <w:right w:val="none" w:sz="0" w:space="0" w:color="auto"/>
      </w:divBdr>
    </w:div>
    <w:div w:id="196897587">
      <w:bodyDiv w:val="1"/>
      <w:marLeft w:val="0"/>
      <w:marRight w:val="0"/>
      <w:marTop w:val="0"/>
      <w:marBottom w:val="0"/>
      <w:divBdr>
        <w:top w:val="none" w:sz="0" w:space="0" w:color="auto"/>
        <w:left w:val="none" w:sz="0" w:space="0" w:color="auto"/>
        <w:bottom w:val="none" w:sz="0" w:space="0" w:color="auto"/>
        <w:right w:val="none" w:sz="0" w:space="0" w:color="auto"/>
      </w:divBdr>
    </w:div>
    <w:div w:id="203909667">
      <w:bodyDiv w:val="1"/>
      <w:marLeft w:val="0"/>
      <w:marRight w:val="0"/>
      <w:marTop w:val="0"/>
      <w:marBottom w:val="0"/>
      <w:divBdr>
        <w:top w:val="none" w:sz="0" w:space="0" w:color="auto"/>
        <w:left w:val="none" w:sz="0" w:space="0" w:color="auto"/>
        <w:bottom w:val="none" w:sz="0" w:space="0" w:color="auto"/>
        <w:right w:val="none" w:sz="0" w:space="0" w:color="auto"/>
      </w:divBdr>
    </w:div>
    <w:div w:id="205527818">
      <w:bodyDiv w:val="1"/>
      <w:marLeft w:val="0"/>
      <w:marRight w:val="0"/>
      <w:marTop w:val="0"/>
      <w:marBottom w:val="0"/>
      <w:divBdr>
        <w:top w:val="none" w:sz="0" w:space="0" w:color="auto"/>
        <w:left w:val="none" w:sz="0" w:space="0" w:color="auto"/>
        <w:bottom w:val="none" w:sz="0" w:space="0" w:color="auto"/>
        <w:right w:val="none" w:sz="0" w:space="0" w:color="auto"/>
      </w:divBdr>
    </w:div>
    <w:div w:id="212544065">
      <w:bodyDiv w:val="1"/>
      <w:marLeft w:val="0"/>
      <w:marRight w:val="0"/>
      <w:marTop w:val="0"/>
      <w:marBottom w:val="0"/>
      <w:divBdr>
        <w:top w:val="none" w:sz="0" w:space="0" w:color="auto"/>
        <w:left w:val="none" w:sz="0" w:space="0" w:color="auto"/>
        <w:bottom w:val="none" w:sz="0" w:space="0" w:color="auto"/>
        <w:right w:val="none" w:sz="0" w:space="0" w:color="auto"/>
      </w:divBdr>
    </w:div>
    <w:div w:id="237641196">
      <w:bodyDiv w:val="1"/>
      <w:marLeft w:val="0"/>
      <w:marRight w:val="0"/>
      <w:marTop w:val="0"/>
      <w:marBottom w:val="0"/>
      <w:divBdr>
        <w:top w:val="none" w:sz="0" w:space="0" w:color="auto"/>
        <w:left w:val="none" w:sz="0" w:space="0" w:color="auto"/>
        <w:bottom w:val="none" w:sz="0" w:space="0" w:color="auto"/>
        <w:right w:val="none" w:sz="0" w:space="0" w:color="auto"/>
      </w:divBdr>
    </w:div>
    <w:div w:id="251400505">
      <w:bodyDiv w:val="1"/>
      <w:marLeft w:val="0"/>
      <w:marRight w:val="0"/>
      <w:marTop w:val="0"/>
      <w:marBottom w:val="0"/>
      <w:divBdr>
        <w:top w:val="none" w:sz="0" w:space="0" w:color="auto"/>
        <w:left w:val="none" w:sz="0" w:space="0" w:color="auto"/>
        <w:bottom w:val="none" w:sz="0" w:space="0" w:color="auto"/>
        <w:right w:val="none" w:sz="0" w:space="0" w:color="auto"/>
      </w:divBdr>
    </w:div>
    <w:div w:id="253630752">
      <w:bodyDiv w:val="1"/>
      <w:marLeft w:val="0"/>
      <w:marRight w:val="0"/>
      <w:marTop w:val="0"/>
      <w:marBottom w:val="0"/>
      <w:divBdr>
        <w:top w:val="none" w:sz="0" w:space="0" w:color="auto"/>
        <w:left w:val="none" w:sz="0" w:space="0" w:color="auto"/>
        <w:bottom w:val="none" w:sz="0" w:space="0" w:color="auto"/>
        <w:right w:val="none" w:sz="0" w:space="0" w:color="auto"/>
      </w:divBdr>
    </w:div>
    <w:div w:id="253633681">
      <w:bodyDiv w:val="1"/>
      <w:marLeft w:val="0"/>
      <w:marRight w:val="0"/>
      <w:marTop w:val="0"/>
      <w:marBottom w:val="0"/>
      <w:divBdr>
        <w:top w:val="none" w:sz="0" w:space="0" w:color="auto"/>
        <w:left w:val="none" w:sz="0" w:space="0" w:color="auto"/>
        <w:bottom w:val="none" w:sz="0" w:space="0" w:color="auto"/>
        <w:right w:val="none" w:sz="0" w:space="0" w:color="auto"/>
      </w:divBdr>
    </w:div>
    <w:div w:id="254100264">
      <w:bodyDiv w:val="1"/>
      <w:marLeft w:val="0"/>
      <w:marRight w:val="0"/>
      <w:marTop w:val="0"/>
      <w:marBottom w:val="0"/>
      <w:divBdr>
        <w:top w:val="none" w:sz="0" w:space="0" w:color="auto"/>
        <w:left w:val="none" w:sz="0" w:space="0" w:color="auto"/>
        <w:bottom w:val="none" w:sz="0" w:space="0" w:color="auto"/>
        <w:right w:val="none" w:sz="0" w:space="0" w:color="auto"/>
      </w:divBdr>
    </w:div>
    <w:div w:id="256333301">
      <w:bodyDiv w:val="1"/>
      <w:marLeft w:val="0"/>
      <w:marRight w:val="0"/>
      <w:marTop w:val="0"/>
      <w:marBottom w:val="0"/>
      <w:divBdr>
        <w:top w:val="none" w:sz="0" w:space="0" w:color="auto"/>
        <w:left w:val="none" w:sz="0" w:space="0" w:color="auto"/>
        <w:bottom w:val="none" w:sz="0" w:space="0" w:color="auto"/>
        <w:right w:val="none" w:sz="0" w:space="0" w:color="auto"/>
      </w:divBdr>
    </w:div>
    <w:div w:id="262954773">
      <w:bodyDiv w:val="1"/>
      <w:marLeft w:val="0"/>
      <w:marRight w:val="0"/>
      <w:marTop w:val="0"/>
      <w:marBottom w:val="0"/>
      <w:divBdr>
        <w:top w:val="none" w:sz="0" w:space="0" w:color="auto"/>
        <w:left w:val="none" w:sz="0" w:space="0" w:color="auto"/>
        <w:bottom w:val="none" w:sz="0" w:space="0" w:color="auto"/>
        <w:right w:val="none" w:sz="0" w:space="0" w:color="auto"/>
      </w:divBdr>
    </w:div>
    <w:div w:id="268202611">
      <w:bodyDiv w:val="1"/>
      <w:marLeft w:val="0"/>
      <w:marRight w:val="0"/>
      <w:marTop w:val="0"/>
      <w:marBottom w:val="0"/>
      <w:divBdr>
        <w:top w:val="none" w:sz="0" w:space="0" w:color="auto"/>
        <w:left w:val="none" w:sz="0" w:space="0" w:color="auto"/>
        <w:bottom w:val="none" w:sz="0" w:space="0" w:color="auto"/>
        <w:right w:val="none" w:sz="0" w:space="0" w:color="auto"/>
      </w:divBdr>
    </w:div>
    <w:div w:id="270556864">
      <w:bodyDiv w:val="1"/>
      <w:marLeft w:val="0"/>
      <w:marRight w:val="0"/>
      <w:marTop w:val="0"/>
      <w:marBottom w:val="0"/>
      <w:divBdr>
        <w:top w:val="none" w:sz="0" w:space="0" w:color="auto"/>
        <w:left w:val="none" w:sz="0" w:space="0" w:color="auto"/>
        <w:bottom w:val="none" w:sz="0" w:space="0" w:color="auto"/>
        <w:right w:val="none" w:sz="0" w:space="0" w:color="auto"/>
      </w:divBdr>
    </w:div>
    <w:div w:id="279845231">
      <w:bodyDiv w:val="1"/>
      <w:marLeft w:val="0"/>
      <w:marRight w:val="0"/>
      <w:marTop w:val="0"/>
      <w:marBottom w:val="0"/>
      <w:divBdr>
        <w:top w:val="none" w:sz="0" w:space="0" w:color="auto"/>
        <w:left w:val="none" w:sz="0" w:space="0" w:color="auto"/>
        <w:bottom w:val="none" w:sz="0" w:space="0" w:color="auto"/>
        <w:right w:val="none" w:sz="0" w:space="0" w:color="auto"/>
      </w:divBdr>
    </w:div>
    <w:div w:id="285237905">
      <w:bodyDiv w:val="1"/>
      <w:marLeft w:val="0"/>
      <w:marRight w:val="0"/>
      <w:marTop w:val="0"/>
      <w:marBottom w:val="0"/>
      <w:divBdr>
        <w:top w:val="none" w:sz="0" w:space="0" w:color="auto"/>
        <w:left w:val="none" w:sz="0" w:space="0" w:color="auto"/>
        <w:bottom w:val="none" w:sz="0" w:space="0" w:color="auto"/>
        <w:right w:val="none" w:sz="0" w:space="0" w:color="auto"/>
      </w:divBdr>
    </w:div>
    <w:div w:id="306740378">
      <w:bodyDiv w:val="1"/>
      <w:marLeft w:val="0"/>
      <w:marRight w:val="0"/>
      <w:marTop w:val="0"/>
      <w:marBottom w:val="0"/>
      <w:divBdr>
        <w:top w:val="none" w:sz="0" w:space="0" w:color="auto"/>
        <w:left w:val="none" w:sz="0" w:space="0" w:color="auto"/>
        <w:bottom w:val="none" w:sz="0" w:space="0" w:color="auto"/>
        <w:right w:val="none" w:sz="0" w:space="0" w:color="auto"/>
      </w:divBdr>
    </w:div>
    <w:div w:id="310795982">
      <w:bodyDiv w:val="1"/>
      <w:marLeft w:val="0"/>
      <w:marRight w:val="0"/>
      <w:marTop w:val="0"/>
      <w:marBottom w:val="0"/>
      <w:divBdr>
        <w:top w:val="none" w:sz="0" w:space="0" w:color="auto"/>
        <w:left w:val="none" w:sz="0" w:space="0" w:color="auto"/>
        <w:bottom w:val="none" w:sz="0" w:space="0" w:color="auto"/>
        <w:right w:val="none" w:sz="0" w:space="0" w:color="auto"/>
      </w:divBdr>
    </w:div>
    <w:div w:id="312369727">
      <w:bodyDiv w:val="1"/>
      <w:marLeft w:val="0"/>
      <w:marRight w:val="0"/>
      <w:marTop w:val="0"/>
      <w:marBottom w:val="0"/>
      <w:divBdr>
        <w:top w:val="none" w:sz="0" w:space="0" w:color="auto"/>
        <w:left w:val="none" w:sz="0" w:space="0" w:color="auto"/>
        <w:bottom w:val="none" w:sz="0" w:space="0" w:color="auto"/>
        <w:right w:val="none" w:sz="0" w:space="0" w:color="auto"/>
      </w:divBdr>
    </w:div>
    <w:div w:id="313875215">
      <w:bodyDiv w:val="1"/>
      <w:marLeft w:val="0"/>
      <w:marRight w:val="0"/>
      <w:marTop w:val="0"/>
      <w:marBottom w:val="0"/>
      <w:divBdr>
        <w:top w:val="none" w:sz="0" w:space="0" w:color="auto"/>
        <w:left w:val="none" w:sz="0" w:space="0" w:color="auto"/>
        <w:bottom w:val="none" w:sz="0" w:space="0" w:color="auto"/>
        <w:right w:val="none" w:sz="0" w:space="0" w:color="auto"/>
      </w:divBdr>
    </w:div>
    <w:div w:id="319426184">
      <w:bodyDiv w:val="1"/>
      <w:marLeft w:val="0"/>
      <w:marRight w:val="0"/>
      <w:marTop w:val="0"/>
      <w:marBottom w:val="0"/>
      <w:divBdr>
        <w:top w:val="none" w:sz="0" w:space="0" w:color="auto"/>
        <w:left w:val="none" w:sz="0" w:space="0" w:color="auto"/>
        <w:bottom w:val="none" w:sz="0" w:space="0" w:color="auto"/>
        <w:right w:val="none" w:sz="0" w:space="0" w:color="auto"/>
      </w:divBdr>
    </w:div>
    <w:div w:id="354814627">
      <w:bodyDiv w:val="1"/>
      <w:marLeft w:val="0"/>
      <w:marRight w:val="0"/>
      <w:marTop w:val="0"/>
      <w:marBottom w:val="0"/>
      <w:divBdr>
        <w:top w:val="none" w:sz="0" w:space="0" w:color="auto"/>
        <w:left w:val="none" w:sz="0" w:space="0" w:color="auto"/>
        <w:bottom w:val="none" w:sz="0" w:space="0" w:color="auto"/>
        <w:right w:val="none" w:sz="0" w:space="0" w:color="auto"/>
      </w:divBdr>
    </w:div>
    <w:div w:id="357780666">
      <w:bodyDiv w:val="1"/>
      <w:marLeft w:val="0"/>
      <w:marRight w:val="0"/>
      <w:marTop w:val="0"/>
      <w:marBottom w:val="0"/>
      <w:divBdr>
        <w:top w:val="none" w:sz="0" w:space="0" w:color="auto"/>
        <w:left w:val="none" w:sz="0" w:space="0" w:color="auto"/>
        <w:bottom w:val="none" w:sz="0" w:space="0" w:color="auto"/>
        <w:right w:val="none" w:sz="0" w:space="0" w:color="auto"/>
      </w:divBdr>
    </w:div>
    <w:div w:id="367612253">
      <w:bodyDiv w:val="1"/>
      <w:marLeft w:val="0"/>
      <w:marRight w:val="0"/>
      <w:marTop w:val="0"/>
      <w:marBottom w:val="0"/>
      <w:divBdr>
        <w:top w:val="none" w:sz="0" w:space="0" w:color="auto"/>
        <w:left w:val="none" w:sz="0" w:space="0" w:color="auto"/>
        <w:bottom w:val="none" w:sz="0" w:space="0" w:color="auto"/>
        <w:right w:val="none" w:sz="0" w:space="0" w:color="auto"/>
      </w:divBdr>
    </w:div>
    <w:div w:id="370695736">
      <w:bodyDiv w:val="1"/>
      <w:marLeft w:val="0"/>
      <w:marRight w:val="0"/>
      <w:marTop w:val="0"/>
      <w:marBottom w:val="0"/>
      <w:divBdr>
        <w:top w:val="none" w:sz="0" w:space="0" w:color="auto"/>
        <w:left w:val="none" w:sz="0" w:space="0" w:color="auto"/>
        <w:bottom w:val="none" w:sz="0" w:space="0" w:color="auto"/>
        <w:right w:val="none" w:sz="0" w:space="0" w:color="auto"/>
      </w:divBdr>
    </w:div>
    <w:div w:id="392628613">
      <w:bodyDiv w:val="1"/>
      <w:marLeft w:val="0"/>
      <w:marRight w:val="0"/>
      <w:marTop w:val="0"/>
      <w:marBottom w:val="0"/>
      <w:divBdr>
        <w:top w:val="none" w:sz="0" w:space="0" w:color="auto"/>
        <w:left w:val="none" w:sz="0" w:space="0" w:color="auto"/>
        <w:bottom w:val="none" w:sz="0" w:space="0" w:color="auto"/>
        <w:right w:val="none" w:sz="0" w:space="0" w:color="auto"/>
      </w:divBdr>
    </w:div>
    <w:div w:id="400710508">
      <w:bodyDiv w:val="1"/>
      <w:marLeft w:val="0"/>
      <w:marRight w:val="0"/>
      <w:marTop w:val="0"/>
      <w:marBottom w:val="0"/>
      <w:divBdr>
        <w:top w:val="none" w:sz="0" w:space="0" w:color="auto"/>
        <w:left w:val="none" w:sz="0" w:space="0" w:color="auto"/>
        <w:bottom w:val="none" w:sz="0" w:space="0" w:color="auto"/>
        <w:right w:val="none" w:sz="0" w:space="0" w:color="auto"/>
      </w:divBdr>
    </w:div>
    <w:div w:id="411196622">
      <w:bodyDiv w:val="1"/>
      <w:marLeft w:val="0"/>
      <w:marRight w:val="0"/>
      <w:marTop w:val="0"/>
      <w:marBottom w:val="0"/>
      <w:divBdr>
        <w:top w:val="none" w:sz="0" w:space="0" w:color="auto"/>
        <w:left w:val="none" w:sz="0" w:space="0" w:color="auto"/>
        <w:bottom w:val="none" w:sz="0" w:space="0" w:color="auto"/>
        <w:right w:val="none" w:sz="0" w:space="0" w:color="auto"/>
      </w:divBdr>
    </w:div>
    <w:div w:id="417140066">
      <w:bodyDiv w:val="1"/>
      <w:marLeft w:val="0"/>
      <w:marRight w:val="0"/>
      <w:marTop w:val="0"/>
      <w:marBottom w:val="0"/>
      <w:divBdr>
        <w:top w:val="none" w:sz="0" w:space="0" w:color="auto"/>
        <w:left w:val="none" w:sz="0" w:space="0" w:color="auto"/>
        <w:bottom w:val="none" w:sz="0" w:space="0" w:color="auto"/>
        <w:right w:val="none" w:sz="0" w:space="0" w:color="auto"/>
      </w:divBdr>
    </w:div>
    <w:div w:id="433870202">
      <w:bodyDiv w:val="1"/>
      <w:marLeft w:val="0"/>
      <w:marRight w:val="0"/>
      <w:marTop w:val="0"/>
      <w:marBottom w:val="0"/>
      <w:divBdr>
        <w:top w:val="none" w:sz="0" w:space="0" w:color="auto"/>
        <w:left w:val="none" w:sz="0" w:space="0" w:color="auto"/>
        <w:bottom w:val="none" w:sz="0" w:space="0" w:color="auto"/>
        <w:right w:val="none" w:sz="0" w:space="0" w:color="auto"/>
      </w:divBdr>
    </w:div>
    <w:div w:id="439027354">
      <w:bodyDiv w:val="1"/>
      <w:marLeft w:val="0"/>
      <w:marRight w:val="0"/>
      <w:marTop w:val="0"/>
      <w:marBottom w:val="0"/>
      <w:divBdr>
        <w:top w:val="none" w:sz="0" w:space="0" w:color="auto"/>
        <w:left w:val="none" w:sz="0" w:space="0" w:color="auto"/>
        <w:bottom w:val="none" w:sz="0" w:space="0" w:color="auto"/>
        <w:right w:val="none" w:sz="0" w:space="0" w:color="auto"/>
      </w:divBdr>
    </w:div>
    <w:div w:id="445928159">
      <w:bodyDiv w:val="1"/>
      <w:marLeft w:val="0"/>
      <w:marRight w:val="0"/>
      <w:marTop w:val="0"/>
      <w:marBottom w:val="0"/>
      <w:divBdr>
        <w:top w:val="none" w:sz="0" w:space="0" w:color="auto"/>
        <w:left w:val="none" w:sz="0" w:space="0" w:color="auto"/>
        <w:bottom w:val="none" w:sz="0" w:space="0" w:color="auto"/>
        <w:right w:val="none" w:sz="0" w:space="0" w:color="auto"/>
      </w:divBdr>
    </w:div>
    <w:div w:id="446700815">
      <w:bodyDiv w:val="1"/>
      <w:marLeft w:val="0"/>
      <w:marRight w:val="0"/>
      <w:marTop w:val="0"/>
      <w:marBottom w:val="0"/>
      <w:divBdr>
        <w:top w:val="none" w:sz="0" w:space="0" w:color="auto"/>
        <w:left w:val="none" w:sz="0" w:space="0" w:color="auto"/>
        <w:bottom w:val="none" w:sz="0" w:space="0" w:color="auto"/>
        <w:right w:val="none" w:sz="0" w:space="0" w:color="auto"/>
      </w:divBdr>
    </w:div>
    <w:div w:id="450125353">
      <w:bodyDiv w:val="1"/>
      <w:marLeft w:val="0"/>
      <w:marRight w:val="0"/>
      <w:marTop w:val="0"/>
      <w:marBottom w:val="0"/>
      <w:divBdr>
        <w:top w:val="none" w:sz="0" w:space="0" w:color="auto"/>
        <w:left w:val="none" w:sz="0" w:space="0" w:color="auto"/>
        <w:bottom w:val="none" w:sz="0" w:space="0" w:color="auto"/>
        <w:right w:val="none" w:sz="0" w:space="0" w:color="auto"/>
      </w:divBdr>
    </w:div>
    <w:div w:id="469059319">
      <w:bodyDiv w:val="1"/>
      <w:marLeft w:val="0"/>
      <w:marRight w:val="0"/>
      <w:marTop w:val="0"/>
      <w:marBottom w:val="0"/>
      <w:divBdr>
        <w:top w:val="none" w:sz="0" w:space="0" w:color="auto"/>
        <w:left w:val="none" w:sz="0" w:space="0" w:color="auto"/>
        <w:bottom w:val="none" w:sz="0" w:space="0" w:color="auto"/>
        <w:right w:val="none" w:sz="0" w:space="0" w:color="auto"/>
      </w:divBdr>
    </w:div>
    <w:div w:id="473303231">
      <w:bodyDiv w:val="1"/>
      <w:marLeft w:val="0"/>
      <w:marRight w:val="0"/>
      <w:marTop w:val="0"/>
      <w:marBottom w:val="0"/>
      <w:divBdr>
        <w:top w:val="none" w:sz="0" w:space="0" w:color="auto"/>
        <w:left w:val="none" w:sz="0" w:space="0" w:color="auto"/>
        <w:bottom w:val="none" w:sz="0" w:space="0" w:color="auto"/>
        <w:right w:val="none" w:sz="0" w:space="0" w:color="auto"/>
      </w:divBdr>
    </w:div>
    <w:div w:id="474563240">
      <w:bodyDiv w:val="1"/>
      <w:marLeft w:val="0"/>
      <w:marRight w:val="0"/>
      <w:marTop w:val="0"/>
      <w:marBottom w:val="0"/>
      <w:divBdr>
        <w:top w:val="none" w:sz="0" w:space="0" w:color="auto"/>
        <w:left w:val="none" w:sz="0" w:space="0" w:color="auto"/>
        <w:bottom w:val="none" w:sz="0" w:space="0" w:color="auto"/>
        <w:right w:val="none" w:sz="0" w:space="0" w:color="auto"/>
      </w:divBdr>
    </w:div>
    <w:div w:id="475798650">
      <w:bodyDiv w:val="1"/>
      <w:marLeft w:val="0"/>
      <w:marRight w:val="0"/>
      <w:marTop w:val="0"/>
      <w:marBottom w:val="0"/>
      <w:divBdr>
        <w:top w:val="none" w:sz="0" w:space="0" w:color="auto"/>
        <w:left w:val="none" w:sz="0" w:space="0" w:color="auto"/>
        <w:bottom w:val="none" w:sz="0" w:space="0" w:color="auto"/>
        <w:right w:val="none" w:sz="0" w:space="0" w:color="auto"/>
      </w:divBdr>
    </w:div>
    <w:div w:id="478308348">
      <w:bodyDiv w:val="1"/>
      <w:marLeft w:val="0"/>
      <w:marRight w:val="0"/>
      <w:marTop w:val="0"/>
      <w:marBottom w:val="0"/>
      <w:divBdr>
        <w:top w:val="none" w:sz="0" w:space="0" w:color="auto"/>
        <w:left w:val="none" w:sz="0" w:space="0" w:color="auto"/>
        <w:bottom w:val="none" w:sz="0" w:space="0" w:color="auto"/>
        <w:right w:val="none" w:sz="0" w:space="0" w:color="auto"/>
      </w:divBdr>
    </w:div>
    <w:div w:id="494029473">
      <w:bodyDiv w:val="1"/>
      <w:marLeft w:val="0"/>
      <w:marRight w:val="0"/>
      <w:marTop w:val="0"/>
      <w:marBottom w:val="0"/>
      <w:divBdr>
        <w:top w:val="none" w:sz="0" w:space="0" w:color="auto"/>
        <w:left w:val="none" w:sz="0" w:space="0" w:color="auto"/>
        <w:bottom w:val="none" w:sz="0" w:space="0" w:color="auto"/>
        <w:right w:val="none" w:sz="0" w:space="0" w:color="auto"/>
      </w:divBdr>
    </w:div>
    <w:div w:id="515509517">
      <w:bodyDiv w:val="1"/>
      <w:marLeft w:val="0"/>
      <w:marRight w:val="0"/>
      <w:marTop w:val="0"/>
      <w:marBottom w:val="0"/>
      <w:divBdr>
        <w:top w:val="none" w:sz="0" w:space="0" w:color="auto"/>
        <w:left w:val="none" w:sz="0" w:space="0" w:color="auto"/>
        <w:bottom w:val="none" w:sz="0" w:space="0" w:color="auto"/>
        <w:right w:val="none" w:sz="0" w:space="0" w:color="auto"/>
      </w:divBdr>
    </w:div>
    <w:div w:id="521240298">
      <w:bodyDiv w:val="1"/>
      <w:marLeft w:val="0"/>
      <w:marRight w:val="0"/>
      <w:marTop w:val="0"/>
      <w:marBottom w:val="0"/>
      <w:divBdr>
        <w:top w:val="none" w:sz="0" w:space="0" w:color="auto"/>
        <w:left w:val="none" w:sz="0" w:space="0" w:color="auto"/>
        <w:bottom w:val="none" w:sz="0" w:space="0" w:color="auto"/>
        <w:right w:val="none" w:sz="0" w:space="0" w:color="auto"/>
      </w:divBdr>
    </w:div>
    <w:div w:id="523830990">
      <w:bodyDiv w:val="1"/>
      <w:marLeft w:val="0"/>
      <w:marRight w:val="0"/>
      <w:marTop w:val="0"/>
      <w:marBottom w:val="0"/>
      <w:divBdr>
        <w:top w:val="none" w:sz="0" w:space="0" w:color="auto"/>
        <w:left w:val="none" w:sz="0" w:space="0" w:color="auto"/>
        <w:bottom w:val="none" w:sz="0" w:space="0" w:color="auto"/>
        <w:right w:val="none" w:sz="0" w:space="0" w:color="auto"/>
      </w:divBdr>
    </w:div>
    <w:div w:id="530924834">
      <w:bodyDiv w:val="1"/>
      <w:marLeft w:val="0"/>
      <w:marRight w:val="0"/>
      <w:marTop w:val="0"/>
      <w:marBottom w:val="0"/>
      <w:divBdr>
        <w:top w:val="none" w:sz="0" w:space="0" w:color="auto"/>
        <w:left w:val="none" w:sz="0" w:space="0" w:color="auto"/>
        <w:bottom w:val="none" w:sz="0" w:space="0" w:color="auto"/>
        <w:right w:val="none" w:sz="0" w:space="0" w:color="auto"/>
      </w:divBdr>
    </w:div>
    <w:div w:id="533621633">
      <w:bodyDiv w:val="1"/>
      <w:marLeft w:val="0"/>
      <w:marRight w:val="0"/>
      <w:marTop w:val="0"/>
      <w:marBottom w:val="0"/>
      <w:divBdr>
        <w:top w:val="none" w:sz="0" w:space="0" w:color="auto"/>
        <w:left w:val="none" w:sz="0" w:space="0" w:color="auto"/>
        <w:bottom w:val="none" w:sz="0" w:space="0" w:color="auto"/>
        <w:right w:val="none" w:sz="0" w:space="0" w:color="auto"/>
      </w:divBdr>
    </w:div>
    <w:div w:id="534005402">
      <w:bodyDiv w:val="1"/>
      <w:marLeft w:val="0"/>
      <w:marRight w:val="0"/>
      <w:marTop w:val="0"/>
      <w:marBottom w:val="0"/>
      <w:divBdr>
        <w:top w:val="none" w:sz="0" w:space="0" w:color="auto"/>
        <w:left w:val="none" w:sz="0" w:space="0" w:color="auto"/>
        <w:bottom w:val="none" w:sz="0" w:space="0" w:color="auto"/>
        <w:right w:val="none" w:sz="0" w:space="0" w:color="auto"/>
      </w:divBdr>
    </w:div>
    <w:div w:id="544374469">
      <w:bodyDiv w:val="1"/>
      <w:marLeft w:val="0"/>
      <w:marRight w:val="0"/>
      <w:marTop w:val="0"/>
      <w:marBottom w:val="0"/>
      <w:divBdr>
        <w:top w:val="none" w:sz="0" w:space="0" w:color="auto"/>
        <w:left w:val="none" w:sz="0" w:space="0" w:color="auto"/>
        <w:bottom w:val="none" w:sz="0" w:space="0" w:color="auto"/>
        <w:right w:val="none" w:sz="0" w:space="0" w:color="auto"/>
      </w:divBdr>
    </w:div>
    <w:div w:id="560946118">
      <w:bodyDiv w:val="1"/>
      <w:marLeft w:val="0"/>
      <w:marRight w:val="0"/>
      <w:marTop w:val="0"/>
      <w:marBottom w:val="0"/>
      <w:divBdr>
        <w:top w:val="none" w:sz="0" w:space="0" w:color="auto"/>
        <w:left w:val="none" w:sz="0" w:space="0" w:color="auto"/>
        <w:bottom w:val="none" w:sz="0" w:space="0" w:color="auto"/>
        <w:right w:val="none" w:sz="0" w:space="0" w:color="auto"/>
      </w:divBdr>
    </w:div>
    <w:div w:id="566960311">
      <w:bodyDiv w:val="1"/>
      <w:marLeft w:val="0"/>
      <w:marRight w:val="0"/>
      <w:marTop w:val="0"/>
      <w:marBottom w:val="0"/>
      <w:divBdr>
        <w:top w:val="none" w:sz="0" w:space="0" w:color="auto"/>
        <w:left w:val="none" w:sz="0" w:space="0" w:color="auto"/>
        <w:bottom w:val="none" w:sz="0" w:space="0" w:color="auto"/>
        <w:right w:val="none" w:sz="0" w:space="0" w:color="auto"/>
      </w:divBdr>
    </w:div>
    <w:div w:id="574440983">
      <w:bodyDiv w:val="1"/>
      <w:marLeft w:val="0"/>
      <w:marRight w:val="0"/>
      <w:marTop w:val="0"/>
      <w:marBottom w:val="0"/>
      <w:divBdr>
        <w:top w:val="none" w:sz="0" w:space="0" w:color="auto"/>
        <w:left w:val="none" w:sz="0" w:space="0" w:color="auto"/>
        <w:bottom w:val="none" w:sz="0" w:space="0" w:color="auto"/>
        <w:right w:val="none" w:sz="0" w:space="0" w:color="auto"/>
      </w:divBdr>
    </w:div>
    <w:div w:id="588194605">
      <w:bodyDiv w:val="1"/>
      <w:marLeft w:val="0"/>
      <w:marRight w:val="0"/>
      <w:marTop w:val="0"/>
      <w:marBottom w:val="0"/>
      <w:divBdr>
        <w:top w:val="none" w:sz="0" w:space="0" w:color="auto"/>
        <w:left w:val="none" w:sz="0" w:space="0" w:color="auto"/>
        <w:bottom w:val="none" w:sz="0" w:space="0" w:color="auto"/>
        <w:right w:val="none" w:sz="0" w:space="0" w:color="auto"/>
      </w:divBdr>
    </w:div>
    <w:div w:id="591401227">
      <w:bodyDiv w:val="1"/>
      <w:marLeft w:val="0"/>
      <w:marRight w:val="0"/>
      <w:marTop w:val="0"/>
      <w:marBottom w:val="0"/>
      <w:divBdr>
        <w:top w:val="none" w:sz="0" w:space="0" w:color="auto"/>
        <w:left w:val="none" w:sz="0" w:space="0" w:color="auto"/>
        <w:bottom w:val="none" w:sz="0" w:space="0" w:color="auto"/>
        <w:right w:val="none" w:sz="0" w:space="0" w:color="auto"/>
      </w:divBdr>
    </w:div>
    <w:div w:id="594939982">
      <w:bodyDiv w:val="1"/>
      <w:marLeft w:val="0"/>
      <w:marRight w:val="0"/>
      <w:marTop w:val="0"/>
      <w:marBottom w:val="0"/>
      <w:divBdr>
        <w:top w:val="none" w:sz="0" w:space="0" w:color="auto"/>
        <w:left w:val="none" w:sz="0" w:space="0" w:color="auto"/>
        <w:bottom w:val="none" w:sz="0" w:space="0" w:color="auto"/>
        <w:right w:val="none" w:sz="0" w:space="0" w:color="auto"/>
      </w:divBdr>
    </w:div>
    <w:div w:id="603462936">
      <w:bodyDiv w:val="1"/>
      <w:marLeft w:val="0"/>
      <w:marRight w:val="0"/>
      <w:marTop w:val="0"/>
      <w:marBottom w:val="0"/>
      <w:divBdr>
        <w:top w:val="none" w:sz="0" w:space="0" w:color="auto"/>
        <w:left w:val="none" w:sz="0" w:space="0" w:color="auto"/>
        <w:bottom w:val="none" w:sz="0" w:space="0" w:color="auto"/>
        <w:right w:val="none" w:sz="0" w:space="0" w:color="auto"/>
      </w:divBdr>
    </w:div>
    <w:div w:id="603734174">
      <w:bodyDiv w:val="1"/>
      <w:marLeft w:val="0"/>
      <w:marRight w:val="0"/>
      <w:marTop w:val="0"/>
      <w:marBottom w:val="0"/>
      <w:divBdr>
        <w:top w:val="none" w:sz="0" w:space="0" w:color="auto"/>
        <w:left w:val="none" w:sz="0" w:space="0" w:color="auto"/>
        <w:bottom w:val="none" w:sz="0" w:space="0" w:color="auto"/>
        <w:right w:val="none" w:sz="0" w:space="0" w:color="auto"/>
      </w:divBdr>
    </w:div>
    <w:div w:id="630478977">
      <w:bodyDiv w:val="1"/>
      <w:marLeft w:val="0"/>
      <w:marRight w:val="0"/>
      <w:marTop w:val="0"/>
      <w:marBottom w:val="0"/>
      <w:divBdr>
        <w:top w:val="none" w:sz="0" w:space="0" w:color="auto"/>
        <w:left w:val="none" w:sz="0" w:space="0" w:color="auto"/>
        <w:bottom w:val="none" w:sz="0" w:space="0" w:color="auto"/>
        <w:right w:val="none" w:sz="0" w:space="0" w:color="auto"/>
      </w:divBdr>
    </w:div>
    <w:div w:id="632637160">
      <w:bodyDiv w:val="1"/>
      <w:marLeft w:val="0"/>
      <w:marRight w:val="0"/>
      <w:marTop w:val="0"/>
      <w:marBottom w:val="0"/>
      <w:divBdr>
        <w:top w:val="none" w:sz="0" w:space="0" w:color="auto"/>
        <w:left w:val="none" w:sz="0" w:space="0" w:color="auto"/>
        <w:bottom w:val="none" w:sz="0" w:space="0" w:color="auto"/>
        <w:right w:val="none" w:sz="0" w:space="0" w:color="auto"/>
      </w:divBdr>
    </w:div>
    <w:div w:id="644965385">
      <w:bodyDiv w:val="1"/>
      <w:marLeft w:val="0"/>
      <w:marRight w:val="0"/>
      <w:marTop w:val="0"/>
      <w:marBottom w:val="0"/>
      <w:divBdr>
        <w:top w:val="none" w:sz="0" w:space="0" w:color="auto"/>
        <w:left w:val="none" w:sz="0" w:space="0" w:color="auto"/>
        <w:bottom w:val="none" w:sz="0" w:space="0" w:color="auto"/>
        <w:right w:val="none" w:sz="0" w:space="0" w:color="auto"/>
      </w:divBdr>
    </w:div>
    <w:div w:id="647396653">
      <w:bodyDiv w:val="1"/>
      <w:marLeft w:val="0"/>
      <w:marRight w:val="0"/>
      <w:marTop w:val="0"/>
      <w:marBottom w:val="0"/>
      <w:divBdr>
        <w:top w:val="none" w:sz="0" w:space="0" w:color="auto"/>
        <w:left w:val="none" w:sz="0" w:space="0" w:color="auto"/>
        <w:bottom w:val="none" w:sz="0" w:space="0" w:color="auto"/>
        <w:right w:val="none" w:sz="0" w:space="0" w:color="auto"/>
      </w:divBdr>
    </w:div>
    <w:div w:id="649988535">
      <w:bodyDiv w:val="1"/>
      <w:marLeft w:val="0"/>
      <w:marRight w:val="0"/>
      <w:marTop w:val="0"/>
      <w:marBottom w:val="0"/>
      <w:divBdr>
        <w:top w:val="none" w:sz="0" w:space="0" w:color="auto"/>
        <w:left w:val="none" w:sz="0" w:space="0" w:color="auto"/>
        <w:bottom w:val="none" w:sz="0" w:space="0" w:color="auto"/>
        <w:right w:val="none" w:sz="0" w:space="0" w:color="auto"/>
      </w:divBdr>
    </w:div>
    <w:div w:id="655651447">
      <w:bodyDiv w:val="1"/>
      <w:marLeft w:val="0"/>
      <w:marRight w:val="0"/>
      <w:marTop w:val="0"/>
      <w:marBottom w:val="0"/>
      <w:divBdr>
        <w:top w:val="none" w:sz="0" w:space="0" w:color="auto"/>
        <w:left w:val="none" w:sz="0" w:space="0" w:color="auto"/>
        <w:bottom w:val="none" w:sz="0" w:space="0" w:color="auto"/>
        <w:right w:val="none" w:sz="0" w:space="0" w:color="auto"/>
      </w:divBdr>
    </w:div>
    <w:div w:id="659777558">
      <w:bodyDiv w:val="1"/>
      <w:marLeft w:val="0"/>
      <w:marRight w:val="0"/>
      <w:marTop w:val="0"/>
      <w:marBottom w:val="0"/>
      <w:divBdr>
        <w:top w:val="none" w:sz="0" w:space="0" w:color="auto"/>
        <w:left w:val="none" w:sz="0" w:space="0" w:color="auto"/>
        <w:bottom w:val="none" w:sz="0" w:space="0" w:color="auto"/>
        <w:right w:val="none" w:sz="0" w:space="0" w:color="auto"/>
      </w:divBdr>
    </w:div>
    <w:div w:id="664817081">
      <w:bodyDiv w:val="1"/>
      <w:marLeft w:val="0"/>
      <w:marRight w:val="0"/>
      <w:marTop w:val="0"/>
      <w:marBottom w:val="0"/>
      <w:divBdr>
        <w:top w:val="none" w:sz="0" w:space="0" w:color="auto"/>
        <w:left w:val="none" w:sz="0" w:space="0" w:color="auto"/>
        <w:bottom w:val="none" w:sz="0" w:space="0" w:color="auto"/>
        <w:right w:val="none" w:sz="0" w:space="0" w:color="auto"/>
      </w:divBdr>
    </w:div>
    <w:div w:id="666056892">
      <w:bodyDiv w:val="1"/>
      <w:marLeft w:val="0"/>
      <w:marRight w:val="0"/>
      <w:marTop w:val="0"/>
      <w:marBottom w:val="0"/>
      <w:divBdr>
        <w:top w:val="none" w:sz="0" w:space="0" w:color="auto"/>
        <w:left w:val="none" w:sz="0" w:space="0" w:color="auto"/>
        <w:bottom w:val="none" w:sz="0" w:space="0" w:color="auto"/>
        <w:right w:val="none" w:sz="0" w:space="0" w:color="auto"/>
      </w:divBdr>
    </w:div>
    <w:div w:id="667560939">
      <w:bodyDiv w:val="1"/>
      <w:marLeft w:val="0"/>
      <w:marRight w:val="0"/>
      <w:marTop w:val="0"/>
      <w:marBottom w:val="0"/>
      <w:divBdr>
        <w:top w:val="none" w:sz="0" w:space="0" w:color="auto"/>
        <w:left w:val="none" w:sz="0" w:space="0" w:color="auto"/>
        <w:bottom w:val="none" w:sz="0" w:space="0" w:color="auto"/>
        <w:right w:val="none" w:sz="0" w:space="0" w:color="auto"/>
      </w:divBdr>
    </w:div>
    <w:div w:id="674842664">
      <w:bodyDiv w:val="1"/>
      <w:marLeft w:val="0"/>
      <w:marRight w:val="0"/>
      <w:marTop w:val="0"/>
      <w:marBottom w:val="0"/>
      <w:divBdr>
        <w:top w:val="none" w:sz="0" w:space="0" w:color="auto"/>
        <w:left w:val="none" w:sz="0" w:space="0" w:color="auto"/>
        <w:bottom w:val="none" w:sz="0" w:space="0" w:color="auto"/>
        <w:right w:val="none" w:sz="0" w:space="0" w:color="auto"/>
      </w:divBdr>
    </w:div>
    <w:div w:id="675377486">
      <w:bodyDiv w:val="1"/>
      <w:marLeft w:val="0"/>
      <w:marRight w:val="0"/>
      <w:marTop w:val="0"/>
      <w:marBottom w:val="0"/>
      <w:divBdr>
        <w:top w:val="none" w:sz="0" w:space="0" w:color="auto"/>
        <w:left w:val="none" w:sz="0" w:space="0" w:color="auto"/>
        <w:bottom w:val="none" w:sz="0" w:space="0" w:color="auto"/>
        <w:right w:val="none" w:sz="0" w:space="0" w:color="auto"/>
      </w:divBdr>
    </w:div>
    <w:div w:id="684986994">
      <w:bodyDiv w:val="1"/>
      <w:marLeft w:val="0"/>
      <w:marRight w:val="0"/>
      <w:marTop w:val="0"/>
      <w:marBottom w:val="0"/>
      <w:divBdr>
        <w:top w:val="none" w:sz="0" w:space="0" w:color="auto"/>
        <w:left w:val="none" w:sz="0" w:space="0" w:color="auto"/>
        <w:bottom w:val="none" w:sz="0" w:space="0" w:color="auto"/>
        <w:right w:val="none" w:sz="0" w:space="0" w:color="auto"/>
      </w:divBdr>
    </w:div>
    <w:div w:id="699286149">
      <w:bodyDiv w:val="1"/>
      <w:marLeft w:val="0"/>
      <w:marRight w:val="0"/>
      <w:marTop w:val="0"/>
      <w:marBottom w:val="0"/>
      <w:divBdr>
        <w:top w:val="none" w:sz="0" w:space="0" w:color="auto"/>
        <w:left w:val="none" w:sz="0" w:space="0" w:color="auto"/>
        <w:bottom w:val="none" w:sz="0" w:space="0" w:color="auto"/>
        <w:right w:val="none" w:sz="0" w:space="0" w:color="auto"/>
      </w:divBdr>
    </w:div>
    <w:div w:id="703209491">
      <w:bodyDiv w:val="1"/>
      <w:marLeft w:val="0"/>
      <w:marRight w:val="0"/>
      <w:marTop w:val="0"/>
      <w:marBottom w:val="0"/>
      <w:divBdr>
        <w:top w:val="none" w:sz="0" w:space="0" w:color="auto"/>
        <w:left w:val="none" w:sz="0" w:space="0" w:color="auto"/>
        <w:bottom w:val="none" w:sz="0" w:space="0" w:color="auto"/>
        <w:right w:val="none" w:sz="0" w:space="0" w:color="auto"/>
      </w:divBdr>
    </w:div>
    <w:div w:id="704599360">
      <w:bodyDiv w:val="1"/>
      <w:marLeft w:val="0"/>
      <w:marRight w:val="0"/>
      <w:marTop w:val="0"/>
      <w:marBottom w:val="0"/>
      <w:divBdr>
        <w:top w:val="none" w:sz="0" w:space="0" w:color="auto"/>
        <w:left w:val="none" w:sz="0" w:space="0" w:color="auto"/>
        <w:bottom w:val="none" w:sz="0" w:space="0" w:color="auto"/>
        <w:right w:val="none" w:sz="0" w:space="0" w:color="auto"/>
      </w:divBdr>
    </w:div>
    <w:div w:id="726034962">
      <w:bodyDiv w:val="1"/>
      <w:marLeft w:val="0"/>
      <w:marRight w:val="0"/>
      <w:marTop w:val="0"/>
      <w:marBottom w:val="0"/>
      <w:divBdr>
        <w:top w:val="none" w:sz="0" w:space="0" w:color="auto"/>
        <w:left w:val="none" w:sz="0" w:space="0" w:color="auto"/>
        <w:bottom w:val="none" w:sz="0" w:space="0" w:color="auto"/>
        <w:right w:val="none" w:sz="0" w:space="0" w:color="auto"/>
      </w:divBdr>
    </w:div>
    <w:div w:id="735514566">
      <w:bodyDiv w:val="1"/>
      <w:marLeft w:val="0"/>
      <w:marRight w:val="0"/>
      <w:marTop w:val="0"/>
      <w:marBottom w:val="0"/>
      <w:divBdr>
        <w:top w:val="none" w:sz="0" w:space="0" w:color="auto"/>
        <w:left w:val="none" w:sz="0" w:space="0" w:color="auto"/>
        <w:bottom w:val="none" w:sz="0" w:space="0" w:color="auto"/>
        <w:right w:val="none" w:sz="0" w:space="0" w:color="auto"/>
      </w:divBdr>
    </w:div>
    <w:div w:id="738747830">
      <w:bodyDiv w:val="1"/>
      <w:marLeft w:val="0"/>
      <w:marRight w:val="0"/>
      <w:marTop w:val="0"/>
      <w:marBottom w:val="0"/>
      <w:divBdr>
        <w:top w:val="none" w:sz="0" w:space="0" w:color="auto"/>
        <w:left w:val="none" w:sz="0" w:space="0" w:color="auto"/>
        <w:bottom w:val="none" w:sz="0" w:space="0" w:color="auto"/>
        <w:right w:val="none" w:sz="0" w:space="0" w:color="auto"/>
      </w:divBdr>
    </w:div>
    <w:div w:id="738819806">
      <w:bodyDiv w:val="1"/>
      <w:marLeft w:val="0"/>
      <w:marRight w:val="0"/>
      <w:marTop w:val="0"/>
      <w:marBottom w:val="0"/>
      <w:divBdr>
        <w:top w:val="none" w:sz="0" w:space="0" w:color="auto"/>
        <w:left w:val="none" w:sz="0" w:space="0" w:color="auto"/>
        <w:bottom w:val="none" w:sz="0" w:space="0" w:color="auto"/>
        <w:right w:val="none" w:sz="0" w:space="0" w:color="auto"/>
      </w:divBdr>
    </w:div>
    <w:div w:id="773940260">
      <w:bodyDiv w:val="1"/>
      <w:marLeft w:val="0"/>
      <w:marRight w:val="0"/>
      <w:marTop w:val="0"/>
      <w:marBottom w:val="0"/>
      <w:divBdr>
        <w:top w:val="none" w:sz="0" w:space="0" w:color="auto"/>
        <w:left w:val="none" w:sz="0" w:space="0" w:color="auto"/>
        <w:bottom w:val="none" w:sz="0" w:space="0" w:color="auto"/>
        <w:right w:val="none" w:sz="0" w:space="0" w:color="auto"/>
      </w:divBdr>
    </w:div>
    <w:div w:id="776753350">
      <w:bodyDiv w:val="1"/>
      <w:marLeft w:val="0"/>
      <w:marRight w:val="0"/>
      <w:marTop w:val="0"/>
      <w:marBottom w:val="0"/>
      <w:divBdr>
        <w:top w:val="none" w:sz="0" w:space="0" w:color="auto"/>
        <w:left w:val="none" w:sz="0" w:space="0" w:color="auto"/>
        <w:bottom w:val="none" w:sz="0" w:space="0" w:color="auto"/>
        <w:right w:val="none" w:sz="0" w:space="0" w:color="auto"/>
      </w:divBdr>
    </w:div>
    <w:div w:id="787285655">
      <w:bodyDiv w:val="1"/>
      <w:marLeft w:val="0"/>
      <w:marRight w:val="0"/>
      <w:marTop w:val="0"/>
      <w:marBottom w:val="0"/>
      <w:divBdr>
        <w:top w:val="none" w:sz="0" w:space="0" w:color="auto"/>
        <w:left w:val="none" w:sz="0" w:space="0" w:color="auto"/>
        <w:bottom w:val="none" w:sz="0" w:space="0" w:color="auto"/>
        <w:right w:val="none" w:sz="0" w:space="0" w:color="auto"/>
      </w:divBdr>
    </w:div>
    <w:div w:id="795491155">
      <w:bodyDiv w:val="1"/>
      <w:marLeft w:val="0"/>
      <w:marRight w:val="0"/>
      <w:marTop w:val="0"/>
      <w:marBottom w:val="0"/>
      <w:divBdr>
        <w:top w:val="none" w:sz="0" w:space="0" w:color="auto"/>
        <w:left w:val="none" w:sz="0" w:space="0" w:color="auto"/>
        <w:bottom w:val="none" w:sz="0" w:space="0" w:color="auto"/>
        <w:right w:val="none" w:sz="0" w:space="0" w:color="auto"/>
      </w:divBdr>
    </w:div>
    <w:div w:id="796685199">
      <w:bodyDiv w:val="1"/>
      <w:marLeft w:val="0"/>
      <w:marRight w:val="0"/>
      <w:marTop w:val="0"/>
      <w:marBottom w:val="0"/>
      <w:divBdr>
        <w:top w:val="none" w:sz="0" w:space="0" w:color="auto"/>
        <w:left w:val="none" w:sz="0" w:space="0" w:color="auto"/>
        <w:bottom w:val="none" w:sz="0" w:space="0" w:color="auto"/>
        <w:right w:val="none" w:sz="0" w:space="0" w:color="auto"/>
      </w:divBdr>
    </w:div>
    <w:div w:id="811872104">
      <w:bodyDiv w:val="1"/>
      <w:marLeft w:val="0"/>
      <w:marRight w:val="0"/>
      <w:marTop w:val="0"/>
      <w:marBottom w:val="0"/>
      <w:divBdr>
        <w:top w:val="none" w:sz="0" w:space="0" w:color="auto"/>
        <w:left w:val="none" w:sz="0" w:space="0" w:color="auto"/>
        <w:bottom w:val="none" w:sz="0" w:space="0" w:color="auto"/>
        <w:right w:val="none" w:sz="0" w:space="0" w:color="auto"/>
      </w:divBdr>
    </w:div>
    <w:div w:id="822622033">
      <w:bodyDiv w:val="1"/>
      <w:marLeft w:val="0"/>
      <w:marRight w:val="0"/>
      <w:marTop w:val="0"/>
      <w:marBottom w:val="0"/>
      <w:divBdr>
        <w:top w:val="none" w:sz="0" w:space="0" w:color="auto"/>
        <w:left w:val="none" w:sz="0" w:space="0" w:color="auto"/>
        <w:bottom w:val="none" w:sz="0" w:space="0" w:color="auto"/>
        <w:right w:val="none" w:sz="0" w:space="0" w:color="auto"/>
      </w:divBdr>
    </w:div>
    <w:div w:id="832187333">
      <w:bodyDiv w:val="1"/>
      <w:marLeft w:val="0"/>
      <w:marRight w:val="0"/>
      <w:marTop w:val="0"/>
      <w:marBottom w:val="0"/>
      <w:divBdr>
        <w:top w:val="none" w:sz="0" w:space="0" w:color="auto"/>
        <w:left w:val="none" w:sz="0" w:space="0" w:color="auto"/>
        <w:bottom w:val="none" w:sz="0" w:space="0" w:color="auto"/>
        <w:right w:val="none" w:sz="0" w:space="0" w:color="auto"/>
      </w:divBdr>
    </w:div>
    <w:div w:id="836383466">
      <w:bodyDiv w:val="1"/>
      <w:marLeft w:val="0"/>
      <w:marRight w:val="0"/>
      <w:marTop w:val="0"/>
      <w:marBottom w:val="0"/>
      <w:divBdr>
        <w:top w:val="none" w:sz="0" w:space="0" w:color="auto"/>
        <w:left w:val="none" w:sz="0" w:space="0" w:color="auto"/>
        <w:bottom w:val="none" w:sz="0" w:space="0" w:color="auto"/>
        <w:right w:val="none" w:sz="0" w:space="0" w:color="auto"/>
      </w:divBdr>
    </w:div>
    <w:div w:id="858009001">
      <w:bodyDiv w:val="1"/>
      <w:marLeft w:val="0"/>
      <w:marRight w:val="0"/>
      <w:marTop w:val="0"/>
      <w:marBottom w:val="0"/>
      <w:divBdr>
        <w:top w:val="none" w:sz="0" w:space="0" w:color="auto"/>
        <w:left w:val="none" w:sz="0" w:space="0" w:color="auto"/>
        <w:bottom w:val="none" w:sz="0" w:space="0" w:color="auto"/>
        <w:right w:val="none" w:sz="0" w:space="0" w:color="auto"/>
      </w:divBdr>
    </w:div>
    <w:div w:id="859047567">
      <w:bodyDiv w:val="1"/>
      <w:marLeft w:val="0"/>
      <w:marRight w:val="0"/>
      <w:marTop w:val="0"/>
      <w:marBottom w:val="0"/>
      <w:divBdr>
        <w:top w:val="none" w:sz="0" w:space="0" w:color="auto"/>
        <w:left w:val="none" w:sz="0" w:space="0" w:color="auto"/>
        <w:bottom w:val="none" w:sz="0" w:space="0" w:color="auto"/>
        <w:right w:val="none" w:sz="0" w:space="0" w:color="auto"/>
      </w:divBdr>
    </w:div>
    <w:div w:id="880214531">
      <w:bodyDiv w:val="1"/>
      <w:marLeft w:val="0"/>
      <w:marRight w:val="0"/>
      <w:marTop w:val="0"/>
      <w:marBottom w:val="0"/>
      <w:divBdr>
        <w:top w:val="none" w:sz="0" w:space="0" w:color="auto"/>
        <w:left w:val="none" w:sz="0" w:space="0" w:color="auto"/>
        <w:bottom w:val="none" w:sz="0" w:space="0" w:color="auto"/>
        <w:right w:val="none" w:sz="0" w:space="0" w:color="auto"/>
      </w:divBdr>
    </w:div>
    <w:div w:id="888303422">
      <w:bodyDiv w:val="1"/>
      <w:marLeft w:val="0"/>
      <w:marRight w:val="0"/>
      <w:marTop w:val="0"/>
      <w:marBottom w:val="0"/>
      <w:divBdr>
        <w:top w:val="none" w:sz="0" w:space="0" w:color="auto"/>
        <w:left w:val="none" w:sz="0" w:space="0" w:color="auto"/>
        <w:bottom w:val="none" w:sz="0" w:space="0" w:color="auto"/>
        <w:right w:val="none" w:sz="0" w:space="0" w:color="auto"/>
      </w:divBdr>
    </w:div>
    <w:div w:id="900796348">
      <w:bodyDiv w:val="1"/>
      <w:marLeft w:val="0"/>
      <w:marRight w:val="0"/>
      <w:marTop w:val="0"/>
      <w:marBottom w:val="0"/>
      <w:divBdr>
        <w:top w:val="none" w:sz="0" w:space="0" w:color="auto"/>
        <w:left w:val="none" w:sz="0" w:space="0" w:color="auto"/>
        <w:bottom w:val="none" w:sz="0" w:space="0" w:color="auto"/>
        <w:right w:val="none" w:sz="0" w:space="0" w:color="auto"/>
      </w:divBdr>
    </w:div>
    <w:div w:id="915017862">
      <w:bodyDiv w:val="1"/>
      <w:marLeft w:val="0"/>
      <w:marRight w:val="0"/>
      <w:marTop w:val="0"/>
      <w:marBottom w:val="0"/>
      <w:divBdr>
        <w:top w:val="none" w:sz="0" w:space="0" w:color="auto"/>
        <w:left w:val="none" w:sz="0" w:space="0" w:color="auto"/>
        <w:bottom w:val="none" w:sz="0" w:space="0" w:color="auto"/>
        <w:right w:val="none" w:sz="0" w:space="0" w:color="auto"/>
      </w:divBdr>
    </w:div>
    <w:div w:id="915018235">
      <w:bodyDiv w:val="1"/>
      <w:marLeft w:val="0"/>
      <w:marRight w:val="0"/>
      <w:marTop w:val="0"/>
      <w:marBottom w:val="0"/>
      <w:divBdr>
        <w:top w:val="none" w:sz="0" w:space="0" w:color="auto"/>
        <w:left w:val="none" w:sz="0" w:space="0" w:color="auto"/>
        <w:bottom w:val="none" w:sz="0" w:space="0" w:color="auto"/>
        <w:right w:val="none" w:sz="0" w:space="0" w:color="auto"/>
      </w:divBdr>
    </w:div>
    <w:div w:id="927619985">
      <w:bodyDiv w:val="1"/>
      <w:marLeft w:val="0"/>
      <w:marRight w:val="0"/>
      <w:marTop w:val="0"/>
      <w:marBottom w:val="0"/>
      <w:divBdr>
        <w:top w:val="none" w:sz="0" w:space="0" w:color="auto"/>
        <w:left w:val="none" w:sz="0" w:space="0" w:color="auto"/>
        <w:bottom w:val="none" w:sz="0" w:space="0" w:color="auto"/>
        <w:right w:val="none" w:sz="0" w:space="0" w:color="auto"/>
      </w:divBdr>
    </w:div>
    <w:div w:id="948853541">
      <w:bodyDiv w:val="1"/>
      <w:marLeft w:val="0"/>
      <w:marRight w:val="0"/>
      <w:marTop w:val="0"/>
      <w:marBottom w:val="0"/>
      <w:divBdr>
        <w:top w:val="none" w:sz="0" w:space="0" w:color="auto"/>
        <w:left w:val="none" w:sz="0" w:space="0" w:color="auto"/>
        <w:bottom w:val="none" w:sz="0" w:space="0" w:color="auto"/>
        <w:right w:val="none" w:sz="0" w:space="0" w:color="auto"/>
      </w:divBdr>
    </w:div>
    <w:div w:id="949582350">
      <w:bodyDiv w:val="1"/>
      <w:marLeft w:val="0"/>
      <w:marRight w:val="0"/>
      <w:marTop w:val="0"/>
      <w:marBottom w:val="0"/>
      <w:divBdr>
        <w:top w:val="none" w:sz="0" w:space="0" w:color="auto"/>
        <w:left w:val="none" w:sz="0" w:space="0" w:color="auto"/>
        <w:bottom w:val="none" w:sz="0" w:space="0" w:color="auto"/>
        <w:right w:val="none" w:sz="0" w:space="0" w:color="auto"/>
      </w:divBdr>
    </w:div>
    <w:div w:id="952251003">
      <w:bodyDiv w:val="1"/>
      <w:marLeft w:val="0"/>
      <w:marRight w:val="0"/>
      <w:marTop w:val="0"/>
      <w:marBottom w:val="0"/>
      <w:divBdr>
        <w:top w:val="none" w:sz="0" w:space="0" w:color="auto"/>
        <w:left w:val="none" w:sz="0" w:space="0" w:color="auto"/>
        <w:bottom w:val="none" w:sz="0" w:space="0" w:color="auto"/>
        <w:right w:val="none" w:sz="0" w:space="0" w:color="auto"/>
      </w:divBdr>
    </w:div>
    <w:div w:id="967979220">
      <w:bodyDiv w:val="1"/>
      <w:marLeft w:val="0"/>
      <w:marRight w:val="0"/>
      <w:marTop w:val="0"/>
      <w:marBottom w:val="0"/>
      <w:divBdr>
        <w:top w:val="none" w:sz="0" w:space="0" w:color="auto"/>
        <w:left w:val="none" w:sz="0" w:space="0" w:color="auto"/>
        <w:bottom w:val="none" w:sz="0" w:space="0" w:color="auto"/>
        <w:right w:val="none" w:sz="0" w:space="0" w:color="auto"/>
      </w:divBdr>
    </w:div>
    <w:div w:id="973751564">
      <w:bodyDiv w:val="1"/>
      <w:marLeft w:val="0"/>
      <w:marRight w:val="0"/>
      <w:marTop w:val="0"/>
      <w:marBottom w:val="0"/>
      <w:divBdr>
        <w:top w:val="none" w:sz="0" w:space="0" w:color="auto"/>
        <w:left w:val="none" w:sz="0" w:space="0" w:color="auto"/>
        <w:bottom w:val="none" w:sz="0" w:space="0" w:color="auto"/>
        <w:right w:val="none" w:sz="0" w:space="0" w:color="auto"/>
      </w:divBdr>
    </w:div>
    <w:div w:id="986780297">
      <w:bodyDiv w:val="1"/>
      <w:marLeft w:val="0"/>
      <w:marRight w:val="0"/>
      <w:marTop w:val="0"/>
      <w:marBottom w:val="0"/>
      <w:divBdr>
        <w:top w:val="none" w:sz="0" w:space="0" w:color="auto"/>
        <w:left w:val="none" w:sz="0" w:space="0" w:color="auto"/>
        <w:bottom w:val="none" w:sz="0" w:space="0" w:color="auto"/>
        <w:right w:val="none" w:sz="0" w:space="0" w:color="auto"/>
      </w:divBdr>
    </w:div>
    <w:div w:id="991180811">
      <w:bodyDiv w:val="1"/>
      <w:marLeft w:val="0"/>
      <w:marRight w:val="0"/>
      <w:marTop w:val="0"/>
      <w:marBottom w:val="0"/>
      <w:divBdr>
        <w:top w:val="none" w:sz="0" w:space="0" w:color="auto"/>
        <w:left w:val="none" w:sz="0" w:space="0" w:color="auto"/>
        <w:bottom w:val="none" w:sz="0" w:space="0" w:color="auto"/>
        <w:right w:val="none" w:sz="0" w:space="0" w:color="auto"/>
      </w:divBdr>
    </w:div>
    <w:div w:id="992488589">
      <w:bodyDiv w:val="1"/>
      <w:marLeft w:val="0"/>
      <w:marRight w:val="0"/>
      <w:marTop w:val="0"/>
      <w:marBottom w:val="0"/>
      <w:divBdr>
        <w:top w:val="none" w:sz="0" w:space="0" w:color="auto"/>
        <w:left w:val="none" w:sz="0" w:space="0" w:color="auto"/>
        <w:bottom w:val="none" w:sz="0" w:space="0" w:color="auto"/>
        <w:right w:val="none" w:sz="0" w:space="0" w:color="auto"/>
      </w:divBdr>
    </w:div>
    <w:div w:id="998079018">
      <w:bodyDiv w:val="1"/>
      <w:marLeft w:val="0"/>
      <w:marRight w:val="0"/>
      <w:marTop w:val="0"/>
      <w:marBottom w:val="0"/>
      <w:divBdr>
        <w:top w:val="none" w:sz="0" w:space="0" w:color="auto"/>
        <w:left w:val="none" w:sz="0" w:space="0" w:color="auto"/>
        <w:bottom w:val="none" w:sz="0" w:space="0" w:color="auto"/>
        <w:right w:val="none" w:sz="0" w:space="0" w:color="auto"/>
      </w:divBdr>
    </w:div>
    <w:div w:id="1018196609">
      <w:bodyDiv w:val="1"/>
      <w:marLeft w:val="0"/>
      <w:marRight w:val="0"/>
      <w:marTop w:val="0"/>
      <w:marBottom w:val="0"/>
      <w:divBdr>
        <w:top w:val="none" w:sz="0" w:space="0" w:color="auto"/>
        <w:left w:val="none" w:sz="0" w:space="0" w:color="auto"/>
        <w:bottom w:val="none" w:sz="0" w:space="0" w:color="auto"/>
        <w:right w:val="none" w:sz="0" w:space="0" w:color="auto"/>
      </w:divBdr>
    </w:div>
    <w:div w:id="1026366832">
      <w:bodyDiv w:val="1"/>
      <w:marLeft w:val="0"/>
      <w:marRight w:val="0"/>
      <w:marTop w:val="0"/>
      <w:marBottom w:val="0"/>
      <w:divBdr>
        <w:top w:val="none" w:sz="0" w:space="0" w:color="auto"/>
        <w:left w:val="none" w:sz="0" w:space="0" w:color="auto"/>
        <w:bottom w:val="none" w:sz="0" w:space="0" w:color="auto"/>
        <w:right w:val="none" w:sz="0" w:space="0" w:color="auto"/>
      </w:divBdr>
    </w:div>
    <w:div w:id="1026370457">
      <w:bodyDiv w:val="1"/>
      <w:marLeft w:val="0"/>
      <w:marRight w:val="0"/>
      <w:marTop w:val="0"/>
      <w:marBottom w:val="0"/>
      <w:divBdr>
        <w:top w:val="none" w:sz="0" w:space="0" w:color="auto"/>
        <w:left w:val="none" w:sz="0" w:space="0" w:color="auto"/>
        <w:bottom w:val="none" w:sz="0" w:space="0" w:color="auto"/>
        <w:right w:val="none" w:sz="0" w:space="0" w:color="auto"/>
      </w:divBdr>
    </w:div>
    <w:div w:id="1032996479">
      <w:bodyDiv w:val="1"/>
      <w:marLeft w:val="0"/>
      <w:marRight w:val="0"/>
      <w:marTop w:val="0"/>
      <w:marBottom w:val="0"/>
      <w:divBdr>
        <w:top w:val="none" w:sz="0" w:space="0" w:color="auto"/>
        <w:left w:val="none" w:sz="0" w:space="0" w:color="auto"/>
        <w:bottom w:val="none" w:sz="0" w:space="0" w:color="auto"/>
        <w:right w:val="none" w:sz="0" w:space="0" w:color="auto"/>
      </w:divBdr>
    </w:div>
    <w:div w:id="1040520448">
      <w:bodyDiv w:val="1"/>
      <w:marLeft w:val="0"/>
      <w:marRight w:val="0"/>
      <w:marTop w:val="0"/>
      <w:marBottom w:val="0"/>
      <w:divBdr>
        <w:top w:val="none" w:sz="0" w:space="0" w:color="auto"/>
        <w:left w:val="none" w:sz="0" w:space="0" w:color="auto"/>
        <w:bottom w:val="none" w:sz="0" w:space="0" w:color="auto"/>
        <w:right w:val="none" w:sz="0" w:space="0" w:color="auto"/>
      </w:divBdr>
    </w:div>
    <w:div w:id="1065566974">
      <w:bodyDiv w:val="1"/>
      <w:marLeft w:val="0"/>
      <w:marRight w:val="0"/>
      <w:marTop w:val="0"/>
      <w:marBottom w:val="0"/>
      <w:divBdr>
        <w:top w:val="none" w:sz="0" w:space="0" w:color="auto"/>
        <w:left w:val="none" w:sz="0" w:space="0" w:color="auto"/>
        <w:bottom w:val="none" w:sz="0" w:space="0" w:color="auto"/>
        <w:right w:val="none" w:sz="0" w:space="0" w:color="auto"/>
      </w:divBdr>
    </w:div>
    <w:div w:id="1067727483">
      <w:bodyDiv w:val="1"/>
      <w:marLeft w:val="0"/>
      <w:marRight w:val="0"/>
      <w:marTop w:val="0"/>
      <w:marBottom w:val="0"/>
      <w:divBdr>
        <w:top w:val="none" w:sz="0" w:space="0" w:color="auto"/>
        <w:left w:val="none" w:sz="0" w:space="0" w:color="auto"/>
        <w:bottom w:val="none" w:sz="0" w:space="0" w:color="auto"/>
        <w:right w:val="none" w:sz="0" w:space="0" w:color="auto"/>
      </w:divBdr>
    </w:div>
    <w:div w:id="1073502179">
      <w:bodyDiv w:val="1"/>
      <w:marLeft w:val="0"/>
      <w:marRight w:val="0"/>
      <w:marTop w:val="0"/>
      <w:marBottom w:val="0"/>
      <w:divBdr>
        <w:top w:val="none" w:sz="0" w:space="0" w:color="auto"/>
        <w:left w:val="none" w:sz="0" w:space="0" w:color="auto"/>
        <w:bottom w:val="none" w:sz="0" w:space="0" w:color="auto"/>
        <w:right w:val="none" w:sz="0" w:space="0" w:color="auto"/>
      </w:divBdr>
    </w:div>
    <w:div w:id="1102526979">
      <w:bodyDiv w:val="1"/>
      <w:marLeft w:val="0"/>
      <w:marRight w:val="0"/>
      <w:marTop w:val="0"/>
      <w:marBottom w:val="0"/>
      <w:divBdr>
        <w:top w:val="none" w:sz="0" w:space="0" w:color="auto"/>
        <w:left w:val="none" w:sz="0" w:space="0" w:color="auto"/>
        <w:bottom w:val="none" w:sz="0" w:space="0" w:color="auto"/>
        <w:right w:val="none" w:sz="0" w:space="0" w:color="auto"/>
      </w:divBdr>
    </w:div>
    <w:div w:id="1103375733">
      <w:bodyDiv w:val="1"/>
      <w:marLeft w:val="0"/>
      <w:marRight w:val="0"/>
      <w:marTop w:val="0"/>
      <w:marBottom w:val="0"/>
      <w:divBdr>
        <w:top w:val="none" w:sz="0" w:space="0" w:color="auto"/>
        <w:left w:val="none" w:sz="0" w:space="0" w:color="auto"/>
        <w:bottom w:val="none" w:sz="0" w:space="0" w:color="auto"/>
        <w:right w:val="none" w:sz="0" w:space="0" w:color="auto"/>
      </w:divBdr>
    </w:div>
    <w:div w:id="1111432049">
      <w:bodyDiv w:val="1"/>
      <w:marLeft w:val="0"/>
      <w:marRight w:val="0"/>
      <w:marTop w:val="0"/>
      <w:marBottom w:val="0"/>
      <w:divBdr>
        <w:top w:val="none" w:sz="0" w:space="0" w:color="auto"/>
        <w:left w:val="none" w:sz="0" w:space="0" w:color="auto"/>
        <w:bottom w:val="none" w:sz="0" w:space="0" w:color="auto"/>
        <w:right w:val="none" w:sz="0" w:space="0" w:color="auto"/>
      </w:divBdr>
    </w:div>
    <w:div w:id="1114331103">
      <w:bodyDiv w:val="1"/>
      <w:marLeft w:val="0"/>
      <w:marRight w:val="0"/>
      <w:marTop w:val="0"/>
      <w:marBottom w:val="0"/>
      <w:divBdr>
        <w:top w:val="none" w:sz="0" w:space="0" w:color="auto"/>
        <w:left w:val="none" w:sz="0" w:space="0" w:color="auto"/>
        <w:bottom w:val="none" w:sz="0" w:space="0" w:color="auto"/>
        <w:right w:val="none" w:sz="0" w:space="0" w:color="auto"/>
      </w:divBdr>
    </w:div>
    <w:div w:id="1126390822">
      <w:bodyDiv w:val="1"/>
      <w:marLeft w:val="0"/>
      <w:marRight w:val="0"/>
      <w:marTop w:val="0"/>
      <w:marBottom w:val="0"/>
      <w:divBdr>
        <w:top w:val="none" w:sz="0" w:space="0" w:color="auto"/>
        <w:left w:val="none" w:sz="0" w:space="0" w:color="auto"/>
        <w:bottom w:val="none" w:sz="0" w:space="0" w:color="auto"/>
        <w:right w:val="none" w:sz="0" w:space="0" w:color="auto"/>
      </w:divBdr>
    </w:div>
    <w:div w:id="1146242208">
      <w:bodyDiv w:val="1"/>
      <w:marLeft w:val="0"/>
      <w:marRight w:val="0"/>
      <w:marTop w:val="0"/>
      <w:marBottom w:val="0"/>
      <w:divBdr>
        <w:top w:val="none" w:sz="0" w:space="0" w:color="auto"/>
        <w:left w:val="none" w:sz="0" w:space="0" w:color="auto"/>
        <w:bottom w:val="none" w:sz="0" w:space="0" w:color="auto"/>
        <w:right w:val="none" w:sz="0" w:space="0" w:color="auto"/>
      </w:divBdr>
    </w:div>
    <w:div w:id="1148548977">
      <w:bodyDiv w:val="1"/>
      <w:marLeft w:val="0"/>
      <w:marRight w:val="0"/>
      <w:marTop w:val="0"/>
      <w:marBottom w:val="0"/>
      <w:divBdr>
        <w:top w:val="none" w:sz="0" w:space="0" w:color="auto"/>
        <w:left w:val="none" w:sz="0" w:space="0" w:color="auto"/>
        <w:bottom w:val="none" w:sz="0" w:space="0" w:color="auto"/>
        <w:right w:val="none" w:sz="0" w:space="0" w:color="auto"/>
      </w:divBdr>
    </w:div>
    <w:div w:id="1169518352">
      <w:bodyDiv w:val="1"/>
      <w:marLeft w:val="0"/>
      <w:marRight w:val="0"/>
      <w:marTop w:val="0"/>
      <w:marBottom w:val="0"/>
      <w:divBdr>
        <w:top w:val="none" w:sz="0" w:space="0" w:color="auto"/>
        <w:left w:val="none" w:sz="0" w:space="0" w:color="auto"/>
        <w:bottom w:val="none" w:sz="0" w:space="0" w:color="auto"/>
        <w:right w:val="none" w:sz="0" w:space="0" w:color="auto"/>
      </w:divBdr>
    </w:div>
    <w:div w:id="1173299342">
      <w:bodyDiv w:val="1"/>
      <w:marLeft w:val="0"/>
      <w:marRight w:val="0"/>
      <w:marTop w:val="0"/>
      <w:marBottom w:val="0"/>
      <w:divBdr>
        <w:top w:val="none" w:sz="0" w:space="0" w:color="auto"/>
        <w:left w:val="none" w:sz="0" w:space="0" w:color="auto"/>
        <w:bottom w:val="none" w:sz="0" w:space="0" w:color="auto"/>
        <w:right w:val="none" w:sz="0" w:space="0" w:color="auto"/>
      </w:divBdr>
    </w:div>
    <w:div w:id="1173839231">
      <w:bodyDiv w:val="1"/>
      <w:marLeft w:val="0"/>
      <w:marRight w:val="0"/>
      <w:marTop w:val="0"/>
      <w:marBottom w:val="0"/>
      <w:divBdr>
        <w:top w:val="none" w:sz="0" w:space="0" w:color="auto"/>
        <w:left w:val="none" w:sz="0" w:space="0" w:color="auto"/>
        <w:bottom w:val="none" w:sz="0" w:space="0" w:color="auto"/>
        <w:right w:val="none" w:sz="0" w:space="0" w:color="auto"/>
      </w:divBdr>
    </w:div>
    <w:div w:id="1176194895">
      <w:bodyDiv w:val="1"/>
      <w:marLeft w:val="0"/>
      <w:marRight w:val="0"/>
      <w:marTop w:val="0"/>
      <w:marBottom w:val="0"/>
      <w:divBdr>
        <w:top w:val="none" w:sz="0" w:space="0" w:color="auto"/>
        <w:left w:val="none" w:sz="0" w:space="0" w:color="auto"/>
        <w:bottom w:val="none" w:sz="0" w:space="0" w:color="auto"/>
        <w:right w:val="none" w:sz="0" w:space="0" w:color="auto"/>
      </w:divBdr>
    </w:div>
    <w:div w:id="1192572884">
      <w:bodyDiv w:val="1"/>
      <w:marLeft w:val="0"/>
      <w:marRight w:val="0"/>
      <w:marTop w:val="0"/>
      <w:marBottom w:val="0"/>
      <w:divBdr>
        <w:top w:val="none" w:sz="0" w:space="0" w:color="auto"/>
        <w:left w:val="none" w:sz="0" w:space="0" w:color="auto"/>
        <w:bottom w:val="none" w:sz="0" w:space="0" w:color="auto"/>
        <w:right w:val="none" w:sz="0" w:space="0" w:color="auto"/>
      </w:divBdr>
    </w:div>
    <w:div w:id="1228615512">
      <w:bodyDiv w:val="1"/>
      <w:marLeft w:val="0"/>
      <w:marRight w:val="0"/>
      <w:marTop w:val="0"/>
      <w:marBottom w:val="0"/>
      <w:divBdr>
        <w:top w:val="none" w:sz="0" w:space="0" w:color="auto"/>
        <w:left w:val="none" w:sz="0" w:space="0" w:color="auto"/>
        <w:bottom w:val="none" w:sz="0" w:space="0" w:color="auto"/>
        <w:right w:val="none" w:sz="0" w:space="0" w:color="auto"/>
      </w:divBdr>
    </w:div>
    <w:div w:id="1230001246">
      <w:bodyDiv w:val="1"/>
      <w:marLeft w:val="0"/>
      <w:marRight w:val="0"/>
      <w:marTop w:val="0"/>
      <w:marBottom w:val="0"/>
      <w:divBdr>
        <w:top w:val="none" w:sz="0" w:space="0" w:color="auto"/>
        <w:left w:val="none" w:sz="0" w:space="0" w:color="auto"/>
        <w:bottom w:val="none" w:sz="0" w:space="0" w:color="auto"/>
        <w:right w:val="none" w:sz="0" w:space="0" w:color="auto"/>
      </w:divBdr>
    </w:div>
    <w:div w:id="1234660596">
      <w:bodyDiv w:val="1"/>
      <w:marLeft w:val="0"/>
      <w:marRight w:val="0"/>
      <w:marTop w:val="0"/>
      <w:marBottom w:val="0"/>
      <w:divBdr>
        <w:top w:val="none" w:sz="0" w:space="0" w:color="auto"/>
        <w:left w:val="none" w:sz="0" w:space="0" w:color="auto"/>
        <w:bottom w:val="none" w:sz="0" w:space="0" w:color="auto"/>
        <w:right w:val="none" w:sz="0" w:space="0" w:color="auto"/>
      </w:divBdr>
    </w:div>
    <w:div w:id="1245801003">
      <w:bodyDiv w:val="1"/>
      <w:marLeft w:val="0"/>
      <w:marRight w:val="0"/>
      <w:marTop w:val="0"/>
      <w:marBottom w:val="0"/>
      <w:divBdr>
        <w:top w:val="none" w:sz="0" w:space="0" w:color="auto"/>
        <w:left w:val="none" w:sz="0" w:space="0" w:color="auto"/>
        <w:bottom w:val="none" w:sz="0" w:space="0" w:color="auto"/>
        <w:right w:val="none" w:sz="0" w:space="0" w:color="auto"/>
      </w:divBdr>
    </w:div>
    <w:div w:id="1249925184">
      <w:bodyDiv w:val="1"/>
      <w:marLeft w:val="0"/>
      <w:marRight w:val="0"/>
      <w:marTop w:val="0"/>
      <w:marBottom w:val="0"/>
      <w:divBdr>
        <w:top w:val="none" w:sz="0" w:space="0" w:color="auto"/>
        <w:left w:val="none" w:sz="0" w:space="0" w:color="auto"/>
        <w:bottom w:val="none" w:sz="0" w:space="0" w:color="auto"/>
        <w:right w:val="none" w:sz="0" w:space="0" w:color="auto"/>
      </w:divBdr>
    </w:div>
    <w:div w:id="1255357580">
      <w:bodyDiv w:val="1"/>
      <w:marLeft w:val="0"/>
      <w:marRight w:val="0"/>
      <w:marTop w:val="0"/>
      <w:marBottom w:val="0"/>
      <w:divBdr>
        <w:top w:val="none" w:sz="0" w:space="0" w:color="auto"/>
        <w:left w:val="none" w:sz="0" w:space="0" w:color="auto"/>
        <w:bottom w:val="none" w:sz="0" w:space="0" w:color="auto"/>
        <w:right w:val="none" w:sz="0" w:space="0" w:color="auto"/>
      </w:divBdr>
    </w:div>
    <w:div w:id="1264266766">
      <w:bodyDiv w:val="1"/>
      <w:marLeft w:val="0"/>
      <w:marRight w:val="0"/>
      <w:marTop w:val="0"/>
      <w:marBottom w:val="0"/>
      <w:divBdr>
        <w:top w:val="none" w:sz="0" w:space="0" w:color="auto"/>
        <w:left w:val="none" w:sz="0" w:space="0" w:color="auto"/>
        <w:bottom w:val="none" w:sz="0" w:space="0" w:color="auto"/>
        <w:right w:val="none" w:sz="0" w:space="0" w:color="auto"/>
      </w:divBdr>
    </w:div>
    <w:div w:id="1267424867">
      <w:bodyDiv w:val="1"/>
      <w:marLeft w:val="0"/>
      <w:marRight w:val="0"/>
      <w:marTop w:val="0"/>
      <w:marBottom w:val="0"/>
      <w:divBdr>
        <w:top w:val="none" w:sz="0" w:space="0" w:color="auto"/>
        <w:left w:val="none" w:sz="0" w:space="0" w:color="auto"/>
        <w:bottom w:val="none" w:sz="0" w:space="0" w:color="auto"/>
        <w:right w:val="none" w:sz="0" w:space="0" w:color="auto"/>
      </w:divBdr>
    </w:div>
    <w:div w:id="1284925091">
      <w:bodyDiv w:val="1"/>
      <w:marLeft w:val="0"/>
      <w:marRight w:val="0"/>
      <w:marTop w:val="0"/>
      <w:marBottom w:val="0"/>
      <w:divBdr>
        <w:top w:val="none" w:sz="0" w:space="0" w:color="auto"/>
        <w:left w:val="none" w:sz="0" w:space="0" w:color="auto"/>
        <w:bottom w:val="none" w:sz="0" w:space="0" w:color="auto"/>
        <w:right w:val="none" w:sz="0" w:space="0" w:color="auto"/>
      </w:divBdr>
    </w:div>
    <w:div w:id="1289779718">
      <w:bodyDiv w:val="1"/>
      <w:marLeft w:val="0"/>
      <w:marRight w:val="0"/>
      <w:marTop w:val="0"/>
      <w:marBottom w:val="0"/>
      <w:divBdr>
        <w:top w:val="none" w:sz="0" w:space="0" w:color="auto"/>
        <w:left w:val="none" w:sz="0" w:space="0" w:color="auto"/>
        <w:bottom w:val="none" w:sz="0" w:space="0" w:color="auto"/>
        <w:right w:val="none" w:sz="0" w:space="0" w:color="auto"/>
      </w:divBdr>
    </w:div>
    <w:div w:id="1337464226">
      <w:bodyDiv w:val="1"/>
      <w:marLeft w:val="0"/>
      <w:marRight w:val="0"/>
      <w:marTop w:val="0"/>
      <w:marBottom w:val="0"/>
      <w:divBdr>
        <w:top w:val="none" w:sz="0" w:space="0" w:color="auto"/>
        <w:left w:val="none" w:sz="0" w:space="0" w:color="auto"/>
        <w:bottom w:val="none" w:sz="0" w:space="0" w:color="auto"/>
        <w:right w:val="none" w:sz="0" w:space="0" w:color="auto"/>
      </w:divBdr>
    </w:div>
    <w:div w:id="1344357585">
      <w:bodyDiv w:val="1"/>
      <w:marLeft w:val="0"/>
      <w:marRight w:val="0"/>
      <w:marTop w:val="0"/>
      <w:marBottom w:val="0"/>
      <w:divBdr>
        <w:top w:val="none" w:sz="0" w:space="0" w:color="auto"/>
        <w:left w:val="none" w:sz="0" w:space="0" w:color="auto"/>
        <w:bottom w:val="none" w:sz="0" w:space="0" w:color="auto"/>
        <w:right w:val="none" w:sz="0" w:space="0" w:color="auto"/>
      </w:divBdr>
    </w:div>
    <w:div w:id="1345283620">
      <w:bodyDiv w:val="1"/>
      <w:marLeft w:val="0"/>
      <w:marRight w:val="0"/>
      <w:marTop w:val="0"/>
      <w:marBottom w:val="0"/>
      <w:divBdr>
        <w:top w:val="none" w:sz="0" w:space="0" w:color="auto"/>
        <w:left w:val="none" w:sz="0" w:space="0" w:color="auto"/>
        <w:bottom w:val="none" w:sz="0" w:space="0" w:color="auto"/>
        <w:right w:val="none" w:sz="0" w:space="0" w:color="auto"/>
      </w:divBdr>
    </w:div>
    <w:div w:id="1346711159">
      <w:bodyDiv w:val="1"/>
      <w:marLeft w:val="0"/>
      <w:marRight w:val="0"/>
      <w:marTop w:val="0"/>
      <w:marBottom w:val="0"/>
      <w:divBdr>
        <w:top w:val="none" w:sz="0" w:space="0" w:color="auto"/>
        <w:left w:val="none" w:sz="0" w:space="0" w:color="auto"/>
        <w:bottom w:val="none" w:sz="0" w:space="0" w:color="auto"/>
        <w:right w:val="none" w:sz="0" w:space="0" w:color="auto"/>
      </w:divBdr>
    </w:div>
    <w:div w:id="1353529834">
      <w:bodyDiv w:val="1"/>
      <w:marLeft w:val="0"/>
      <w:marRight w:val="0"/>
      <w:marTop w:val="0"/>
      <w:marBottom w:val="0"/>
      <w:divBdr>
        <w:top w:val="none" w:sz="0" w:space="0" w:color="auto"/>
        <w:left w:val="none" w:sz="0" w:space="0" w:color="auto"/>
        <w:bottom w:val="none" w:sz="0" w:space="0" w:color="auto"/>
        <w:right w:val="none" w:sz="0" w:space="0" w:color="auto"/>
      </w:divBdr>
    </w:div>
    <w:div w:id="1358386592">
      <w:bodyDiv w:val="1"/>
      <w:marLeft w:val="0"/>
      <w:marRight w:val="0"/>
      <w:marTop w:val="0"/>
      <w:marBottom w:val="0"/>
      <w:divBdr>
        <w:top w:val="none" w:sz="0" w:space="0" w:color="auto"/>
        <w:left w:val="none" w:sz="0" w:space="0" w:color="auto"/>
        <w:bottom w:val="none" w:sz="0" w:space="0" w:color="auto"/>
        <w:right w:val="none" w:sz="0" w:space="0" w:color="auto"/>
      </w:divBdr>
    </w:div>
    <w:div w:id="1361202305">
      <w:bodyDiv w:val="1"/>
      <w:marLeft w:val="0"/>
      <w:marRight w:val="0"/>
      <w:marTop w:val="0"/>
      <w:marBottom w:val="0"/>
      <w:divBdr>
        <w:top w:val="none" w:sz="0" w:space="0" w:color="auto"/>
        <w:left w:val="none" w:sz="0" w:space="0" w:color="auto"/>
        <w:bottom w:val="none" w:sz="0" w:space="0" w:color="auto"/>
        <w:right w:val="none" w:sz="0" w:space="0" w:color="auto"/>
      </w:divBdr>
    </w:div>
    <w:div w:id="1363290760">
      <w:bodyDiv w:val="1"/>
      <w:marLeft w:val="0"/>
      <w:marRight w:val="0"/>
      <w:marTop w:val="0"/>
      <w:marBottom w:val="0"/>
      <w:divBdr>
        <w:top w:val="none" w:sz="0" w:space="0" w:color="auto"/>
        <w:left w:val="none" w:sz="0" w:space="0" w:color="auto"/>
        <w:bottom w:val="none" w:sz="0" w:space="0" w:color="auto"/>
        <w:right w:val="none" w:sz="0" w:space="0" w:color="auto"/>
      </w:divBdr>
    </w:div>
    <w:div w:id="1371876977">
      <w:bodyDiv w:val="1"/>
      <w:marLeft w:val="0"/>
      <w:marRight w:val="0"/>
      <w:marTop w:val="0"/>
      <w:marBottom w:val="0"/>
      <w:divBdr>
        <w:top w:val="none" w:sz="0" w:space="0" w:color="auto"/>
        <w:left w:val="none" w:sz="0" w:space="0" w:color="auto"/>
        <w:bottom w:val="none" w:sz="0" w:space="0" w:color="auto"/>
        <w:right w:val="none" w:sz="0" w:space="0" w:color="auto"/>
      </w:divBdr>
    </w:div>
    <w:div w:id="1375038087">
      <w:bodyDiv w:val="1"/>
      <w:marLeft w:val="0"/>
      <w:marRight w:val="0"/>
      <w:marTop w:val="0"/>
      <w:marBottom w:val="0"/>
      <w:divBdr>
        <w:top w:val="none" w:sz="0" w:space="0" w:color="auto"/>
        <w:left w:val="none" w:sz="0" w:space="0" w:color="auto"/>
        <w:bottom w:val="none" w:sz="0" w:space="0" w:color="auto"/>
        <w:right w:val="none" w:sz="0" w:space="0" w:color="auto"/>
      </w:divBdr>
    </w:div>
    <w:div w:id="1377780463">
      <w:bodyDiv w:val="1"/>
      <w:marLeft w:val="0"/>
      <w:marRight w:val="0"/>
      <w:marTop w:val="0"/>
      <w:marBottom w:val="0"/>
      <w:divBdr>
        <w:top w:val="none" w:sz="0" w:space="0" w:color="auto"/>
        <w:left w:val="none" w:sz="0" w:space="0" w:color="auto"/>
        <w:bottom w:val="none" w:sz="0" w:space="0" w:color="auto"/>
        <w:right w:val="none" w:sz="0" w:space="0" w:color="auto"/>
      </w:divBdr>
    </w:div>
    <w:div w:id="1393382467">
      <w:bodyDiv w:val="1"/>
      <w:marLeft w:val="0"/>
      <w:marRight w:val="0"/>
      <w:marTop w:val="0"/>
      <w:marBottom w:val="0"/>
      <w:divBdr>
        <w:top w:val="none" w:sz="0" w:space="0" w:color="auto"/>
        <w:left w:val="none" w:sz="0" w:space="0" w:color="auto"/>
        <w:bottom w:val="none" w:sz="0" w:space="0" w:color="auto"/>
        <w:right w:val="none" w:sz="0" w:space="0" w:color="auto"/>
      </w:divBdr>
    </w:div>
    <w:div w:id="1395617433">
      <w:bodyDiv w:val="1"/>
      <w:marLeft w:val="0"/>
      <w:marRight w:val="0"/>
      <w:marTop w:val="0"/>
      <w:marBottom w:val="0"/>
      <w:divBdr>
        <w:top w:val="none" w:sz="0" w:space="0" w:color="auto"/>
        <w:left w:val="none" w:sz="0" w:space="0" w:color="auto"/>
        <w:bottom w:val="none" w:sz="0" w:space="0" w:color="auto"/>
        <w:right w:val="none" w:sz="0" w:space="0" w:color="auto"/>
      </w:divBdr>
    </w:div>
    <w:div w:id="1397585146">
      <w:bodyDiv w:val="1"/>
      <w:marLeft w:val="0"/>
      <w:marRight w:val="0"/>
      <w:marTop w:val="0"/>
      <w:marBottom w:val="0"/>
      <w:divBdr>
        <w:top w:val="none" w:sz="0" w:space="0" w:color="auto"/>
        <w:left w:val="none" w:sz="0" w:space="0" w:color="auto"/>
        <w:bottom w:val="none" w:sz="0" w:space="0" w:color="auto"/>
        <w:right w:val="none" w:sz="0" w:space="0" w:color="auto"/>
      </w:divBdr>
    </w:div>
    <w:div w:id="1398239400">
      <w:bodyDiv w:val="1"/>
      <w:marLeft w:val="0"/>
      <w:marRight w:val="0"/>
      <w:marTop w:val="0"/>
      <w:marBottom w:val="0"/>
      <w:divBdr>
        <w:top w:val="none" w:sz="0" w:space="0" w:color="auto"/>
        <w:left w:val="none" w:sz="0" w:space="0" w:color="auto"/>
        <w:bottom w:val="none" w:sz="0" w:space="0" w:color="auto"/>
        <w:right w:val="none" w:sz="0" w:space="0" w:color="auto"/>
      </w:divBdr>
    </w:div>
    <w:div w:id="1409036600">
      <w:bodyDiv w:val="1"/>
      <w:marLeft w:val="0"/>
      <w:marRight w:val="0"/>
      <w:marTop w:val="0"/>
      <w:marBottom w:val="0"/>
      <w:divBdr>
        <w:top w:val="none" w:sz="0" w:space="0" w:color="auto"/>
        <w:left w:val="none" w:sz="0" w:space="0" w:color="auto"/>
        <w:bottom w:val="none" w:sz="0" w:space="0" w:color="auto"/>
        <w:right w:val="none" w:sz="0" w:space="0" w:color="auto"/>
      </w:divBdr>
    </w:div>
    <w:div w:id="1413969156">
      <w:bodyDiv w:val="1"/>
      <w:marLeft w:val="0"/>
      <w:marRight w:val="0"/>
      <w:marTop w:val="0"/>
      <w:marBottom w:val="0"/>
      <w:divBdr>
        <w:top w:val="none" w:sz="0" w:space="0" w:color="auto"/>
        <w:left w:val="none" w:sz="0" w:space="0" w:color="auto"/>
        <w:bottom w:val="none" w:sz="0" w:space="0" w:color="auto"/>
        <w:right w:val="none" w:sz="0" w:space="0" w:color="auto"/>
      </w:divBdr>
    </w:div>
    <w:div w:id="1420637053">
      <w:bodyDiv w:val="1"/>
      <w:marLeft w:val="0"/>
      <w:marRight w:val="0"/>
      <w:marTop w:val="0"/>
      <w:marBottom w:val="0"/>
      <w:divBdr>
        <w:top w:val="none" w:sz="0" w:space="0" w:color="auto"/>
        <w:left w:val="none" w:sz="0" w:space="0" w:color="auto"/>
        <w:bottom w:val="none" w:sz="0" w:space="0" w:color="auto"/>
        <w:right w:val="none" w:sz="0" w:space="0" w:color="auto"/>
      </w:divBdr>
    </w:div>
    <w:div w:id="1431705310">
      <w:bodyDiv w:val="1"/>
      <w:marLeft w:val="0"/>
      <w:marRight w:val="0"/>
      <w:marTop w:val="0"/>
      <w:marBottom w:val="0"/>
      <w:divBdr>
        <w:top w:val="none" w:sz="0" w:space="0" w:color="auto"/>
        <w:left w:val="none" w:sz="0" w:space="0" w:color="auto"/>
        <w:bottom w:val="none" w:sz="0" w:space="0" w:color="auto"/>
        <w:right w:val="none" w:sz="0" w:space="0" w:color="auto"/>
      </w:divBdr>
    </w:div>
    <w:div w:id="1438478759">
      <w:bodyDiv w:val="1"/>
      <w:marLeft w:val="0"/>
      <w:marRight w:val="0"/>
      <w:marTop w:val="0"/>
      <w:marBottom w:val="0"/>
      <w:divBdr>
        <w:top w:val="none" w:sz="0" w:space="0" w:color="auto"/>
        <w:left w:val="none" w:sz="0" w:space="0" w:color="auto"/>
        <w:bottom w:val="none" w:sz="0" w:space="0" w:color="auto"/>
        <w:right w:val="none" w:sz="0" w:space="0" w:color="auto"/>
      </w:divBdr>
    </w:div>
    <w:div w:id="1440297012">
      <w:bodyDiv w:val="1"/>
      <w:marLeft w:val="0"/>
      <w:marRight w:val="0"/>
      <w:marTop w:val="0"/>
      <w:marBottom w:val="0"/>
      <w:divBdr>
        <w:top w:val="none" w:sz="0" w:space="0" w:color="auto"/>
        <w:left w:val="none" w:sz="0" w:space="0" w:color="auto"/>
        <w:bottom w:val="none" w:sz="0" w:space="0" w:color="auto"/>
        <w:right w:val="none" w:sz="0" w:space="0" w:color="auto"/>
      </w:divBdr>
    </w:div>
    <w:div w:id="1443723203">
      <w:bodyDiv w:val="1"/>
      <w:marLeft w:val="0"/>
      <w:marRight w:val="0"/>
      <w:marTop w:val="0"/>
      <w:marBottom w:val="0"/>
      <w:divBdr>
        <w:top w:val="none" w:sz="0" w:space="0" w:color="auto"/>
        <w:left w:val="none" w:sz="0" w:space="0" w:color="auto"/>
        <w:bottom w:val="none" w:sz="0" w:space="0" w:color="auto"/>
        <w:right w:val="none" w:sz="0" w:space="0" w:color="auto"/>
      </w:divBdr>
    </w:div>
    <w:div w:id="1445034482">
      <w:bodyDiv w:val="1"/>
      <w:marLeft w:val="0"/>
      <w:marRight w:val="0"/>
      <w:marTop w:val="0"/>
      <w:marBottom w:val="0"/>
      <w:divBdr>
        <w:top w:val="none" w:sz="0" w:space="0" w:color="auto"/>
        <w:left w:val="none" w:sz="0" w:space="0" w:color="auto"/>
        <w:bottom w:val="none" w:sz="0" w:space="0" w:color="auto"/>
        <w:right w:val="none" w:sz="0" w:space="0" w:color="auto"/>
      </w:divBdr>
    </w:div>
    <w:div w:id="1446727497">
      <w:bodyDiv w:val="1"/>
      <w:marLeft w:val="0"/>
      <w:marRight w:val="0"/>
      <w:marTop w:val="0"/>
      <w:marBottom w:val="0"/>
      <w:divBdr>
        <w:top w:val="none" w:sz="0" w:space="0" w:color="auto"/>
        <w:left w:val="none" w:sz="0" w:space="0" w:color="auto"/>
        <w:bottom w:val="none" w:sz="0" w:space="0" w:color="auto"/>
        <w:right w:val="none" w:sz="0" w:space="0" w:color="auto"/>
      </w:divBdr>
    </w:div>
    <w:div w:id="1448306894">
      <w:bodyDiv w:val="1"/>
      <w:marLeft w:val="0"/>
      <w:marRight w:val="0"/>
      <w:marTop w:val="0"/>
      <w:marBottom w:val="0"/>
      <w:divBdr>
        <w:top w:val="none" w:sz="0" w:space="0" w:color="auto"/>
        <w:left w:val="none" w:sz="0" w:space="0" w:color="auto"/>
        <w:bottom w:val="none" w:sz="0" w:space="0" w:color="auto"/>
        <w:right w:val="none" w:sz="0" w:space="0" w:color="auto"/>
      </w:divBdr>
    </w:div>
    <w:div w:id="1464303022">
      <w:bodyDiv w:val="1"/>
      <w:marLeft w:val="0"/>
      <w:marRight w:val="0"/>
      <w:marTop w:val="0"/>
      <w:marBottom w:val="0"/>
      <w:divBdr>
        <w:top w:val="none" w:sz="0" w:space="0" w:color="auto"/>
        <w:left w:val="none" w:sz="0" w:space="0" w:color="auto"/>
        <w:bottom w:val="none" w:sz="0" w:space="0" w:color="auto"/>
        <w:right w:val="none" w:sz="0" w:space="0" w:color="auto"/>
      </w:divBdr>
    </w:div>
    <w:div w:id="1479034169">
      <w:bodyDiv w:val="1"/>
      <w:marLeft w:val="0"/>
      <w:marRight w:val="0"/>
      <w:marTop w:val="0"/>
      <w:marBottom w:val="0"/>
      <w:divBdr>
        <w:top w:val="none" w:sz="0" w:space="0" w:color="auto"/>
        <w:left w:val="none" w:sz="0" w:space="0" w:color="auto"/>
        <w:bottom w:val="none" w:sz="0" w:space="0" w:color="auto"/>
        <w:right w:val="none" w:sz="0" w:space="0" w:color="auto"/>
      </w:divBdr>
    </w:div>
    <w:div w:id="1485470660">
      <w:bodyDiv w:val="1"/>
      <w:marLeft w:val="0"/>
      <w:marRight w:val="0"/>
      <w:marTop w:val="0"/>
      <w:marBottom w:val="0"/>
      <w:divBdr>
        <w:top w:val="none" w:sz="0" w:space="0" w:color="auto"/>
        <w:left w:val="none" w:sz="0" w:space="0" w:color="auto"/>
        <w:bottom w:val="none" w:sz="0" w:space="0" w:color="auto"/>
        <w:right w:val="none" w:sz="0" w:space="0" w:color="auto"/>
      </w:divBdr>
    </w:div>
    <w:div w:id="1522821079">
      <w:bodyDiv w:val="1"/>
      <w:marLeft w:val="0"/>
      <w:marRight w:val="0"/>
      <w:marTop w:val="0"/>
      <w:marBottom w:val="0"/>
      <w:divBdr>
        <w:top w:val="none" w:sz="0" w:space="0" w:color="auto"/>
        <w:left w:val="none" w:sz="0" w:space="0" w:color="auto"/>
        <w:bottom w:val="none" w:sz="0" w:space="0" w:color="auto"/>
        <w:right w:val="none" w:sz="0" w:space="0" w:color="auto"/>
      </w:divBdr>
    </w:div>
    <w:div w:id="1555432764">
      <w:bodyDiv w:val="1"/>
      <w:marLeft w:val="0"/>
      <w:marRight w:val="0"/>
      <w:marTop w:val="0"/>
      <w:marBottom w:val="0"/>
      <w:divBdr>
        <w:top w:val="none" w:sz="0" w:space="0" w:color="auto"/>
        <w:left w:val="none" w:sz="0" w:space="0" w:color="auto"/>
        <w:bottom w:val="none" w:sz="0" w:space="0" w:color="auto"/>
        <w:right w:val="none" w:sz="0" w:space="0" w:color="auto"/>
      </w:divBdr>
    </w:div>
    <w:div w:id="1555584174">
      <w:bodyDiv w:val="1"/>
      <w:marLeft w:val="0"/>
      <w:marRight w:val="0"/>
      <w:marTop w:val="0"/>
      <w:marBottom w:val="0"/>
      <w:divBdr>
        <w:top w:val="none" w:sz="0" w:space="0" w:color="auto"/>
        <w:left w:val="none" w:sz="0" w:space="0" w:color="auto"/>
        <w:bottom w:val="none" w:sz="0" w:space="0" w:color="auto"/>
        <w:right w:val="none" w:sz="0" w:space="0" w:color="auto"/>
      </w:divBdr>
    </w:div>
    <w:div w:id="1561356690">
      <w:bodyDiv w:val="1"/>
      <w:marLeft w:val="0"/>
      <w:marRight w:val="0"/>
      <w:marTop w:val="0"/>
      <w:marBottom w:val="0"/>
      <w:divBdr>
        <w:top w:val="none" w:sz="0" w:space="0" w:color="auto"/>
        <w:left w:val="none" w:sz="0" w:space="0" w:color="auto"/>
        <w:bottom w:val="none" w:sz="0" w:space="0" w:color="auto"/>
        <w:right w:val="none" w:sz="0" w:space="0" w:color="auto"/>
      </w:divBdr>
    </w:div>
    <w:div w:id="1561668013">
      <w:bodyDiv w:val="1"/>
      <w:marLeft w:val="0"/>
      <w:marRight w:val="0"/>
      <w:marTop w:val="0"/>
      <w:marBottom w:val="0"/>
      <w:divBdr>
        <w:top w:val="none" w:sz="0" w:space="0" w:color="auto"/>
        <w:left w:val="none" w:sz="0" w:space="0" w:color="auto"/>
        <w:bottom w:val="none" w:sz="0" w:space="0" w:color="auto"/>
        <w:right w:val="none" w:sz="0" w:space="0" w:color="auto"/>
      </w:divBdr>
    </w:div>
    <w:div w:id="1574004441">
      <w:bodyDiv w:val="1"/>
      <w:marLeft w:val="0"/>
      <w:marRight w:val="0"/>
      <w:marTop w:val="0"/>
      <w:marBottom w:val="0"/>
      <w:divBdr>
        <w:top w:val="none" w:sz="0" w:space="0" w:color="auto"/>
        <w:left w:val="none" w:sz="0" w:space="0" w:color="auto"/>
        <w:bottom w:val="none" w:sz="0" w:space="0" w:color="auto"/>
        <w:right w:val="none" w:sz="0" w:space="0" w:color="auto"/>
      </w:divBdr>
    </w:div>
    <w:div w:id="1586300143">
      <w:bodyDiv w:val="1"/>
      <w:marLeft w:val="0"/>
      <w:marRight w:val="0"/>
      <w:marTop w:val="0"/>
      <w:marBottom w:val="0"/>
      <w:divBdr>
        <w:top w:val="none" w:sz="0" w:space="0" w:color="auto"/>
        <w:left w:val="none" w:sz="0" w:space="0" w:color="auto"/>
        <w:bottom w:val="none" w:sz="0" w:space="0" w:color="auto"/>
        <w:right w:val="none" w:sz="0" w:space="0" w:color="auto"/>
      </w:divBdr>
    </w:div>
    <w:div w:id="1612514623">
      <w:bodyDiv w:val="1"/>
      <w:marLeft w:val="0"/>
      <w:marRight w:val="0"/>
      <w:marTop w:val="0"/>
      <w:marBottom w:val="0"/>
      <w:divBdr>
        <w:top w:val="none" w:sz="0" w:space="0" w:color="auto"/>
        <w:left w:val="none" w:sz="0" w:space="0" w:color="auto"/>
        <w:bottom w:val="none" w:sz="0" w:space="0" w:color="auto"/>
        <w:right w:val="none" w:sz="0" w:space="0" w:color="auto"/>
      </w:divBdr>
    </w:div>
    <w:div w:id="1613628788">
      <w:bodyDiv w:val="1"/>
      <w:marLeft w:val="0"/>
      <w:marRight w:val="0"/>
      <w:marTop w:val="0"/>
      <w:marBottom w:val="0"/>
      <w:divBdr>
        <w:top w:val="none" w:sz="0" w:space="0" w:color="auto"/>
        <w:left w:val="none" w:sz="0" w:space="0" w:color="auto"/>
        <w:bottom w:val="none" w:sz="0" w:space="0" w:color="auto"/>
        <w:right w:val="none" w:sz="0" w:space="0" w:color="auto"/>
      </w:divBdr>
    </w:div>
    <w:div w:id="1616674708">
      <w:bodyDiv w:val="1"/>
      <w:marLeft w:val="0"/>
      <w:marRight w:val="0"/>
      <w:marTop w:val="0"/>
      <w:marBottom w:val="0"/>
      <w:divBdr>
        <w:top w:val="none" w:sz="0" w:space="0" w:color="auto"/>
        <w:left w:val="none" w:sz="0" w:space="0" w:color="auto"/>
        <w:bottom w:val="none" w:sz="0" w:space="0" w:color="auto"/>
        <w:right w:val="none" w:sz="0" w:space="0" w:color="auto"/>
      </w:divBdr>
    </w:div>
    <w:div w:id="1621766171">
      <w:bodyDiv w:val="1"/>
      <w:marLeft w:val="0"/>
      <w:marRight w:val="0"/>
      <w:marTop w:val="0"/>
      <w:marBottom w:val="0"/>
      <w:divBdr>
        <w:top w:val="none" w:sz="0" w:space="0" w:color="auto"/>
        <w:left w:val="none" w:sz="0" w:space="0" w:color="auto"/>
        <w:bottom w:val="none" w:sz="0" w:space="0" w:color="auto"/>
        <w:right w:val="none" w:sz="0" w:space="0" w:color="auto"/>
      </w:divBdr>
    </w:div>
    <w:div w:id="1622609098">
      <w:bodyDiv w:val="1"/>
      <w:marLeft w:val="0"/>
      <w:marRight w:val="0"/>
      <w:marTop w:val="0"/>
      <w:marBottom w:val="0"/>
      <w:divBdr>
        <w:top w:val="none" w:sz="0" w:space="0" w:color="auto"/>
        <w:left w:val="none" w:sz="0" w:space="0" w:color="auto"/>
        <w:bottom w:val="none" w:sz="0" w:space="0" w:color="auto"/>
        <w:right w:val="none" w:sz="0" w:space="0" w:color="auto"/>
      </w:divBdr>
    </w:div>
    <w:div w:id="1624313944">
      <w:bodyDiv w:val="1"/>
      <w:marLeft w:val="0"/>
      <w:marRight w:val="0"/>
      <w:marTop w:val="0"/>
      <w:marBottom w:val="0"/>
      <w:divBdr>
        <w:top w:val="none" w:sz="0" w:space="0" w:color="auto"/>
        <w:left w:val="none" w:sz="0" w:space="0" w:color="auto"/>
        <w:bottom w:val="none" w:sz="0" w:space="0" w:color="auto"/>
        <w:right w:val="none" w:sz="0" w:space="0" w:color="auto"/>
      </w:divBdr>
    </w:div>
    <w:div w:id="1642345922">
      <w:bodyDiv w:val="1"/>
      <w:marLeft w:val="0"/>
      <w:marRight w:val="0"/>
      <w:marTop w:val="0"/>
      <w:marBottom w:val="0"/>
      <w:divBdr>
        <w:top w:val="none" w:sz="0" w:space="0" w:color="auto"/>
        <w:left w:val="none" w:sz="0" w:space="0" w:color="auto"/>
        <w:bottom w:val="none" w:sz="0" w:space="0" w:color="auto"/>
        <w:right w:val="none" w:sz="0" w:space="0" w:color="auto"/>
      </w:divBdr>
    </w:div>
    <w:div w:id="1666739878">
      <w:bodyDiv w:val="1"/>
      <w:marLeft w:val="0"/>
      <w:marRight w:val="0"/>
      <w:marTop w:val="0"/>
      <w:marBottom w:val="0"/>
      <w:divBdr>
        <w:top w:val="none" w:sz="0" w:space="0" w:color="auto"/>
        <w:left w:val="none" w:sz="0" w:space="0" w:color="auto"/>
        <w:bottom w:val="none" w:sz="0" w:space="0" w:color="auto"/>
        <w:right w:val="none" w:sz="0" w:space="0" w:color="auto"/>
      </w:divBdr>
    </w:div>
    <w:div w:id="1667636945">
      <w:bodyDiv w:val="1"/>
      <w:marLeft w:val="0"/>
      <w:marRight w:val="0"/>
      <w:marTop w:val="0"/>
      <w:marBottom w:val="0"/>
      <w:divBdr>
        <w:top w:val="none" w:sz="0" w:space="0" w:color="auto"/>
        <w:left w:val="none" w:sz="0" w:space="0" w:color="auto"/>
        <w:bottom w:val="none" w:sz="0" w:space="0" w:color="auto"/>
        <w:right w:val="none" w:sz="0" w:space="0" w:color="auto"/>
      </w:divBdr>
    </w:div>
    <w:div w:id="1672444948">
      <w:bodyDiv w:val="1"/>
      <w:marLeft w:val="0"/>
      <w:marRight w:val="0"/>
      <w:marTop w:val="0"/>
      <w:marBottom w:val="0"/>
      <w:divBdr>
        <w:top w:val="none" w:sz="0" w:space="0" w:color="auto"/>
        <w:left w:val="none" w:sz="0" w:space="0" w:color="auto"/>
        <w:bottom w:val="none" w:sz="0" w:space="0" w:color="auto"/>
        <w:right w:val="none" w:sz="0" w:space="0" w:color="auto"/>
      </w:divBdr>
    </w:div>
    <w:div w:id="1678775504">
      <w:bodyDiv w:val="1"/>
      <w:marLeft w:val="0"/>
      <w:marRight w:val="0"/>
      <w:marTop w:val="0"/>
      <w:marBottom w:val="0"/>
      <w:divBdr>
        <w:top w:val="none" w:sz="0" w:space="0" w:color="auto"/>
        <w:left w:val="none" w:sz="0" w:space="0" w:color="auto"/>
        <w:bottom w:val="none" w:sz="0" w:space="0" w:color="auto"/>
        <w:right w:val="none" w:sz="0" w:space="0" w:color="auto"/>
      </w:divBdr>
    </w:div>
    <w:div w:id="1680036823">
      <w:bodyDiv w:val="1"/>
      <w:marLeft w:val="0"/>
      <w:marRight w:val="0"/>
      <w:marTop w:val="0"/>
      <w:marBottom w:val="0"/>
      <w:divBdr>
        <w:top w:val="none" w:sz="0" w:space="0" w:color="auto"/>
        <w:left w:val="none" w:sz="0" w:space="0" w:color="auto"/>
        <w:bottom w:val="none" w:sz="0" w:space="0" w:color="auto"/>
        <w:right w:val="none" w:sz="0" w:space="0" w:color="auto"/>
      </w:divBdr>
    </w:div>
    <w:div w:id="1680236531">
      <w:bodyDiv w:val="1"/>
      <w:marLeft w:val="0"/>
      <w:marRight w:val="0"/>
      <w:marTop w:val="0"/>
      <w:marBottom w:val="0"/>
      <w:divBdr>
        <w:top w:val="none" w:sz="0" w:space="0" w:color="auto"/>
        <w:left w:val="none" w:sz="0" w:space="0" w:color="auto"/>
        <w:bottom w:val="none" w:sz="0" w:space="0" w:color="auto"/>
        <w:right w:val="none" w:sz="0" w:space="0" w:color="auto"/>
      </w:divBdr>
    </w:div>
    <w:div w:id="1693652736">
      <w:bodyDiv w:val="1"/>
      <w:marLeft w:val="0"/>
      <w:marRight w:val="0"/>
      <w:marTop w:val="0"/>
      <w:marBottom w:val="0"/>
      <w:divBdr>
        <w:top w:val="none" w:sz="0" w:space="0" w:color="auto"/>
        <w:left w:val="none" w:sz="0" w:space="0" w:color="auto"/>
        <w:bottom w:val="none" w:sz="0" w:space="0" w:color="auto"/>
        <w:right w:val="none" w:sz="0" w:space="0" w:color="auto"/>
      </w:divBdr>
    </w:div>
    <w:div w:id="1703482386">
      <w:bodyDiv w:val="1"/>
      <w:marLeft w:val="0"/>
      <w:marRight w:val="0"/>
      <w:marTop w:val="0"/>
      <w:marBottom w:val="0"/>
      <w:divBdr>
        <w:top w:val="none" w:sz="0" w:space="0" w:color="auto"/>
        <w:left w:val="none" w:sz="0" w:space="0" w:color="auto"/>
        <w:bottom w:val="none" w:sz="0" w:space="0" w:color="auto"/>
        <w:right w:val="none" w:sz="0" w:space="0" w:color="auto"/>
      </w:divBdr>
    </w:div>
    <w:div w:id="1718043572">
      <w:bodyDiv w:val="1"/>
      <w:marLeft w:val="0"/>
      <w:marRight w:val="0"/>
      <w:marTop w:val="0"/>
      <w:marBottom w:val="0"/>
      <w:divBdr>
        <w:top w:val="none" w:sz="0" w:space="0" w:color="auto"/>
        <w:left w:val="none" w:sz="0" w:space="0" w:color="auto"/>
        <w:bottom w:val="none" w:sz="0" w:space="0" w:color="auto"/>
        <w:right w:val="none" w:sz="0" w:space="0" w:color="auto"/>
      </w:divBdr>
    </w:div>
    <w:div w:id="1719472017">
      <w:bodyDiv w:val="1"/>
      <w:marLeft w:val="0"/>
      <w:marRight w:val="0"/>
      <w:marTop w:val="0"/>
      <w:marBottom w:val="0"/>
      <w:divBdr>
        <w:top w:val="none" w:sz="0" w:space="0" w:color="auto"/>
        <w:left w:val="none" w:sz="0" w:space="0" w:color="auto"/>
        <w:bottom w:val="none" w:sz="0" w:space="0" w:color="auto"/>
        <w:right w:val="none" w:sz="0" w:space="0" w:color="auto"/>
      </w:divBdr>
    </w:div>
    <w:div w:id="1728725883">
      <w:bodyDiv w:val="1"/>
      <w:marLeft w:val="0"/>
      <w:marRight w:val="0"/>
      <w:marTop w:val="0"/>
      <w:marBottom w:val="0"/>
      <w:divBdr>
        <w:top w:val="none" w:sz="0" w:space="0" w:color="auto"/>
        <w:left w:val="none" w:sz="0" w:space="0" w:color="auto"/>
        <w:bottom w:val="none" w:sz="0" w:space="0" w:color="auto"/>
        <w:right w:val="none" w:sz="0" w:space="0" w:color="auto"/>
      </w:divBdr>
    </w:div>
    <w:div w:id="1730616978">
      <w:bodyDiv w:val="1"/>
      <w:marLeft w:val="0"/>
      <w:marRight w:val="0"/>
      <w:marTop w:val="0"/>
      <w:marBottom w:val="0"/>
      <w:divBdr>
        <w:top w:val="none" w:sz="0" w:space="0" w:color="auto"/>
        <w:left w:val="none" w:sz="0" w:space="0" w:color="auto"/>
        <w:bottom w:val="none" w:sz="0" w:space="0" w:color="auto"/>
        <w:right w:val="none" w:sz="0" w:space="0" w:color="auto"/>
      </w:divBdr>
    </w:div>
    <w:div w:id="1741829445">
      <w:bodyDiv w:val="1"/>
      <w:marLeft w:val="0"/>
      <w:marRight w:val="0"/>
      <w:marTop w:val="0"/>
      <w:marBottom w:val="0"/>
      <w:divBdr>
        <w:top w:val="none" w:sz="0" w:space="0" w:color="auto"/>
        <w:left w:val="none" w:sz="0" w:space="0" w:color="auto"/>
        <w:bottom w:val="none" w:sz="0" w:space="0" w:color="auto"/>
        <w:right w:val="none" w:sz="0" w:space="0" w:color="auto"/>
      </w:divBdr>
    </w:div>
    <w:div w:id="1742293959">
      <w:bodyDiv w:val="1"/>
      <w:marLeft w:val="0"/>
      <w:marRight w:val="0"/>
      <w:marTop w:val="0"/>
      <w:marBottom w:val="0"/>
      <w:divBdr>
        <w:top w:val="none" w:sz="0" w:space="0" w:color="auto"/>
        <w:left w:val="none" w:sz="0" w:space="0" w:color="auto"/>
        <w:bottom w:val="none" w:sz="0" w:space="0" w:color="auto"/>
        <w:right w:val="none" w:sz="0" w:space="0" w:color="auto"/>
      </w:divBdr>
    </w:div>
    <w:div w:id="1762330968">
      <w:bodyDiv w:val="1"/>
      <w:marLeft w:val="0"/>
      <w:marRight w:val="0"/>
      <w:marTop w:val="0"/>
      <w:marBottom w:val="0"/>
      <w:divBdr>
        <w:top w:val="none" w:sz="0" w:space="0" w:color="auto"/>
        <w:left w:val="none" w:sz="0" w:space="0" w:color="auto"/>
        <w:bottom w:val="none" w:sz="0" w:space="0" w:color="auto"/>
        <w:right w:val="none" w:sz="0" w:space="0" w:color="auto"/>
      </w:divBdr>
    </w:div>
    <w:div w:id="1791169594">
      <w:bodyDiv w:val="1"/>
      <w:marLeft w:val="0"/>
      <w:marRight w:val="0"/>
      <w:marTop w:val="0"/>
      <w:marBottom w:val="0"/>
      <w:divBdr>
        <w:top w:val="none" w:sz="0" w:space="0" w:color="auto"/>
        <w:left w:val="none" w:sz="0" w:space="0" w:color="auto"/>
        <w:bottom w:val="none" w:sz="0" w:space="0" w:color="auto"/>
        <w:right w:val="none" w:sz="0" w:space="0" w:color="auto"/>
      </w:divBdr>
    </w:div>
    <w:div w:id="1792704485">
      <w:bodyDiv w:val="1"/>
      <w:marLeft w:val="0"/>
      <w:marRight w:val="0"/>
      <w:marTop w:val="0"/>
      <w:marBottom w:val="0"/>
      <w:divBdr>
        <w:top w:val="none" w:sz="0" w:space="0" w:color="auto"/>
        <w:left w:val="none" w:sz="0" w:space="0" w:color="auto"/>
        <w:bottom w:val="none" w:sz="0" w:space="0" w:color="auto"/>
        <w:right w:val="none" w:sz="0" w:space="0" w:color="auto"/>
      </w:divBdr>
    </w:div>
    <w:div w:id="1795979421">
      <w:bodyDiv w:val="1"/>
      <w:marLeft w:val="0"/>
      <w:marRight w:val="0"/>
      <w:marTop w:val="0"/>
      <w:marBottom w:val="0"/>
      <w:divBdr>
        <w:top w:val="none" w:sz="0" w:space="0" w:color="auto"/>
        <w:left w:val="none" w:sz="0" w:space="0" w:color="auto"/>
        <w:bottom w:val="none" w:sz="0" w:space="0" w:color="auto"/>
        <w:right w:val="none" w:sz="0" w:space="0" w:color="auto"/>
      </w:divBdr>
    </w:div>
    <w:div w:id="1796175630">
      <w:bodyDiv w:val="1"/>
      <w:marLeft w:val="0"/>
      <w:marRight w:val="0"/>
      <w:marTop w:val="0"/>
      <w:marBottom w:val="0"/>
      <w:divBdr>
        <w:top w:val="none" w:sz="0" w:space="0" w:color="auto"/>
        <w:left w:val="none" w:sz="0" w:space="0" w:color="auto"/>
        <w:bottom w:val="none" w:sz="0" w:space="0" w:color="auto"/>
        <w:right w:val="none" w:sz="0" w:space="0" w:color="auto"/>
      </w:divBdr>
    </w:div>
    <w:div w:id="1797794059">
      <w:bodyDiv w:val="1"/>
      <w:marLeft w:val="0"/>
      <w:marRight w:val="0"/>
      <w:marTop w:val="0"/>
      <w:marBottom w:val="0"/>
      <w:divBdr>
        <w:top w:val="none" w:sz="0" w:space="0" w:color="auto"/>
        <w:left w:val="none" w:sz="0" w:space="0" w:color="auto"/>
        <w:bottom w:val="none" w:sz="0" w:space="0" w:color="auto"/>
        <w:right w:val="none" w:sz="0" w:space="0" w:color="auto"/>
      </w:divBdr>
    </w:div>
    <w:div w:id="1810127806">
      <w:bodyDiv w:val="1"/>
      <w:marLeft w:val="0"/>
      <w:marRight w:val="0"/>
      <w:marTop w:val="0"/>
      <w:marBottom w:val="0"/>
      <w:divBdr>
        <w:top w:val="none" w:sz="0" w:space="0" w:color="auto"/>
        <w:left w:val="none" w:sz="0" w:space="0" w:color="auto"/>
        <w:bottom w:val="none" w:sz="0" w:space="0" w:color="auto"/>
        <w:right w:val="none" w:sz="0" w:space="0" w:color="auto"/>
      </w:divBdr>
    </w:div>
    <w:div w:id="1811164011">
      <w:bodyDiv w:val="1"/>
      <w:marLeft w:val="0"/>
      <w:marRight w:val="0"/>
      <w:marTop w:val="0"/>
      <w:marBottom w:val="0"/>
      <w:divBdr>
        <w:top w:val="none" w:sz="0" w:space="0" w:color="auto"/>
        <w:left w:val="none" w:sz="0" w:space="0" w:color="auto"/>
        <w:bottom w:val="none" w:sz="0" w:space="0" w:color="auto"/>
        <w:right w:val="none" w:sz="0" w:space="0" w:color="auto"/>
      </w:divBdr>
    </w:div>
    <w:div w:id="1842163602">
      <w:bodyDiv w:val="1"/>
      <w:marLeft w:val="0"/>
      <w:marRight w:val="0"/>
      <w:marTop w:val="0"/>
      <w:marBottom w:val="0"/>
      <w:divBdr>
        <w:top w:val="none" w:sz="0" w:space="0" w:color="auto"/>
        <w:left w:val="none" w:sz="0" w:space="0" w:color="auto"/>
        <w:bottom w:val="none" w:sz="0" w:space="0" w:color="auto"/>
        <w:right w:val="none" w:sz="0" w:space="0" w:color="auto"/>
      </w:divBdr>
    </w:div>
    <w:div w:id="1854566440">
      <w:bodyDiv w:val="1"/>
      <w:marLeft w:val="0"/>
      <w:marRight w:val="0"/>
      <w:marTop w:val="0"/>
      <w:marBottom w:val="0"/>
      <w:divBdr>
        <w:top w:val="none" w:sz="0" w:space="0" w:color="auto"/>
        <w:left w:val="none" w:sz="0" w:space="0" w:color="auto"/>
        <w:bottom w:val="none" w:sz="0" w:space="0" w:color="auto"/>
        <w:right w:val="none" w:sz="0" w:space="0" w:color="auto"/>
      </w:divBdr>
    </w:div>
    <w:div w:id="1864858586">
      <w:bodyDiv w:val="1"/>
      <w:marLeft w:val="0"/>
      <w:marRight w:val="0"/>
      <w:marTop w:val="0"/>
      <w:marBottom w:val="0"/>
      <w:divBdr>
        <w:top w:val="none" w:sz="0" w:space="0" w:color="auto"/>
        <w:left w:val="none" w:sz="0" w:space="0" w:color="auto"/>
        <w:bottom w:val="none" w:sz="0" w:space="0" w:color="auto"/>
        <w:right w:val="none" w:sz="0" w:space="0" w:color="auto"/>
      </w:divBdr>
    </w:div>
    <w:div w:id="1873228580">
      <w:bodyDiv w:val="1"/>
      <w:marLeft w:val="0"/>
      <w:marRight w:val="0"/>
      <w:marTop w:val="0"/>
      <w:marBottom w:val="0"/>
      <w:divBdr>
        <w:top w:val="none" w:sz="0" w:space="0" w:color="auto"/>
        <w:left w:val="none" w:sz="0" w:space="0" w:color="auto"/>
        <w:bottom w:val="none" w:sz="0" w:space="0" w:color="auto"/>
        <w:right w:val="none" w:sz="0" w:space="0" w:color="auto"/>
      </w:divBdr>
    </w:div>
    <w:div w:id="1874226826">
      <w:bodyDiv w:val="1"/>
      <w:marLeft w:val="0"/>
      <w:marRight w:val="0"/>
      <w:marTop w:val="0"/>
      <w:marBottom w:val="0"/>
      <w:divBdr>
        <w:top w:val="none" w:sz="0" w:space="0" w:color="auto"/>
        <w:left w:val="none" w:sz="0" w:space="0" w:color="auto"/>
        <w:bottom w:val="none" w:sz="0" w:space="0" w:color="auto"/>
        <w:right w:val="none" w:sz="0" w:space="0" w:color="auto"/>
      </w:divBdr>
    </w:div>
    <w:div w:id="1876651435">
      <w:bodyDiv w:val="1"/>
      <w:marLeft w:val="0"/>
      <w:marRight w:val="0"/>
      <w:marTop w:val="0"/>
      <w:marBottom w:val="0"/>
      <w:divBdr>
        <w:top w:val="none" w:sz="0" w:space="0" w:color="auto"/>
        <w:left w:val="none" w:sz="0" w:space="0" w:color="auto"/>
        <w:bottom w:val="none" w:sz="0" w:space="0" w:color="auto"/>
        <w:right w:val="none" w:sz="0" w:space="0" w:color="auto"/>
      </w:divBdr>
    </w:div>
    <w:div w:id="1880892204">
      <w:bodyDiv w:val="1"/>
      <w:marLeft w:val="0"/>
      <w:marRight w:val="0"/>
      <w:marTop w:val="0"/>
      <w:marBottom w:val="0"/>
      <w:divBdr>
        <w:top w:val="none" w:sz="0" w:space="0" w:color="auto"/>
        <w:left w:val="none" w:sz="0" w:space="0" w:color="auto"/>
        <w:bottom w:val="none" w:sz="0" w:space="0" w:color="auto"/>
        <w:right w:val="none" w:sz="0" w:space="0" w:color="auto"/>
      </w:divBdr>
    </w:div>
    <w:div w:id="1881742397">
      <w:bodyDiv w:val="1"/>
      <w:marLeft w:val="0"/>
      <w:marRight w:val="0"/>
      <w:marTop w:val="0"/>
      <w:marBottom w:val="0"/>
      <w:divBdr>
        <w:top w:val="none" w:sz="0" w:space="0" w:color="auto"/>
        <w:left w:val="none" w:sz="0" w:space="0" w:color="auto"/>
        <w:bottom w:val="none" w:sz="0" w:space="0" w:color="auto"/>
        <w:right w:val="none" w:sz="0" w:space="0" w:color="auto"/>
      </w:divBdr>
    </w:div>
    <w:div w:id="1885869535">
      <w:bodyDiv w:val="1"/>
      <w:marLeft w:val="0"/>
      <w:marRight w:val="0"/>
      <w:marTop w:val="0"/>
      <w:marBottom w:val="0"/>
      <w:divBdr>
        <w:top w:val="none" w:sz="0" w:space="0" w:color="auto"/>
        <w:left w:val="none" w:sz="0" w:space="0" w:color="auto"/>
        <w:bottom w:val="none" w:sz="0" w:space="0" w:color="auto"/>
        <w:right w:val="none" w:sz="0" w:space="0" w:color="auto"/>
      </w:divBdr>
    </w:div>
    <w:div w:id="1894735852">
      <w:bodyDiv w:val="1"/>
      <w:marLeft w:val="0"/>
      <w:marRight w:val="0"/>
      <w:marTop w:val="0"/>
      <w:marBottom w:val="0"/>
      <w:divBdr>
        <w:top w:val="none" w:sz="0" w:space="0" w:color="auto"/>
        <w:left w:val="none" w:sz="0" w:space="0" w:color="auto"/>
        <w:bottom w:val="none" w:sz="0" w:space="0" w:color="auto"/>
        <w:right w:val="none" w:sz="0" w:space="0" w:color="auto"/>
      </w:divBdr>
    </w:div>
    <w:div w:id="1896158723">
      <w:bodyDiv w:val="1"/>
      <w:marLeft w:val="0"/>
      <w:marRight w:val="0"/>
      <w:marTop w:val="0"/>
      <w:marBottom w:val="0"/>
      <w:divBdr>
        <w:top w:val="none" w:sz="0" w:space="0" w:color="auto"/>
        <w:left w:val="none" w:sz="0" w:space="0" w:color="auto"/>
        <w:bottom w:val="none" w:sz="0" w:space="0" w:color="auto"/>
        <w:right w:val="none" w:sz="0" w:space="0" w:color="auto"/>
      </w:divBdr>
    </w:div>
    <w:div w:id="1916939154">
      <w:bodyDiv w:val="1"/>
      <w:marLeft w:val="0"/>
      <w:marRight w:val="0"/>
      <w:marTop w:val="0"/>
      <w:marBottom w:val="0"/>
      <w:divBdr>
        <w:top w:val="none" w:sz="0" w:space="0" w:color="auto"/>
        <w:left w:val="none" w:sz="0" w:space="0" w:color="auto"/>
        <w:bottom w:val="none" w:sz="0" w:space="0" w:color="auto"/>
        <w:right w:val="none" w:sz="0" w:space="0" w:color="auto"/>
      </w:divBdr>
    </w:div>
    <w:div w:id="1918705008">
      <w:bodyDiv w:val="1"/>
      <w:marLeft w:val="0"/>
      <w:marRight w:val="0"/>
      <w:marTop w:val="0"/>
      <w:marBottom w:val="0"/>
      <w:divBdr>
        <w:top w:val="none" w:sz="0" w:space="0" w:color="auto"/>
        <w:left w:val="none" w:sz="0" w:space="0" w:color="auto"/>
        <w:bottom w:val="none" w:sz="0" w:space="0" w:color="auto"/>
        <w:right w:val="none" w:sz="0" w:space="0" w:color="auto"/>
      </w:divBdr>
    </w:div>
    <w:div w:id="1921674285">
      <w:bodyDiv w:val="1"/>
      <w:marLeft w:val="0"/>
      <w:marRight w:val="0"/>
      <w:marTop w:val="0"/>
      <w:marBottom w:val="0"/>
      <w:divBdr>
        <w:top w:val="none" w:sz="0" w:space="0" w:color="auto"/>
        <w:left w:val="none" w:sz="0" w:space="0" w:color="auto"/>
        <w:bottom w:val="none" w:sz="0" w:space="0" w:color="auto"/>
        <w:right w:val="none" w:sz="0" w:space="0" w:color="auto"/>
      </w:divBdr>
    </w:div>
    <w:div w:id="1922785944">
      <w:bodyDiv w:val="1"/>
      <w:marLeft w:val="0"/>
      <w:marRight w:val="0"/>
      <w:marTop w:val="0"/>
      <w:marBottom w:val="0"/>
      <w:divBdr>
        <w:top w:val="none" w:sz="0" w:space="0" w:color="auto"/>
        <w:left w:val="none" w:sz="0" w:space="0" w:color="auto"/>
        <w:bottom w:val="none" w:sz="0" w:space="0" w:color="auto"/>
        <w:right w:val="none" w:sz="0" w:space="0" w:color="auto"/>
      </w:divBdr>
    </w:div>
    <w:div w:id="1931740936">
      <w:bodyDiv w:val="1"/>
      <w:marLeft w:val="0"/>
      <w:marRight w:val="0"/>
      <w:marTop w:val="0"/>
      <w:marBottom w:val="0"/>
      <w:divBdr>
        <w:top w:val="none" w:sz="0" w:space="0" w:color="auto"/>
        <w:left w:val="none" w:sz="0" w:space="0" w:color="auto"/>
        <w:bottom w:val="none" w:sz="0" w:space="0" w:color="auto"/>
        <w:right w:val="none" w:sz="0" w:space="0" w:color="auto"/>
      </w:divBdr>
    </w:div>
    <w:div w:id="1942447061">
      <w:bodyDiv w:val="1"/>
      <w:marLeft w:val="0"/>
      <w:marRight w:val="0"/>
      <w:marTop w:val="0"/>
      <w:marBottom w:val="0"/>
      <w:divBdr>
        <w:top w:val="none" w:sz="0" w:space="0" w:color="auto"/>
        <w:left w:val="none" w:sz="0" w:space="0" w:color="auto"/>
        <w:bottom w:val="none" w:sz="0" w:space="0" w:color="auto"/>
        <w:right w:val="none" w:sz="0" w:space="0" w:color="auto"/>
      </w:divBdr>
    </w:div>
    <w:div w:id="1944218547">
      <w:bodyDiv w:val="1"/>
      <w:marLeft w:val="0"/>
      <w:marRight w:val="0"/>
      <w:marTop w:val="0"/>
      <w:marBottom w:val="0"/>
      <w:divBdr>
        <w:top w:val="none" w:sz="0" w:space="0" w:color="auto"/>
        <w:left w:val="none" w:sz="0" w:space="0" w:color="auto"/>
        <w:bottom w:val="none" w:sz="0" w:space="0" w:color="auto"/>
        <w:right w:val="none" w:sz="0" w:space="0" w:color="auto"/>
      </w:divBdr>
    </w:div>
    <w:div w:id="1971088573">
      <w:bodyDiv w:val="1"/>
      <w:marLeft w:val="0"/>
      <w:marRight w:val="0"/>
      <w:marTop w:val="0"/>
      <w:marBottom w:val="0"/>
      <w:divBdr>
        <w:top w:val="none" w:sz="0" w:space="0" w:color="auto"/>
        <w:left w:val="none" w:sz="0" w:space="0" w:color="auto"/>
        <w:bottom w:val="none" w:sz="0" w:space="0" w:color="auto"/>
        <w:right w:val="none" w:sz="0" w:space="0" w:color="auto"/>
      </w:divBdr>
    </w:div>
    <w:div w:id="1976567200">
      <w:bodyDiv w:val="1"/>
      <w:marLeft w:val="0"/>
      <w:marRight w:val="0"/>
      <w:marTop w:val="0"/>
      <w:marBottom w:val="0"/>
      <w:divBdr>
        <w:top w:val="none" w:sz="0" w:space="0" w:color="auto"/>
        <w:left w:val="none" w:sz="0" w:space="0" w:color="auto"/>
        <w:bottom w:val="none" w:sz="0" w:space="0" w:color="auto"/>
        <w:right w:val="none" w:sz="0" w:space="0" w:color="auto"/>
      </w:divBdr>
    </w:div>
    <w:div w:id="1982925292">
      <w:bodyDiv w:val="1"/>
      <w:marLeft w:val="0"/>
      <w:marRight w:val="0"/>
      <w:marTop w:val="0"/>
      <w:marBottom w:val="0"/>
      <w:divBdr>
        <w:top w:val="none" w:sz="0" w:space="0" w:color="auto"/>
        <w:left w:val="none" w:sz="0" w:space="0" w:color="auto"/>
        <w:bottom w:val="none" w:sz="0" w:space="0" w:color="auto"/>
        <w:right w:val="none" w:sz="0" w:space="0" w:color="auto"/>
      </w:divBdr>
    </w:div>
    <w:div w:id="1982999800">
      <w:bodyDiv w:val="1"/>
      <w:marLeft w:val="0"/>
      <w:marRight w:val="0"/>
      <w:marTop w:val="0"/>
      <w:marBottom w:val="0"/>
      <w:divBdr>
        <w:top w:val="none" w:sz="0" w:space="0" w:color="auto"/>
        <w:left w:val="none" w:sz="0" w:space="0" w:color="auto"/>
        <w:bottom w:val="none" w:sz="0" w:space="0" w:color="auto"/>
        <w:right w:val="none" w:sz="0" w:space="0" w:color="auto"/>
      </w:divBdr>
    </w:div>
    <w:div w:id="1991445962">
      <w:bodyDiv w:val="1"/>
      <w:marLeft w:val="0"/>
      <w:marRight w:val="0"/>
      <w:marTop w:val="0"/>
      <w:marBottom w:val="0"/>
      <w:divBdr>
        <w:top w:val="none" w:sz="0" w:space="0" w:color="auto"/>
        <w:left w:val="none" w:sz="0" w:space="0" w:color="auto"/>
        <w:bottom w:val="none" w:sz="0" w:space="0" w:color="auto"/>
        <w:right w:val="none" w:sz="0" w:space="0" w:color="auto"/>
      </w:divBdr>
    </w:div>
    <w:div w:id="2000497615">
      <w:bodyDiv w:val="1"/>
      <w:marLeft w:val="0"/>
      <w:marRight w:val="0"/>
      <w:marTop w:val="0"/>
      <w:marBottom w:val="0"/>
      <w:divBdr>
        <w:top w:val="none" w:sz="0" w:space="0" w:color="auto"/>
        <w:left w:val="none" w:sz="0" w:space="0" w:color="auto"/>
        <w:bottom w:val="none" w:sz="0" w:space="0" w:color="auto"/>
        <w:right w:val="none" w:sz="0" w:space="0" w:color="auto"/>
      </w:divBdr>
    </w:div>
    <w:div w:id="2002351558">
      <w:bodyDiv w:val="1"/>
      <w:marLeft w:val="0"/>
      <w:marRight w:val="0"/>
      <w:marTop w:val="0"/>
      <w:marBottom w:val="0"/>
      <w:divBdr>
        <w:top w:val="none" w:sz="0" w:space="0" w:color="auto"/>
        <w:left w:val="none" w:sz="0" w:space="0" w:color="auto"/>
        <w:bottom w:val="none" w:sz="0" w:space="0" w:color="auto"/>
        <w:right w:val="none" w:sz="0" w:space="0" w:color="auto"/>
      </w:divBdr>
    </w:div>
    <w:div w:id="2005473310">
      <w:bodyDiv w:val="1"/>
      <w:marLeft w:val="0"/>
      <w:marRight w:val="0"/>
      <w:marTop w:val="0"/>
      <w:marBottom w:val="0"/>
      <w:divBdr>
        <w:top w:val="none" w:sz="0" w:space="0" w:color="auto"/>
        <w:left w:val="none" w:sz="0" w:space="0" w:color="auto"/>
        <w:bottom w:val="none" w:sz="0" w:space="0" w:color="auto"/>
        <w:right w:val="none" w:sz="0" w:space="0" w:color="auto"/>
      </w:divBdr>
    </w:div>
    <w:div w:id="2007004285">
      <w:bodyDiv w:val="1"/>
      <w:marLeft w:val="0"/>
      <w:marRight w:val="0"/>
      <w:marTop w:val="0"/>
      <w:marBottom w:val="0"/>
      <w:divBdr>
        <w:top w:val="none" w:sz="0" w:space="0" w:color="auto"/>
        <w:left w:val="none" w:sz="0" w:space="0" w:color="auto"/>
        <w:bottom w:val="none" w:sz="0" w:space="0" w:color="auto"/>
        <w:right w:val="none" w:sz="0" w:space="0" w:color="auto"/>
      </w:divBdr>
    </w:div>
    <w:div w:id="2027635395">
      <w:bodyDiv w:val="1"/>
      <w:marLeft w:val="0"/>
      <w:marRight w:val="0"/>
      <w:marTop w:val="0"/>
      <w:marBottom w:val="0"/>
      <w:divBdr>
        <w:top w:val="none" w:sz="0" w:space="0" w:color="auto"/>
        <w:left w:val="none" w:sz="0" w:space="0" w:color="auto"/>
        <w:bottom w:val="none" w:sz="0" w:space="0" w:color="auto"/>
        <w:right w:val="none" w:sz="0" w:space="0" w:color="auto"/>
      </w:divBdr>
    </w:div>
    <w:div w:id="2037459079">
      <w:bodyDiv w:val="1"/>
      <w:marLeft w:val="0"/>
      <w:marRight w:val="0"/>
      <w:marTop w:val="0"/>
      <w:marBottom w:val="0"/>
      <w:divBdr>
        <w:top w:val="none" w:sz="0" w:space="0" w:color="auto"/>
        <w:left w:val="none" w:sz="0" w:space="0" w:color="auto"/>
        <w:bottom w:val="none" w:sz="0" w:space="0" w:color="auto"/>
        <w:right w:val="none" w:sz="0" w:space="0" w:color="auto"/>
      </w:divBdr>
    </w:div>
    <w:div w:id="2041128849">
      <w:bodyDiv w:val="1"/>
      <w:marLeft w:val="0"/>
      <w:marRight w:val="0"/>
      <w:marTop w:val="0"/>
      <w:marBottom w:val="0"/>
      <w:divBdr>
        <w:top w:val="none" w:sz="0" w:space="0" w:color="auto"/>
        <w:left w:val="none" w:sz="0" w:space="0" w:color="auto"/>
        <w:bottom w:val="none" w:sz="0" w:space="0" w:color="auto"/>
        <w:right w:val="none" w:sz="0" w:space="0" w:color="auto"/>
      </w:divBdr>
    </w:div>
    <w:div w:id="2044284960">
      <w:bodyDiv w:val="1"/>
      <w:marLeft w:val="0"/>
      <w:marRight w:val="0"/>
      <w:marTop w:val="0"/>
      <w:marBottom w:val="0"/>
      <w:divBdr>
        <w:top w:val="none" w:sz="0" w:space="0" w:color="auto"/>
        <w:left w:val="none" w:sz="0" w:space="0" w:color="auto"/>
        <w:bottom w:val="none" w:sz="0" w:space="0" w:color="auto"/>
        <w:right w:val="none" w:sz="0" w:space="0" w:color="auto"/>
      </w:divBdr>
    </w:div>
    <w:div w:id="2044816688">
      <w:bodyDiv w:val="1"/>
      <w:marLeft w:val="0"/>
      <w:marRight w:val="0"/>
      <w:marTop w:val="0"/>
      <w:marBottom w:val="0"/>
      <w:divBdr>
        <w:top w:val="none" w:sz="0" w:space="0" w:color="auto"/>
        <w:left w:val="none" w:sz="0" w:space="0" w:color="auto"/>
        <w:bottom w:val="none" w:sz="0" w:space="0" w:color="auto"/>
        <w:right w:val="none" w:sz="0" w:space="0" w:color="auto"/>
      </w:divBdr>
    </w:div>
    <w:div w:id="2045863832">
      <w:bodyDiv w:val="1"/>
      <w:marLeft w:val="0"/>
      <w:marRight w:val="0"/>
      <w:marTop w:val="0"/>
      <w:marBottom w:val="0"/>
      <w:divBdr>
        <w:top w:val="none" w:sz="0" w:space="0" w:color="auto"/>
        <w:left w:val="none" w:sz="0" w:space="0" w:color="auto"/>
        <w:bottom w:val="none" w:sz="0" w:space="0" w:color="auto"/>
        <w:right w:val="none" w:sz="0" w:space="0" w:color="auto"/>
      </w:divBdr>
    </w:div>
    <w:div w:id="2053193904">
      <w:bodyDiv w:val="1"/>
      <w:marLeft w:val="0"/>
      <w:marRight w:val="0"/>
      <w:marTop w:val="0"/>
      <w:marBottom w:val="0"/>
      <w:divBdr>
        <w:top w:val="none" w:sz="0" w:space="0" w:color="auto"/>
        <w:left w:val="none" w:sz="0" w:space="0" w:color="auto"/>
        <w:bottom w:val="none" w:sz="0" w:space="0" w:color="auto"/>
        <w:right w:val="none" w:sz="0" w:space="0" w:color="auto"/>
      </w:divBdr>
    </w:div>
    <w:div w:id="2054113385">
      <w:bodyDiv w:val="1"/>
      <w:marLeft w:val="0"/>
      <w:marRight w:val="0"/>
      <w:marTop w:val="0"/>
      <w:marBottom w:val="0"/>
      <w:divBdr>
        <w:top w:val="none" w:sz="0" w:space="0" w:color="auto"/>
        <w:left w:val="none" w:sz="0" w:space="0" w:color="auto"/>
        <w:bottom w:val="none" w:sz="0" w:space="0" w:color="auto"/>
        <w:right w:val="none" w:sz="0" w:space="0" w:color="auto"/>
      </w:divBdr>
    </w:div>
    <w:div w:id="2060205626">
      <w:bodyDiv w:val="1"/>
      <w:marLeft w:val="0"/>
      <w:marRight w:val="0"/>
      <w:marTop w:val="0"/>
      <w:marBottom w:val="0"/>
      <w:divBdr>
        <w:top w:val="none" w:sz="0" w:space="0" w:color="auto"/>
        <w:left w:val="none" w:sz="0" w:space="0" w:color="auto"/>
        <w:bottom w:val="none" w:sz="0" w:space="0" w:color="auto"/>
        <w:right w:val="none" w:sz="0" w:space="0" w:color="auto"/>
      </w:divBdr>
    </w:div>
    <w:div w:id="2072149022">
      <w:bodyDiv w:val="1"/>
      <w:marLeft w:val="0"/>
      <w:marRight w:val="0"/>
      <w:marTop w:val="0"/>
      <w:marBottom w:val="0"/>
      <w:divBdr>
        <w:top w:val="none" w:sz="0" w:space="0" w:color="auto"/>
        <w:left w:val="none" w:sz="0" w:space="0" w:color="auto"/>
        <w:bottom w:val="none" w:sz="0" w:space="0" w:color="auto"/>
        <w:right w:val="none" w:sz="0" w:space="0" w:color="auto"/>
      </w:divBdr>
    </w:div>
    <w:div w:id="2078627261">
      <w:bodyDiv w:val="1"/>
      <w:marLeft w:val="0"/>
      <w:marRight w:val="0"/>
      <w:marTop w:val="0"/>
      <w:marBottom w:val="0"/>
      <w:divBdr>
        <w:top w:val="none" w:sz="0" w:space="0" w:color="auto"/>
        <w:left w:val="none" w:sz="0" w:space="0" w:color="auto"/>
        <w:bottom w:val="none" w:sz="0" w:space="0" w:color="auto"/>
        <w:right w:val="none" w:sz="0" w:space="0" w:color="auto"/>
      </w:divBdr>
    </w:div>
    <w:div w:id="2079742495">
      <w:bodyDiv w:val="1"/>
      <w:marLeft w:val="0"/>
      <w:marRight w:val="0"/>
      <w:marTop w:val="0"/>
      <w:marBottom w:val="0"/>
      <w:divBdr>
        <w:top w:val="none" w:sz="0" w:space="0" w:color="auto"/>
        <w:left w:val="none" w:sz="0" w:space="0" w:color="auto"/>
        <w:bottom w:val="none" w:sz="0" w:space="0" w:color="auto"/>
        <w:right w:val="none" w:sz="0" w:space="0" w:color="auto"/>
      </w:divBdr>
    </w:div>
    <w:div w:id="2086951078">
      <w:bodyDiv w:val="1"/>
      <w:marLeft w:val="0"/>
      <w:marRight w:val="0"/>
      <w:marTop w:val="0"/>
      <w:marBottom w:val="0"/>
      <w:divBdr>
        <w:top w:val="none" w:sz="0" w:space="0" w:color="auto"/>
        <w:left w:val="none" w:sz="0" w:space="0" w:color="auto"/>
        <w:bottom w:val="none" w:sz="0" w:space="0" w:color="auto"/>
        <w:right w:val="none" w:sz="0" w:space="0" w:color="auto"/>
      </w:divBdr>
    </w:div>
    <w:div w:id="2089031269">
      <w:bodyDiv w:val="1"/>
      <w:marLeft w:val="0"/>
      <w:marRight w:val="0"/>
      <w:marTop w:val="0"/>
      <w:marBottom w:val="0"/>
      <w:divBdr>
        <w:top w:val="none" w:sz="0" w:space="0" w:color="auto"/>
        <w:left w:val="none" w:sz="0" w:space="0" w:color="auto"/>
        <w:bottom w:val="none" w:sz="0" w:space="0" w:color="auto"/>
        <w:right w:val="none" w:sz="0" w:space="0" w:color="auto"/>
      </w:divBdr>
    </w:div>
    <w:div w:id="2101758476">
      <w:bodyDiv w:val="1"/>
      <w:marLeft w:val="0"/>
      <w:marRight w:val="0"/>
      <w:marTop w:val="0"/>
      <w:marBottom w:val="0"/>
      <w:divBdr>
        <w:top w:val="none" w:sz="0" w:space="0" w:color="auto"/>
        <w:left w:val="none" w:sz="0" w:space="0" w:color="auto"/>
        <w:bottom w:val="none" w:sz="0" w:space="0" w:color="auto"/>
        <w:right w:val="none" w:sz="0" w:space="0" w:color="auto"/>
      </w:divBdr>
    </w:div>
    <w:div w:id="2108888305">
      <w:bodyDiv w:val="1"/>
      <w:marLeft w:val="0"/>
      <w:marRight w:val="0"/>
      <w:marTop w:val="0"/>
      <w:marBottom w:val="0"/>
      <w:divBdr>
        <w:top w:val="none" w:sz="0" w:space="0" w:color="auto"/>
        <w:left w:val="none" w:sz="0" w:space="0" w:color="auto"/>
        <w:bottom w:val="none" w:sz="0" w:space="0" w:color="auto"/>
        <w:right w:val="none" w:sz="0" w:space="0" w:color="auto"/>
      </w:divBdr>
    </w:div>
    <w:div w:id="2117211740">
      <w:bodyDiv w:val="1"/>
      <w:marLeft w:val="0"/>
      <w:marRight w:val="0"/>
      <w:marTop w:val="0"/>
      <w:marBottom w:val="0"/>
      <w:divBdr>
        <w:top w:val="none" w:sz="0" w:space="0" w:color="auto"/>
        <w:left w:val="none" w:sz="0" w:space="0" w:color="auto"/>
        <w:bottom w:val="none" w:sz="0" w:space="0" w:color="auto"/>
        <w:right w:val="none" w:sz="0" w:space="0" w:color="auto"/>
      </w:divBdr>
    </w:div>
    <w:div w:id="2128163003">
      <w:bodyDiv w:val="1"/>
      <w:marLeft w:val="0"/>
      <w:marRight w:val="0"/>
      <w:marTop w:val="0"/>
      <w:marBottom w:val="0"/>
      <w:divBdr>
        <w:top w:val="none" w:sz="0" w:space="0" w:color="auto"/>
        <w:left w:val="none" w:sz="0" w:space="0" w:color="auto"/>
        <w:bottom w:val="none" w:sz="0" w:space="0" w:color="auto"/>
        <w:right w:val="none" w:sz="0" w:space="0" w:color="auto"/>
      </w:divBdr>
    </w:div>
    <w:div w:id="214107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8" Type="http://schemas.openxmlformats.org/officeDocument/2006/relationships/footer" Target="footer4.xml"/><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6.jpe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1.png"/><Relationship Id="rId28" Type="http://schemas.openxmlformats.org/officeDocument/2006/relationships/image" Target="media/image15.jpeg"/><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png"/><Relationship Id="rId48" Type="http://schemas.openxmlformats.org/officeDocument/2006/relationships/header" Target="header5.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jpeg"/><Relationship Id="rId25" Type="http://schemas.openxmlformats.org/officeDocument/2006/relationships/header" Target="header4.xml"/><Relationship Id="rId33" Type="http://schemas.openxmlformats.org/officeDocument/2006/relationships/image" Target="media/image20.jpeg"/><Relationship Id="rId38" Type="http://schemas.openxmlformats.org/officeDocument/2006/relationships/image" Target="media/image25.png"/><Relationship Id="rId20" Type="http://schemas.openxmlformats.org/officeDocument/2006/relationships/image" Target="media/image8.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900" Type="http://schemas.openxmlformats.org/officeDocument/2006/relationships/image" Target="media/comp_sale_5.png"/><Relationship Id="rId901" Type="http://schemas.openxmlformats.org/officeDocument/2006/relationships/image" Target="media/comp_sale_6.png"/><Relationship Id="rId902" Type="http://schemas.openxmlformats.org/officeDocument/2006/relationships/image" Target="media/comp_sale_7.png"/><Relationship Id="rId903" Type="http://schemas.openxmlformats.org/officeDocument/2006/relationships/image" Target="media/comp_sale_8.png"/><Relationship Id="rId950" Type="http://schemas.openxmlformats.org/officeDocument/2006/relationships/image" Target="media/rent_comps_map.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C8B1C88DAF4A5984604C7A0D0A990A"/>
        <w:category>
          <w:name w:val="General"/>
          <w:gallery w:val="placeholder"/>
        </w:category>
        <w:types>
          <w:type w:val="bbPlcHdr"/>
        </w:types>
        <w:behaviors>
          <w:behavior w:val="content"/>
        </w:behaviors>
        <w:guid w:val="{78C54A5E-AB5E-4AF9-9FF9-D10AC343DF34}"/>
      </w:docPartPr>
      <w:docPartBody>
        <w:p w:rsidR="00DA5D08" w:rsidRDefault="00DA5D08" w:rsidP="00DA5D08">
          <w:pPr>
            <w:pStyle w:val="86C8B1C88DAF4A5984604C7A0D0A990A"/>
          </w:pPr>
          <w:r w:rsidRPr="00293E56">
            <w:rPr>
              <w:rStyle w:val="PlaceholderText"/>
              <w:color w:val="000000"/>
              <w:shd w:val="clear" w:color="auto" w:fill="FF8080"/>
            </w:rPr>
            <w:t xml:space="preserve">?? Physically Possible </w:t>
          </w:r>
          <w:r>
            <w:rPr>
              <w:rStyle w:val="PlaceholderText"/>
              <w:color w:val="000000"/>
              <w:shd w:val="clear" w:color="auto" w:fill="FF8080"/>
            </w:rPr>
            <w:t>Utility</w:t>
          </w:r>
        </w:p>
      </w:docPartBody>
    </w:docPart>
    <w:docPart>
      <w:docPartPr>
        <w:name w:val="98D3BB3EF6B040D0A83AE30FA58E8BB0"/>
        <w:category>
          <w:name w:val="General"/>
          <w:gallery w:val="placeholder"/>
        </w:category>
        <w:types>
          <w:type w:val="bbPlcHdr"/>
        </w:types>
        <w:behaviors>
          <w:behavior w:val="content"/>
        </w:behaviors>
        <w:guid w:val="{BC39F1B1-488C-47F1-97AC-AC2E99052E7F}"/>
      </w:docPartPr>
      <w:docPartBody>
        <w:p w:rsidR="00DA5D08" w:rsidRDefault="00DA5D08" w:rsidP="00DA5D08">
          <w:pPr>
            <w:pStyle w:val="98D3BB3EF6B040D0A83AE30FA58E8BB0"/>
          </w:pPr>
          <w:r w:rsidRPr="00293E56">
            <w:rPr>
              <w:rStyle w:val="PlaceholderText"/>
              <w:color w:val="000000"/>
              <w:shd w:val="clear" w:color="auto" w:fill="FF8080"/>
            </w:rPr>
            <w:t>?? an over-/undersupply</w:t>
          </w:r>
        </w:p>
      </w:docPartBody>
    </w:docPart>
    <w:docPart>
      <w:docPartPr>
        <w:name w:val="F75CEE36406D4C339669DA8643D720B7"/>
        <w:category>
          <w:name w:val="General"/>
          <w:gallery w:val="placeholder"/>
        </w:category>
        <w:types>
          <w:type w:val="bbPlcHdr"/>
        </w:types>
        <w:behaviors>
          <w:behavior w:val="content"/>
        </w:behaviors>
        <w:guid w:val="{50155E97-8A6B-4736-9DD3-F4B6A0E7E2B2}"/>
      </w:docPartPr>
      <w:docPartBody>
        <w:p w:rsidR="00DA5D08" w:rsidRDefault="00DA5D08" w:rsidP="00DA5D08">
          <w:pPr>
            <w:pStyle w:val="F75CEE36406D4C339669DA8643D720B7"/>
          </w:pPr>
          <w:r w:rsidRPr="001503F5">
            <w:rPr>
              <w:shd w:val="clear" w:color="auto" w:fill="FF8080"/>
            </w:rPr>
            <w:t>??</w:t>
          </w:r>
          <w:r>
            <w:rPr>
              <w:shd w:val="clear" w:color="auto" w:fill="FF8080"/>
            </w:rPr>
            <w:t xml:space="preserve"> </w:t>
          </w:r>
          <w:r w:rsidRPr="001503F5">
            <w:rPr>
              <w:shd w:val="clear" w:color="auto" w:fill="FF8080"/>
            </w:rPr>
            <w:t>for/to</w:t>
          </w:r>
        </w:p>
      </w:docPartBody>
    </w:docPart>
    <w:docPart>
      <w:docPartPr>
        <w:name w:val="6DC174EB2B134E78894A2D88139E1FEA"/>
        <w:category>
          <w:name w:val="General"/>
          <w:gallery w:val="placeholder"/>
        </w:category>
        <w:types>
          <w:type w:val="bbPlcHdr"/>
        </w:types>
        <w:behaviors>
          <w:behavior w:val="content"/>
        </w:behaviors>
        <w:guid w:val="{1FF8B225-805F-4B19-835B-BF7BF1B171A3}"/>
      </w:docPartPr>
      <w:docPartBody>
        <w:p w:rsidR="00DA5D08" w:rsidRDefault="00DA5D08" w:rsidP="00DA5D08">
          <w:pPr>
            <w:pStyle w:val="6DC174EB2B134E78894A2D88139E1FEA"/>
          </w:pPr>
          <w:r w:rsidRPr="00412C1C">
            <w:rPr>
              <w:shd w:val="clear" w:color="auto" w:fill="FF8080"/>
            </w:rPr>
            <w:t>??meets</w:t>
          </w:r>
        </w:p>
      </w:docPartBody>
    </w:docPart>
    <w:docPart>
      <w:docPartPr>
        <w:name w:val="5E76E8D7CD8C41E1B2BD76DACE30FACE"/>
        <w:category>
          <w:name w:val="General"/>
          <w:gallery w:val="placeholder"/>
        </w:category>
        <w:types>
          <w:type w:val="bbPlcHdr"/>
        </w:types>
        <w:behaviors>
          <w:behavior w:val="content"/>
        </w:behaviors>
        <w:guid w:val="{6E679B83-BDA0-4CF2-8E6B-9466B71A7104}"/>
      </w:docPartPr>
      <w:docPartBody>
        <w:p w:rsidR="00DA5D08" w:rsidRDefault="00DA5D08" w:rsidP="00DA5D08">
          <w:pPr>
            <w:pStyle w:val="5E76E8D7CD8C41E1B2BD76DACE30FACE"/>
          </w:pPr>
          <w:r w:rsidRPr="003C7A07">
            <w:rPr>
              <w:rStyle w:val="PlaceholderText"/>
              <w:color w:val="000000"/>
              <w:shd w:val="clear" w:color="auto" w:fill="FF8080"/>
            </w:rPr>
            <w:t>?? (Potential Explanations)</w:t>
          </w:r>
        </w:p>
      </w:docPartBody>
    </w:docPart>
    <w:docPart>
      <w:docPartPr>
        <w:name w:val="2E35B9D07091487FBEE8B45444400943"/>
        <w:category>
          <w:name w:val="General"/>
          <w:gallery w:val="placeholder"/>
        </w:category>
        <w:types>
          <w:type w:val="bbPlcHdr"/>
        </w:types>
        <w:behaviors>
          <w:behavior w:val="content"/>
        </w:behaviors>
        <w:guid w:val="{5392D699-1649-4269-AC19-2DF77A024BAF}"/>
      </w:docPartPr>
      <w:docPartBody>
        <w:p w:rsidR="00123282" w:rsidRDefault="00123282" w:rsidP="00123282">
          <w:pPr>
            <w:pStyle w:val="2E35B9D07091487FBEE8B45444400943"/>
          </w:pPr>
          <w:r w:rsidRPr="00DC4F0A">
            <w:rPr>
              <w:rStyle w:val="PlaceholderText"/>
            </w:rPr>
            <w:t>Choose an item.</w:t>
          </w:r>
        </w:p>
      </w:docPartBody>
    </w:docPart>
    <w:docPart>
      <w:docPartPr>
        <w:name w:val="B060EE3507C446A8865DDC9B56873E24"/>
        <w:category>
          <w:name w:val="General"/>
          <w:gallery w:val="placeholder"/>
        </w:category>
        <w:types>
          <w:type w:val="bbPlcHdr"/>
        </w:types>
        <w:behaviors>
          <w:behavior w:val="content"/>
        </w:behaviors>
        <w:guid w:val="{5ADBD815-B22E-4F45-AE80-D872BDC85DAD}"/>
      </w:docPartPr>
      <w:docPartBody>
        <w:p w:rsidR="00123282" w:rsidRDefault="00123282" w:rsidP="00123282">
          <w:pPr>
            <w:pStyle w:val="B060EE3507C446A8865DDC9B56873E24"/>
          </w:pPr>
          <w:r w:rsidRPr="003C7A07">
            <w:rPr>
              <w:rStyle w:val="PlaceholderText"/>
              <w:color w:val="000000"/>
              <w:shd w:val="clear" w:color="auto" w:fill="FF8080"/>
            </w:rPr>
            <w:t>?? meets/does not meet</w:t>
          </w:r>
        </w:p>
      </w:docPartBody>
    </w:docPart>
    <w:docPart>
      <w:docPartPr>
        <w:name w:val="1674366293354182A5B1AD0390F061BE"/>
        <w:category>
          <w:name w:val="General"/>
          <w:gallery w:val="placeholder"/>
        </w:category>
        <w:types>
          <w:type w:val="bbPlcHdr"/>
        </w:types>
        <w:behaviors>
          <w:behavior w:val="content"/>
        </w:behaviors>
        <w:guid w:val="{9774198A-EEF8-4E9F-9245-9121545C8AC2}"/>
      </w:docPartPr>
      <w:docPartBody>
        <w:p w:rsidR="00123282" w:rsidRDefault="00123282" w:rsidP="00123282">
          <w:pPr>
            <w:pStyle w:val="1674366293354182A5B1AD0390F061BE"/>
          </w:pPr>
          <w:r w:rsidRPr="003C7A07">
            <w:rPr>
              <w:rStyle w:val="PlaceholderText"/>
              <w:color w:val="000000"/>
              <w:shd w:val="clear" w:color="auto" w:fill="FF8080"/>
            </w:rPr>
            <w:t>?? provides / does not provide</w:t>
          </w:r>
        </w:p>
      </w:docPartBody>
    </w:docPart>
    <w:docPart>
      <w:docPartPr>
        <w:name w:val="F65D2CFF06234EE0847C31ECA3795FE9"/>
        <w:category>
          <w:name w:val="General"/>
          <w:gallery w:val="placeholder"/>
        </w:category>
        <w:types>
          <w:type w:val="bbPlcHdr"/>
        </w:types>
        <w:behaviors>
          <w:behavior w:val="content"/>
        </w:behaviors>
        <w:guid w:val="{711799A1-D57E-486C-809A-4A1AF851F459}"/>
      </w:docPartPr>
      <w:docPartBody>
        <w:p w:rsidR="00123282" w:rsidRDefault="00123282" w:rsidP="00123282">
          <w:pPr>
            <w:pStyle w:val="F65D2CFF06234EE0847C31ECA3795FE9"/>
          </w:pPr>
          <w:r w:rsidRPr="00DC4F0A">
            <w:rPr>
              <w:rStyle w:val="PlaceholderText"/>
            </w:rPr>
            <w:t>Choose an item.</w:t>
          </w:r>
        </w:p>
      </w:docPartBody>
    </w:docPart>
    <w:docPart>
      <w:docPartPr>
        <w:name w:val="E7BFA3355F234B3A80DB32284DE439D1"/>
        <w:category>
          <w:name w:val="General"/>
          <w:gallery w:val="placeholder"/>
        </w:category>
        <w:types>
          <w:type w:val="bbPlcHdr"/>
        </w:types>
        <w:behaviors>
          <w:behavior w:val="content"/>
        </w:behaviors>
        <w:guid w:val="{435969CB-C209-448B-A417-E03A5FFC3CAC}"/>
      </w:docPartPr>
      <w:docPartBody>
        <w:p w:rsidR="00123282" w:rsidRDefault="00123282" w:rsidP="00123282">
          <w:pPr>
            <w:pStyle w:val="E7BFA3355F234B3A80DB32284DE439D1"/>
          </w:pPr>
          <w:r w:rsidRPr="00DC4F0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altName w:val="Segoe UI Light"/>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08"/>
    <w:rsid w:val="00056469"/>
    <w:rsid w:val="00067983"/>
    <w:rsid w:val="000A6CBF"/>
    <w:rsid w:val="000B0CA1"/>
    <w:rsid w:val="000B74BC"/>
    <w:rsid w:val="000C699F"/>
    <w:rsid w:val="000D03F0"/>
    <w:rsid w:val="00123282"/>
    <w:rsid w:val="00146B63"/>
    <w:rsid w:val="00156AF5"/>
    <w:rsid w:val="001931E5"/>
    <w:rsid w:val="00197CBC"/>
    <w:rsid w:val="001B27C2"/>
    <w:rsid w:val="001C728B"/>
    <w:rsid w:val="00205306"/>
    <w:rsid w:val="00206D2F"/>
    <w:rsid w:val="00225481"/>
    <w:rsid w:val="00251284"/>
    <w:rsid w:val="00254691"/>
    <w:rsid w:val="002857BD"/>
    <w:rsid w:val="002A00C3"/>
    <w:rsid w:val="002B1AD1"/>
    <w:rsid w:val="002C6C13"/>
    <w:rsid w:val="00301610"/>
    <w:rsid w:val="00303D75"/>
    <w:rsid w:val="003A29B8"/>
    <w:rsid w:val="003A492E"/>
    <w:rsid w:val="003C7AF3"/>
    <w:rsid w:val="003E107C"/>
    <w:rsid w:val="003E2F2A"/>
    <w:rsid w:val="00417254"/>
    <w:rsid w:val="00444863"/>
    <w:rsid w:val="004549ED"/>
    <w:rsid w:val="004626CA"/>
    <w:rsid w:val="004813C7"/>
    <w:rsid w:val="00492D81"/>
    <w:rsid w:val="00495E86"/>
    <w:rsid w:val="004D4643"/>
    <w:rsid w:val="0051212D"/>
    <w:rsid w:val="00536555"/>
    <w:rsid w:val="00571164"/>
    <w:rsid w:val="005811A9"/>
    <w:rsid w:val="005B1D80"/>
    <w:rsid w:val="005D7AB1"/>
    <w:rsid w:val="00613DC1"/>
    <w:rsid w:val="00617E1B"/>
    <w:rsid w:val="006862F0"/>
    <w:rsid w:val="00691DA2"/>
    <w:rsid w:val="006A3F9D"/>
    <w:rsid w:val="006D4C59"/>
    <w:rsid w:val="006E7D53"/>
    <w:rsid w:val="006F5888"/>
    <w:rsid w:val="0070698A"/>
    <w:rsid w:val="00746DBE"/>
    <w:rsid w:val="0075491B"/>
    <w:rsid w:val="007836B7"/>
    <w:rsid w:val="0079103D"/>
    <w:rsid w:val="00802335"/>
    <w:rsid w:val="00827F05"/>
    <w:rsid w:val="008438C7"/>
    <w:rsid w:val="00860270"/>
    <w:rsid w:val="00873845"/>
    <w:rsid w:val="00876A03"/>
    <w:rsid w:val="008C37D6"/>
    <w:rsid w:val="008C59EA"/>
    <w:rsid w:val="008E30BC"/>
    <w:rsid w:val="008F7314"/>
    <w:rsid w:val="00956171"/>
    <w:rsid w:val="00986159"/>
    <w:rsid w:val="00995AA2"/>
    <w:rsid w:val="009C0793"/>
    <w:rsid w:val="009C3EC2"/>
    <w:rsid w:val="00A04B01"/>
    <w:rsid w:val="00A14475"/>
    <w:rsid w:val="00A772FD"/>
    <w:rsid w:val="00A77C3B"/>
    <w:rsid w:val="00A81514"/>
    <w:rsid w:val="00AD229A"/>
    <w:rsid w:val="00B07DB2"/>
    <w:rsid w:val="00B32A20"/>
    <w:rsid w:val="00B410E7"/>
    <w:rsid w:val="00B41887"/>
    <w:rsid w:val="00B47021"/>
    <w:rsid w:val="00B7470F"/>
    <w:rsid w:val="00B77D71"/>
    <w:rsid w:val="00B82806"/>
    <w:rsid w:val="00B836DD"/>
    <w:rsid w:val="00B86732"/>
    <w:rsid w:val="00C01FAF"/>
    <w:rsid w:val="00C50893"/>
    <w:rsid w:val="00C87AA4"/>
    <w:rsid w:val="00C90E00"/>
    <w:rsid w:val="00C9177E"/>
    <w:rsid w:val="00CA5D79"/>
    <w:rsid w:val="00CB5C00"/>
    <w:rsid w:val="00CC77F4"/>
    <w:rsid w:val="00CE36EE"/>
    <w:rsid w:val="00CE7AA3"/>
    <w:rsid w:val="00D07E69"/>
    <w:rsid w:val="00D256FA"/>
    <w:rsid w:val="00D43584"/>
    <w:rsid w:val="00D56B81"/>
    <w:rsid w:val="00DA1E3E"/>
    <w:rsid w:val="00DA5D08"/>
    <w:rsid w:val="00DB0BBC"/>
    <w:rsid w:val="00DD3D08"/>
    <w:rsid w:val="00DE45CF"/>
    <w:rsid w:val="00E2419B"/>
    <w:rsid w:val="00E33F22"/>
    <w:rsid w:val="00E97E5A"/>
    <w:rsid w:val="00EC4C74"/>
    <w:rsid w:val="00F06A6C"/>
    <w:rsid w:val="00F156BB"/>
    <w:rsid w:val="00F356A5"/>
    <w:rsid w:val="00F47A6B"/>
    <w:rsid w:val="00F7529A"/>
    <w:rsid w:val="00F85936"/>
    <w:rsid w:val="00F916BB"/>
    <w:rsid w:val="00FB1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3282"/>
    <w:rPr>
      <w:color w:val="808080"/>
    </w:rPr>
  </w:style>
  <w:style w:type="paragraph" w:customStyle="1" w:styleId="86C8B1C88DAF4A5984604C7A0D0A990A">
    <w:name w:val="86C8B1C88DAF4A5984604C7A0D0A990A"/>
    <w:rsid w:val="00DA5D08"/>
  </w:style>
  <w:style w:type="paragraph" w:customStyle="1" w:styleId="98D3BB3EF6B040D0A83AE30FA58E8BB0">
    <w:name w:val="98D3BB3EF6B040D0A83AE30FA58E8BB0"/>
    <w:rsid w:val="00DA5D08"/>
  </w:style>
  <w:style w:type="paragraph" w:customStyle="1" w:styleId="5BE4864C85384F19AFF828C19013CC40">
    <w:name w:val="5BE4864C85384F19AFF828C19013CC40"/>
    <w:rsid w:val="00DA5D08"/>
  </w:style>
  <w:style w:type="paragraph" w:customStyle="1" w:styleId="F75CEE36406D4C339669DA8643D720B7">
    <w:name w:val="F75CEE36406D4C339669DA8643D720B7"/>
    <w:rsid w:val="00DA5D08"/>
  </w:style>
  <w:style w:type="paragraph" w:customStyle="1" w:styleId="6DC174EB2B134E78894A2D88139E1FEA">
    <w:name w:val="6DC174EB2B134E78894A2D88139E1FEA"/>
    <w:rsid w:val="00DA5D08"/>
  </w:style>
  <w:style w:type="paragraph" w:customStyle="1" w:styleId="5E76E8D7CD8C41E1B2BD76DACE30FACE">
    <w:name w:val="5E76E8D7CD8C41E1B2BD76DACE30FACE"/>
    <w:rsid w:val="00DA5D08"/>
  </w:style>
  <w:style w:type="paragraph" w:customStyle="1" w:styleId="2E35B9D07091487FBEE8B45444400943">
    <w:name w:val="2E35B9D07091487FBEE8B45444400943"/>
    <w:rsid w:val="00123282"/>
  </w:style>
  <w:style w:type="paragraph" w:customStyle="1" w:styleId="B060EE3507C446A8865DDC9B56873E24">
    <w:name w:val="B060EE3507C446A8865DDC9B56873E24"/>
    <w:rsid w:val="00123282"/>
  </w:style>
  <w:style w:type="paragraph" w:customStyle="1" w:styleId="1674366293354182A5B1AD0390F061BE">
    <w:name w:val="1674366293354182A5B1AD0390F061BE"/>
    <w:rsid w:val="00123282"/>
  </w:style>
  <w:style w:type="paragraph" w:customStyle="1" w:styleId="F65D2CFF06234EE0847C31ECA3795FE9">
    <w:name w:val="F65D2CFF06234EE0847C31ECA3795FE9"/>
    <w:rsid w:val="00123282"/>
  </w:style>
  <w:style w:type="paragraph" w:customStyle="1" w:styleId="E7BFA3355F234B3A80DB32284DE439D1">
    <w:name w:val="E7BFA3355F234B3A80DB32284DE439D1"/>
    <w:rsid w:val="00123282"/>
  </w:style>
  <w:style w:type="paragraph" w:customStyle="1" w:styleId="F8C3FA00C0B64299B7D497711FE59FD0">
    <w:name w:val="F8C3FA00C0B64299B7D497711FE59FD0"/>
    <w:rsid w:val="001232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94D7FB8E-E43B-4EFD-9E0D-BE7EFC485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40</Pages>
  <Words>6676</Words>
  <Characters>36987</Characters>
  <Application>Microsoft Office Word</Application>
  <DocSecurity>0</DocSecurity>
  <Lines>840</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Batchelder</dc:creator>
  <cp:keywords/>
  <dc:description/>
  <cp:lastModifiedBy>Shaquille Carter</cp:lastModifiedBy>
  <cp:revision>3</cp:revision>
  <cp:lastPrinted>2026-04-28T18:17:00Z</cp:lastPrinted>
  <dcterms:created xsi:type="dcterms:W3CDTF">2026-09-22T17:27:00Z</dcterms:created>
  <dcterms:modified xsi:type="dcterms:W3CDTF">2026-09-22T18:58:00Z</dcterms:modified>
</cp:coreProperties>
</file>