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sz w:val="52"/>
          <w:szCs w:val="52"/>
        </w:rPr>
        <w:t xml:space="preserve">County Board of Commissioners</w:t>
      </w:r>
    </w:p>
    <w:p>
      <w:pPr>
        <w:jc w:val="right"/>
      </w:pPr>
      <w:r>
        <w:rPr>
          <w:rFonts w:ascii="Calibri" w:cs="Calibri" w:eastAsia="Calibri" w:hAnsi="Calibri"/>
          <w:sz w:val="40"/>
          <w:szCs w:val="40"/>
        </w:rPr>
        <w:t xml:space="preserve">Appeal Report </w:t>
      </w:r>
    </w:p>
    <w:p>
      <w:pPr>
        <w:jc w:val="right"/>
      </w:pPr>
      <w:r>
        <w:rPr>
          <w:rFonts w:ascii="Calibri" w:cs="Calibri" w:eastAsia="Calibri" w:hAnsi="Calibri"/>
          <w:b/>
          <w:bCs/>
          <w:sz w:val="32"/>
          <w:szCs w:val="32"/>
        </w:rPr>
        <w:t xml:space="preserve">Tax Year:</w:t>
      </w:r>
      <w:r>
        <w:rPr>
          <w:rFonts w:ascii="Calibri" w:cs="Calibri" w:eastAsia="Calibri" w:hAnsi="Calibri"/>
          <w:sz w:val="32"/>
          <w:szCs w:val="32"/>
        </w:rPr>
        <w:t xml:space="preserve"> 2025</w:t>
      </w:r>
    </w:p>
    <w:p>
      <w:pPr>
        <w:jc w:val="right"/>
      </w:pPr>
      <w:r>
        <w:rPr>
          <w:rFonts w:ascii="Calibri" w:cs="Calibri" w:eastAsia="Calibri" w:hAnsi="Calibri"/>
          <w:b/>
          <w:bCs/>
          <w:sz w:val="28"/>
          <w:szCs w:val="28"/>
        </w:rPr>
        <w:t xml:space="preserve">Schedule Numbers:</w:t>
      </w:r>
      <w:r>
        <w:rPr>
          <w:rFonts w:ascii="Calibri" w:cs="Calibri" w:eastAsia="Calibri" w:hAnsi="Calibri"/>
          <w:sz w:val="28"/>
          <w:szCs w:val="28"/>
        </w:rPr>
        <w:br/>
        <w:t xml:space="preserve"/>
      </w:r>
      <w:r>
        <w:rPr>
          <w:rFonts w:ascii="Calibri" w:cs="Calibri" w:eastAsia="Calibri" w:hAnsi="Calibri"/>
          <w:sz w:val="24"/>
          <w:szCs w:val="24"/>
        </w:rPr>
        <w:t xml:space="preserve">R0003928 &amp; R0003929</w:t>
      </w:r>
    </w:p>
    <w:p>
      <w:pPr>
        <w:jc w:val="right"/>
      </w:pPr>
      <w:r>
        <w:rPr>
          <w:rFonts w:ascii="Calibri" w:cs="Calibri" w:eastAsia="Calibri" w:hAnsi="Calibri"/>
          <w:b/>
          <w:bCs/>
          <w:sz w:val="28"/>
          <w:szCs w:val="28"/>
        </w:rPr>
        <w:t xml:space="preserve">Address:</w:t>
      </w:r>
      <w:r>
        <w:rPr>
          <w:rFonts w:ascii="Calibri" w:cs="Calibri" w:eastAsia="Calibri" w:hAnsi="Calibri"/>
          <w:sz w:val="28"/>
          <w:szCs w:val="28"/>
        </w:rPr>
        <w:br/>
        <w:t xml:space="preserve"/>
      </w:r>
      <w:r>
        <w:rPr>
          <w:rFonts w:ascii="Calibri" w:cs="Calibri" w:eastAsia="Calibri" w:hAnsi="Calibri"/>
          <w:sz w:val="24"/>
          <w:szCs w:val="24"/>
          <w:highlight w:val="yellow"/>
        </w:rPr>
        <w:t xml:space="preserve">[STREET ADDRESS — confirm from assessor record]</w:t>
      </w:r>
      <w:r>
        <w:rPr>
          <w:rFonts w:ascii="Calibri" w:cs="Calibri" w:eastAsia="Calibri" w:hAnsi="Calibri"/>
          <w:sz w:val="24"/>
          <w:szCs w:val="24"/>
        </w:rPr>
        <w:br/>
        <w:t xml:space="preserve">Brighton, CO 80601</w:t>
      </w:r>
      <w:r>
        <w:rPr>
          <w:rFonts w:ascii="Calibri" w:cs="Calibri" w:eastAsia="Calibri" w:hAnsi="Calibri"/>
          <w:sz w:val="24"/>
          <w:szCs w:val="24"/>
        </w:rPr>
        <w:br/>
        <w:t xml:space="preserve">Adams County, CO</w:t>
      </w:r>
    </w:p>
    <w:p>
      <w:pPr>
        <w:jc w:val="right"/>
      </w:pPr>
      <w:r>
        <w:rPr>
          <w:rFonts w:ascii="Calibri" w:cs="Calibri" w:eastAsia="Calibri" w:hAnsi="Calibri"/>
          <w:b/>
          <w:bCs/>
          <w:sz w:val="28"/>
          <w:szCs w:val="28"/>
        </w:rPr>
        <w:t xml:space="preserve">Prepared For</w:t>
      </w:r>
    </w:p>
    <w:p>
      <w:pPr>
        <w:jc w:val="right"/>
      </w:pPr>
      <w:r>
        <w:rPr>
          <w:rFonts w:ascii="Calibri" w:cs="Calibri" w:eastAsia="Calibri" w:hAnsi="Calibri"/>
          <w:b/>
          <w:bCs/>
          <w:sz w:val="28"/>
          <w:szCs w:val="28"/>
        </w:rPr>
        <w:t xml:space="preserve">Board of County Commissioners</w:t>
      </w:r>
      <w:r>
        <w:rPr>
          <w:rFonts w:ascii="Calibri" w:cs="Calibri" w:eastAsia="Calibri" w:hAnsi="Calibri"/>
          <w:sz w:val="24"/>
          <w:szCs w:val="24"/>
        </w:rPr>
        <w:br/>
        <w:t xml:space="preserve">4430 S Adams County Pkwy</w:t>
      </w:r>
      <w:r>
        <w:rPr>
          <w:rFonts w:ascii="Calibri" w:cs="Calibri" w:eastAsia="Calibri" w:hAnsi="Calibri"/>
          <w:sz w:val="24"/>
          <w:szCs w:val="24"/>
        </w:rPr>
        <w:br/>
        <w:t xml:space="preserve">Brighton, CO 80601</w:t>
      </w:r>
    </w:p>
    <w:p>
      <w:r>
        <w:br w:type="page"/>
      </w:r>
    </w:p>
    <w:p>
      <w:pPr>
        <w:spacing w:after="120" w:before="240"/>
      </w:pPr>
      <w:r>
        <w:rPr>
          <w:rFonts w:ascii="Calibri" w:cs="Calibri" w:eastAsia="Calibri" w:hAnsi="Calibri"/>
          <w:b/>
          <w:bCs/>
          <w:sz w:val="32"/>
          <w:szCs w:val="32"/>
        </w:rPr>
        <w:t xml:space="preserve">Subject Property</w:t>
      </w:r>
    </w:p>
    <w:p>
      <w:pPr>
        <w:spacing w:after="160" w:line="259" w:lineRule="auto"/>
      </w:pPr>
      <w:r>
        <w:rPr>
          <w:rFonts w:ascii="Calibri" w:cs="Calibri" w:eastAsia="Calibri" w:hAnsi="Calibri"/>
          <w:sz w:val="22"/>
          <w:szCs w:val="22"/>
        </w:rPr>
        <w:t xml:space="preserve">The subject of this report is a single-tenant industrial/storage building situated on two adjoining Adams County parcels within the City of Brighton, immediately adjacent to the Interstate 76 corridor. Schedule R0003928 carries the improvements and its supporting site; Schedule R0003929 is a contiguous land-only parcel that was added to this appeal. Both schedules are appraised together as a single economic unit.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tcMar>
              <w:top w:type="dxa" w:w="240"/>
              <w:left w:type="dxa" w:w="120"/>
              <w:bottom w:type="dxa" w:w="240"/>
              <w:right w:type="dxa" w:w="120"/>
            </w:tcMar>
            <w:vAlign w:val="center"/>
          </w:tcPr>
          <w:p>
            <w:pPr>
              <w:spacing w:after="0" w:before="0"/>
              <w:jc w:val="center"/>
            </w:pPr>
            <w:r>
              <w:rPr>
                <w:rFonts w:ascii="Calibri" w:cs="Calibri" w:eastAsia="Calibri" w:hAnsi="Calibri"/>
                <w:b/>
                <w:bCs/>
                <w:sz w:val="20"/>
                <w:szCs w:val="20"/>
                <w:highlight w:val="yellow"/>
              </w:rPr>
              <w:t xml:space="preserve">[INSERT: subject aerial / plat map — Schedules R0003928 &amp; R0003929]</w:t>
            </w:r>
          </w:p>
        </w:tc>
      </w:tr>
    </w:tbl>
    <w:p>
      <w:pPr>
        <w:spacing w:after="200" w:before="60"/>
        <w:jc w:val="center"/>
      </w:pPr>
      <w:r>
        <w:rPr>
          <w:rFonts w:ascii="Calibri" w:cs="Calibri" w:eastAsia="Calibri" w:hAnsi="Calibri"/>
          <w:i/>
          <w:iCs/>
          <w:color w:val="595959"/>
          <w:sz w:val="18"/>
          <w:szCs w:val="18"/>
        </w:rPr>
        <w:t xml:space="preserve">Assessor field note: “25 – R0003928+ – MEARLEY – 160515 – BTW I-76”</w:t>
      </w:r>
    </w:p>
    <w:p>
      <w:r>
        <w:br w:type="pag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rPr>
          <w:tblHeader/>
        </w:trPr>
        <w:tc>
          <w:tcPr>
            <w:tcW w:type="dxa" w:w="9360"/>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EXECUTIVE SUMMARY</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Account Number</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R0003928 &amp; R0003929</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Address</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[STREET ADDRESS — confirm from assessor record]</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County</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Adams County</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City, State</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Brighton, Colorado</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Zoning</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C-3 — City of Brighton</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Effective Date</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June 30, 2024</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Report Date</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[REPORT DATE]</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Hearing Date</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[HEARING DATE]</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Property Type</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Industrial — Storage / Warehouse</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Property Size — GBA (SF)</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4,920</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Number of Buildings</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1</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Year Built / Condition</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1976 / Average</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Site Size (SF)</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15,450 (0.351 AC — both parcels combined)</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Property Rights Appraised</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Fee Simple</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Assumed Occupancy</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100% — owner / single occupant</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rPr>
          <w:tblHeader/>
        </w:trPr>
        <w:tc>
          <w:tcPr>
            <w:tcW w:type="dxa" w:w="9360"/>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PETITION SUMMARY</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Petition Type</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Petition for Abatement or Refund of Taxes</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Property Tax Year</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2025</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Date Completed / Date Received</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February 26, 2026</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Owner Name</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Chapman (Gallaspy Chapman)</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Person Signing</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Gallaspy C. Chapman — signing as Agent</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Phone Number</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303-946-4743</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Protest Filed in Abatement/Refund Tax Year</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No</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Petitioner Estimate of Value</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Not provided</w:t>
            </w:r>
          </w:p>
        </w:tc>
      </w:tr>
      <w:tr>
        <w:tc>
          <w:tcPr>
            <w:tcW w:type="dxa" w:w="3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Stated Reason for Request</w:t>
            </w:r>
          </w:p>
        </w:tc>
        <w:tc>
          <w:tcPr>
            <w:tcW w:type="dxa" w:w="5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“You are charging for different use of building. This is storage use only.”</w:t>
            </w:r>
          </w:p>
        </w:tc>
      </w:tr>
      <w:tr>
        <w:tc>
          <w:tcPr>
            <w:tcW w:type="dxa" w:w="3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Assessor Recommendation</w:t>
            </w:r>
          </w:p>
        </w:tc>
        <w:tc>
          <w:tcPr>
            <w:tcW w:type="dxa" w:w="5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val="false"/>
                <w:bCs w:val="false"/>
                <w:i w:val="false"/>
                <w:iCs w:val="false"/>
                <w:sz w:val="20"/>
                <w:szCs w:val="20"/>
              </w:rPr>
              <w:t xml:space="preserve">Deny</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9360"/>
            <w:gridSpan w:val="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PETITION SCENARIO</w:t>
            </w:r>
          </w:p>
        </w:tc>
      </w:tr>
      <w:tr>
        <w:trPr>
          <w:tblHeader/>
        </w:trPr>
        <w:tc>
          <w:tcPr>
            <w:tcW w:type="dxa" w:w="4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Value</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$/SF</w:t>
            </w:r>
          </w:p>
        </w:tc>
      </w:tr>
      <w:tr>
        <w:tc>
          <w:tcPr>
            <w:tcW w:type="dxa" w:w="4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Assessor’s Assigned Value</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$941,552</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$191.37</w:t>
            </w:r>
          </w:p>
        </w:tc>
      </w:tr>
      <w:tr>
        <w:tc>
          <w:tcPr>
            <w:tcW w:type="dxa" w:w="4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Petitioner’s Requested Value</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Not provided</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9360"/>
            <w:gridSpan w:val="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2025 ASSESSOR VALUE ALLOCATION</w:t>
            </w:r>
          </w:p>
        </w:tc>
      </w:tr>
      <w:tr>
        <w:trPr>
          <w:tblHeader/>
        </w:trPr>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Schedule</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Land</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Improvements</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Total Actual Value</w:t>
            </w:r>
          </w:p>
        </w:tc>
      </w:tr>
      <w:tr>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R0003928</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$84,000</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$827,852</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$911,852</w:t>
            </w:r>
          </w:p>
        </w:tc>
      </w:tr>
      <w:tr>
        <w:tc>
          <w:tcPr>
            <w:tcW w:type="dxa" w:w="234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R0003929 (land only)</w:t>
            </w:r>
          </w:p>
        </w:tc>
        <w:tc>
          <w:tcPr>
            <w:tcW w:type="dxa" w:w="234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$29,700</w:t>
            </w:r>
          </w:p>
        </w:tc>
        <w:tc>
          <w:tcPr>
            <w:tcW w:type="dxa" w:w="234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w:t>
            </w:r>
          </w:p>
        </w:tc>
        <w:tc>
          <w:tcPr>
            <w:tcW w:type="dxa" w:w="234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$29,700</w:t>
            </w:r>
          </w:p>
        </w:tc>
      </w:tr>
      <w:tr>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Total — Both Parcels</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$113,700</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$827,852</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$941,552</w:t>
            </w:r>
          </w:p>
        </w:tc>
      </w:tr>
      <w:tr>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Indicated $/SF of GBA (4,920 SF)</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$168.26</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$191.37</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800"/>
        <w:gridCol w:w="1800"/>
        <w:gridCol w:w="2040"/>
      </w:tblGrid>
      <w:tr>
        <w:trPr>
          <w:tblHeader/>
        </w:trPr>
        <w:tc>
          <w:tcPr>
            <w:tcW w:type="dxa" w:w="9360"/>
            <w:gridSpan w:val="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LAND ANALYSIS</w:t>
            </w:r>
          </w:p>
        </w:tc>
      </w:tr>
      <w:tr>
        <w:trPr>
          <w:tblHeader/>
        </w:trPr>
        <w:tc>
          <w:tcPr>
            <w:tcW w:type="dxa" w:w="21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Schedule</w:t>
            </w:r>
          </w:p>
        </w:tc>
        <w:tc>
          <w:tcPr>
            <w:tcW w:type="dxa" w:w="1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Acres</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Site (SF)</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Rate / SF</w:t>
            </w:r>
          </w:p>
        </w:tc>
        <w:tc>
          <w:tcPr>
            <w:tcW w:type="dxa" w:w="20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Land Value</w:t>
            </w:r>
          </w:p>
        </w:tc>
      </w:tr>
      <w:tr>
        <w:tc>
          <w:tcPr>
            <w:tcW w:type="dxa" w:w="21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R0003928</w:t>
            </w:r>
          </w:p>
        </w:tc>
        <w:tc>
          <w:tcPr>
            <w:tcW w:type="dxa" w:w="1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0.241</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10,500</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$8.00</w:t>
            </w:r>
          </w:p>
        </w:tc>
        <w:tc>
          <w:tcPr>
            <w:tcW w:type="dxa" w:w="20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$84,000</w:t>
            </w:r>
          </w:p>
        </w:tc>
      </w:tr>
      <w:tr>
        <w:tc>
          <w:tcPr>
            <w:tcW w:type="dxa" w:w="21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R0003929</w:t>
            </w:r>
          </w:p>
        </w:tc>
        <w:tc>
          <w:tcPr>
            <w:tcW w:type="dxa" w:w="1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0.110</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4,950</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$6.00</w:t>
            </w:r>
          </w:p>
        </w:tc>
        <w:tc>
          <w:tcPr>
            <w:tcW w:type="dxa" w:w="204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$29,700</w:t>
            </w:r>
          </w:p>
        </w:tc>
      </w:tr>
      <w:tr>
        <w:tc>
          <w:tcPr>
            <w:tcW w:type="dxa" w:w="21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Total</w:t>
            </w:r>
          </w:p>
        </w:tc>
        <w:tc>
          <w:tcPr>
            <w:tcW w:type="dxa" w:w="1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0.351</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15,450</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w:t>
            </w:r>
          </w:p>
        </w:tc>
        <w:tc>
          <w:tcPr>
            <w:tcW w:type="dxa" w:w="20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$113,700</w:t>
            </w:r>
          </w:p>
        </w:tc>
      </w:tr>
    </w:tbl>
    <w:p>
      <w:r>
        <w:br w:type="page"/>
      </w:r>
    </w:p>
    <w:p>
      <w:pPr>
        <w:spacing w:after="120" w:before="240"/>
      </w:pPr>
      <w:r>
        <w:rPr>
          <w:rFonts w:ascii="Calibri" w:cs="Calibri" w:eastAsia="Calibri" w:hAnsi="Calibri"/>
          <w:b/>
          <w:bCs/>
          <w:sz w:val="32"/>
          <w:szCs w:val="32"/>
        </w:rPr>
        <w:t xml:space="preserve">Sales Comparison Approach </w:t>
      </w:r>
    </w:p>
    <w:p>
      <w:pPr>
        <w:spacing w:after="160" w:line="259" w:lineRule="auto"/>
      </w:pPr>
      <w:r>
        <w:rPr>
          <w:rFonts w:ascii="Calibri" w:cs="Calibri" w:eastAsia="Calibri" w:hAnsi="Calibri"/>
          <w:sz w:val="22"/>
          <w:szCs w:val="22"/>
        </w:rPr>
        <w:t xml:space="preserve">The Sales Comparison Approach analyzes closed sales of comparable industrial and storage properties located within the subject’s competitive market area during the base period ending June 30, 2024. Because the petitioner did not submit an estimate of value or any supporting sales, the analysis below relies on the sales investigated by the Assessor’s Office for this schedule, together with the subject’s own confirmed 2020 transaction, time-adjusted to the statutory valuation date.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tcMar>
              <w:top w:type="dxa" w:w="240"/>
              <w:left w:type="dxa" w:w="120"/>
              <w:bottom w:type="dxa" w:w="240"/>
              <w:right w:type="dxa" w:w="120"/>
            </w:tcMar>
            <w:vAlign w:val="center"/>
          </w:tcPr>
          <w:p>
            <w:pPr>
              <w:spacing w:after="0" w:before="0"/>
              <w:jc w:val="center"/>
            </w:pPr>
            <w:r>
              <w:rPr>
                <w:rFonts w:ascii="Calibri" w:cs="Calibri" w:eastAsia="Calibri" w:hAnsi="Calibri"/>
                <w:b/>
                <w:bCs/>
                <w:sz w:val="20"/>
                <w:szCs w:val="20"/>
                <w:highlight w:val="yellow"/>
              </w:rPr>
              <w:t xml:space="preserve">[INSERT: comparable sales grid / CoStar Sale Comps Map &amp; List Report for the subject market area]</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9360"/>
            <w:gridSpan w:val="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MARKET SALES SUMMARY — $/SF OF GBA</w:t>
            </w:r>
          </w:p>
        </w:tc>
      </w:tr>
      <w:tr>
        <w:trPr>
          <w:tblHeader/>
        </w:trPr>
        <w:tc>
          <w:tcPr>
            <w:tcW w:type="dxa" w:w="33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Metric</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Low</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Mean / Median</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High</w:t>
            </w:r>
          </w:p>
        </w:tc>
      </w:tr>
      <w:tr>
        <w:tc>
          <w:tcPr>
            <w:tcW w:type="dxa" w:w="33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Sale Price per SF — Range</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$188</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$263</w:t>
            </w:r>
          </w:p>
        </w:tc>
      </w:tr>
      <w:tr>
        <w:tc>
          <w:tcPr>
            <w:tcW w:type="dxa" w:w="33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Mean</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$232</w:t>
            </w:r>
          </w:p>
        </w:tc>
        <w:tc>
          <w:tcPr>
            <w:tcW w:type="dxa" w:w="20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r>
      <w:tr>
        <w:tc>
          <w:tcPr>
            <w:tcW w:type="dxa" w:w="33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Median</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$240</w:t>
            </w:r>
          </w:p>
        </w:tc>
        <w:tc>
          <w:tcPr>
            <w:tcW w:type="dxa" w:w="20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r>
      <w:tr>
        <w:tc>
          <w:tcPr>
            <w:tcW w:type="dxa" w:w="33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Concluded Unit Value</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$235</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w:t>
            </w:r>
          </w:p>
        </w:tc>
      </w:tr>
    </w:tbl>
    <w:p>
      <w:pPr>
        <w:spacing w:after="200" w:before="60"/>
        <w:jc w:val="center"/>
      </w:pPr>
      <w:r>
        <w:rPr>
          <w:rFonts w:ascii="Calibri" w:cs="Calibri" w:eastAsia="Calibri" w:hAnsi="Calibri"/>
          <w:i/>
          <w:iCs/>
          <w:color w:val="595959"/>
          <w:sz w:val="18"/>
          <w:szCs w:val="18"/>
        </w:rPr>
        <w:t xml:space="preserve">Source: Adams County Assessor sales investigation, base period ending June 30, 2024.</w:t>
      </w:r>
    </w:p>
    <w:p>
      <w:pPr>
        <w:spacing w:after="160" w:line="259" w:lineRule="auto"/>
      </w:pPr>
      <w:r>
        <w:rPr>
          <w:rFonts w:ascii="Calibri" w:cs="Calibri" w:eastAsia="Calibri" w:hAnsi="Calibri"/>
          <w:sz w:val="22"/>
          <w:szCs w:val="22"/>
        </w:rPr>
        <w:t xml:space="preserve">The subject last transferred on April 30, 2020 for $685,000 ($139.23 per square foot of gross building area), a confirmed arm’s-length sale that included both Schedule R0003928 and Schedule R0003929. That sale predates the June 30, 2024 valuation date by 50 months and therefore requires a market-conditions adjustment. Three monthly appreciation rates were applied on a compounded basis to bracket the indication: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9360"/>
            <w:gridSpan w:val="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SUBJECT SALE — TIME ADJUSTMENT TO JUNE 30, 2024</w:t>
            </w:r>
          </w:p>
        </w:tc>
      </w:tr>
      <w:tr>
        <w:trPr>
          <w:tblHeader/>
        </w:trPr>
        <w:tc>
          <w:tcPr>
            <w:tcW w:type="dxa" w:w="39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Rate / Month</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Indicated Value</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$/SF</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Confirmed sale — 4/30/2020 (both parcels)</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$685,000</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$139.23</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Adjusted 50 months — low</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0.25%</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$776,086</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$157.74</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Adjusted 50 months — most probable</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0.50%</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$879,010</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$178.66</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Adjusted 50 months — high</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0.75%</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$995,276</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$202.29</w:t>
            </w:r>
          </w:p>
        </w:tc>
      </w:tr>
    </w:tbl>
    <w:p>
      <w:pPr>
        <w:spacing w:after="200" w:before="60"/>
        <w:jc w:val="center"/>
      </w:pPr>
      <w:r>
        <w:rPr>
          <w:rFonts w:ascii="Calibri" w:cs="Calibri" w:eastAsia="Calibri" w:hAnsi="Calibri"/>
          <w:i/>
          <w:iCs/>
          <w:color w:val="595959"/>
          <w:sz w:val="18"/>
          <w:szCs w:val="18"/>
        </w:rPr>
        <w:t xml:space="preserve">50 months from April 30, 2020 to June 30, 2024; rates applied on a compounded monthly basis.</w:t>
      </w:r>
    </w:p>
    <w:p/>
    <w:p>
      <w:pPr>
        <w:spacing w:after="120" w:before="240"/>
      </w:pPr>
      <w:r>
        <w:rPr>
          <w:rFonts w:ascii="Calibri" w:cs="Calibri" w:eastAsia="Calibri" w:hAnsi="Calibri"/>
          <w:b/>
          <w:bCs/>
          <w:sz w:val="32"/>
          <w:szCs w:val="32"/>
        </w:rPr>
        <w:t xml:space="preserve">Sales Comparison Approach - Conclusion</w:t>
      </w:r>
    </w:p>
    <w:p>
      <w:pPr>
        <w:spacing w:after="160" w:line="259" w:lineRule="auto"/>
      </w:pPr>
      <w:r>
        <w:rPr>
          <w:rFonts w:ascii="Calibri" w:cs="Calibri" w:eastAsia="Calibri" w:hAnsi="Calibri"/>
          <w:sz w:val="22"/>
          <w:szCs w:val="22"/>
        </w:rPr>
        <w:t xml:space="preserve">Based on our analysis of the Sales Comparison Approach, it is our opinion that the value of the subject property as of the stated retrospective valuation date is as follows: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tblHeader/>
        </w:trPr>
        <w:tc>
          <w:tcPr>
            <w:tcW w:type="dxa" w:w="9360"/>
            <w:gridSpan w:val="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SALES COMPARISON APPROACH VALUE CONCLUSION</w:t>
            </w:r>
          </w:p>
        </w:tc>
      </w:tr>
      <w:tr>
        <w:tc>
          <w:tcPr>
            <w:tcW w:type="dxa" w:w="51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Indicated Value per SF</w:t>
            </w:r>
          </w:p>
        </w:tc>
        <w:tc>
          <w:tcPr>
            <w:tcW w:type="dxa" w:w="21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$235.00</w:t>
            </w:r>
          </w:p>
        </w:tc>
        <w:tc>
          <w:tcPr>
            <w:tcW w:type="dxa" w:w="21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r>
      <w:tr>
        <w:tc>
          <w:tcPr>
            <w:tcW w:type="dxa" w:w="51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Building Area (SF)</w:t>
            </w:r>
          </w:p>
        </w:tc>
        <w:tc>
          <w:tcPr>
            <w:tcW w:type="dxa" w:w="21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x  4,920</w:t>
            </w:r>
          </w:p>
        </w:tc>
        <w:tc>
          <w:tcPr>
            <w:tcW w:type="dxa" w:w="21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r>
      <w:tr>
        <w:tc>
          <w:tcPr>
            <w:tcW w:type="dxa" w:w="51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Indicated Value</w:t>
            </w:r>
          </w:p>
        </w:tc>
        <w:tc>
          <w:tcPr>
            <w:tcW w:type="dxa" w:w="21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$1,156,200</w:t>
            </w:r>
          </w:p>
        </w:tc>
        <w:tc>
          <w:tcPr>
            <w:tcW w:type="dxa" w:w="21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r>
      <w:tr>
        <w:tc>
          <w:tcPr>
            <w:tcW w:type="dxa" w:w="51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Rounded to nearest $5,000</w:t>
            </w:r>
          </w:p>
        </w:tc>
        <w:tc>
          <w:tcPr>
            <w:tcW w:type="dxa" w:w="21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$1,155,000</w:t>
            </w:r>
          </w:p>
        </w:tc>
        <w:tc>
          <w:tcPr>
            <w:tcW w:type="dxa" w:w="21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Per SF   $234.76</w:t>
            </w:r>
          </w:p>
        </w:tc>
      </w:tr>
    </w:tbl>
    <w:p>
      <w:pPr>
        <w:spacing w:after="160" w:line="259" w:lineRule="auto"/>
      </w:pPr>
      <w:r>
        <w:rPr>
          <w:rFonts w:ascii="Calibri" w:cs="Calibri" w:eastAsia="Calibri" w:hAnsi="Calibri"/>
          <w:sz w:val="22"/>
          <w:szCs w:val="22"/>
        </w:rPr>
        <w:t xml:space="preserve">The subject’s own time-adjusted sale supports a range of $776,086 to $995,276 ($157.74 to $202.29 per square foot), with the most probable indication of $879,010 ($178.66 per square foot) at a 0.50% monthly rate. The 2025 assigned value of $941,552 ($191.37 per square foot) falls within that bracket and well below the $235 per square foot indicated by the market sales, notwithstanding the petitioner’s assertion that the improvements are limited to storage use.</w:t>
      </w:r>
    </w:p>
    <w:p>
      <w:r>
        <w:br w:type="page"/>
      </w:r>
    </w:p>
    <w:p>
      <w:pPr>
        <w:spacing w:after="120" w:before="240"/>
      </w:pPr>
      <w:r>
        <w:rPr>
          <w:rFonts w:ascii="Calibri" w:cs="Calibri" w:eastAsia="Calibri" w:hAnsi="Calibri"/>
          <w:b/>
          <w:bCs/>
          <w:sz w:val="32"/>
          <w:szCs w:val="32"/>
        </w:rPr>
        <w:t xml:space="preserve">Income Capitalization Approach</w:t>
      </w:r>
    </w:p>
    <w:p>
      <w:pPr>
        <w:spacing w:after="160" w:line="259" w:lineRule="auto"/>
      </w:pPr>
      <w:r>
        <w:rPr>
          <w:rFonts w:ascii="Calibri" w:cs="Calibri" w:eastAsia="Calibri" w:hAnsi="Calibri"/>
          <w:sz w:val="22"/>
          <w:szCs w:val="22"/>
        </w:rPr>
        <w:t xml:space="preserve">The Income Capitalization Approach converts anticipated market-level income into an indication of value for the Fee Simple estate. In this analysis a market rental rate is applied to the entire building at stabilized occupancy, market vacancy and collection loss are deducted, and market-level operating expenses are applied to arrive at net operating income, which is then capitalized at a market-derived overall rate.</w:t>
      </w:r>
    </w:p>
    <w:p>
      <w:pPr>
        <w:spacing w:after="160" w:line="259" w:lineRule="auto"/>
      </w:pPr>
      <w:r>
        <w:rPr>
          <w:rFonts w:ascii="Calibri" w:cs="Calibri" w:eastAsia="Calibri" w:hAnsi="Calibri"/>
          <w:sz w:val="22"/>
          <w:szCs w:val="22"/>
        </w:rPr>
        <w:t xml:space="preserve">Our estimate of market rent, occupancy, vacancy, collection loss, and a capitalization rate for the subject property are based upon firsthand data collected by staff as well as third-party service providers such as the following: CoStar, CompStak, Marcus &amp; Millichap, PWHC – Real Estate Investor Survey. Etc.</w:t>
      </w:r>
    </w:p>
    <w:p>
      <w:pPr>
        <w:spacing w:after="160" w:line="259" w:lineRule="auto"/>
      </w:pPr>
      <w:r>
        <w:rPr>
          <w:rFonts w:ascii="Calibri" w:cs="Calibri" w:eastAsia="Calibri" w:hAnsi="Calibri"/>
          <w:b/>
          <w:bCs/>
          <w:sz w:val="22"/>
          <w:szCs w:val="22"/>
        </w:rPr>
        <w:t xml:space="preserve">Status for this appeal: </w:t>
      </w:r>
      <w:r>
        <w:rPr>
          <w:rFonts w:ascii="Calibri" w:cs="Calibri" w:eastAsia="Calibri" w:hAnsi="Calibri"/>
          <w:sz w:val="22"/>
          <w:szCs w:val="22"/>
        </w:rPr>
        <w:t xml:space="preserve">the abatement petition and the Assessor’s appeal file for Schedules R0003928 and R0003929 contain no market rent, operating expense, or capitalization rate data for the subject. The Income Capitalization Approach has therefore not been developed, and the Sales Comparison Approach is the sole approach relied upon. The schedules below are retained so this section can be completed if storage/warehouse rent and expense data are added to the file prior to the hearing.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9360"/>
            <w:gridSpan w:val="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PRO FORMA OPERATING STATEMENT</w:t>
            </w:r>
          </w:p>
        </w:tc>
      </w:tr>
      <w:tr>
        <w:trPr>
          <w:tblHeader/>
        </w:trPr>
        <w:tc>
          <w:tcPr>
            <w:tcW w:type="dxa" w:w="39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Category</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Projected Expenses</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Projected Income</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PSF</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Potential Gross Rental Income (PGRI)</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Plus:  Other Income</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Plus:  Pass-Through Income</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Total Potential Gross Rental Income</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Less: Market Vacancy</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Effective Gross Income (EGI)</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Owner’s Expenses</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Operating Expense Recovery Loss During Vacancy</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Total Expenses</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39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Net Operating Income</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1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bl>
    <w:p/>
    <w:p>
      <w:pPr>
        <w:spacing w:after="120" w:before="240"/>
      </w:pPr>
      <w:r>
        <w:rPr>
          <w:rFonts w:ascii="Calibri" w:cs="Calibri" w:eastAsia="Calibri" w:hAnsi="Calibri"/>
          <w:b/>
          <w:bCs/>
          <w:sz w:val="32"/>
          <w:szCs w:val="32"/>
        </w:rPr>
        <w:t xml:space="preserve">CoStar Cap Rate support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tcMar>
              <w:top w:type="dxa" w:w="240"/>
              <w:left w:type="dxa" w:w="120"/>
              <w:bottom w:type="dxa" w:w="240"/>
              <w:right w:type="dxa" w:w="120"/>
            </w:tcMar>
            <w:vAlign w:val="center"/>
          </w:tcPr>
          <w:p>
            <w:pPr>
              <w:spacing w:after="0" w:before="0"/>
              <w:jc w:val="center"/>
            </w:pPr>
            <w:r>
              <w:rPr>
                <w:rFonts w:ascii="Calibri" w:cs="Calibri" w:eastAsia="Calibri" w:hAnsi="Calibri"/>
                <w:b/>
                <w:bCs/>
                <w:sz w:val="20"/>
                <w:szCs w:val="20"/>
                <w:highlight w:val="yellow"/>
              </w:rPr>
              <w:t xml:space="preserve">[INSERT: CoStar Market Cap Rate exhibit — Denver industrial / storage submarket, 2024 Q2]</w:t>
            </w:r>
          </w:p>
        </w:tc>
      </w:tr>
    </w:tbl>
    <w:p>
      <w:pPr>
        <w:spacing w:after="200" w:before="60"/>
        <w:jc w:val="center"/>
      </w:pPr>
      <w:r>
        <w:rPr>
          <w:rFonts w:ascii="Calibri" w:cs="Calibri" w:eastAsia="Calibri" w:hAnsi="Calibri"/>
          <w:i/>
          <w:iCs/>
          <w:color w:val="595959"/>
          <w:sz w:val="18"/>
          <w:szCs w:val="18"/>
        </w:rPr>
        <w:t xml:space="preserve">Source: CoStar</w:t>
      </w:r>
    </w:p>
    <w:p>
      <w:pPr>
        <w:spacing w:after="120" w:before="240"/>
      </w:pPr>
      <w:r>
        <w:rPr>
          <w:rFonts w:ascii="Calibri" w:cs="Calibri" w:eastAsia="Calibri" w:hAnsi="Calibri"/>
          <w:b/>
          <w:bCs/>
          <w:sz w:val="32"/>
          <w:szCs w:val="32"/>
        </w:rPr>
        <w:t xml:space="preserve">Conclusion- Income Capitalization Approach</w:t>
      </w:r>
    </w:p>
    <w:p>
      <w:pPr>
        <w:spacing w:after="160" w:line="259" w:lineRule="auto"/>
      </w:pPr>
      <w:r>
        <w:rPr>
          <w:rFonts w:ascii="Calibri" w:cs="Calibri" w:eastAsia="Calibri" w:hAnsi="Calibri"/>
          <w:sz w:val="22"/>
          <w:szCs w:val="22"/>
        </w:rPr>
        <w:t xml:space="preserve">An opinion of market value is indicated by the Direct Capitalization Method by dividing the net operating income (NOI), derived earlier in this section by the appropriate capitalization rate. Our conclusion via the Direct Capitalization Method is as follows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9360"/>
            <w:gridSpan w:val="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DIRECT CAPITALIZATION METHOD VALUE CONCLUSION</w:t>
            </w:r>
          </w:p>
        </w:tc>
      </w:tr>
      <w:tr>
        <w:trPr>
          <w:tblHeader/>
        </w:trPr>
        <w:tc>
          <w:tcPr>
            <w:tcW w:type="dxa" w:w="4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Value</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$/SF</w:t>
            </w:r>
          </w:p>
        </w:tc>
      </w:tr>
      <w:tr>
        <w:tc>
          <w:tcPr>
            <w:tcW w:type="dxa" w:w="4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Net Operating Income (NOI)</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4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Based on Low-Range OAR</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4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Based on Most Probable OAR</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24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4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Based on High-Range OAR</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c>
          <w:tcPr>
            <w:tcW w:type="dxa" w:w="24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t>
            </w:r>
          </w:p>
        </w:tc>
      </w:tr>
      <w:tr>
        <w:tc>
          <w:tcPr>
            <w:tcW w:type="dxa" w:w="4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Reconciled Value</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    ]</w:t>
            </w:r>
          </w:p>
        </w:tc>
        <w:tc>
          <w:tcPr>
            <w:tcW w:type="dxa" w:w="24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    ]</w:t>
            </w:r>
          </w:p>
        </w:tc>
      </w:tr>
    </w:tbl>
    <w:p>
      <w:r>
        <w:br w:type="page"/>
      </w:r>
    </w:p>
    <w:p>
      <w:pPr>
        <w:spacing w:after="120" w:before="240"/>
      </w:pPr>
      <w:r>
        <w:rPr>
          <w:rFonts w:ascii="Calibri" w:cs="Calibri" w:eastAsia="Calibri" w:hAnsi="Calibri"/>
          <w:b/>
          <w:bCs/>
          <w:sz w:val="32"/>
          <w:szCs w:val="32"/>
        </w:rPr>
        <w:t xml:space="preserve">Reconciliation of Value</w:t>
      </w:r>
    </w:p>
    <w:p>
      <w:pPr>
        <w:spacing w:after="160" w:line="259" w:lineRule="auto"/>
      </w:pPr>
      <w:r>
        <w:rPr>
          <w:rFonts w:ascii="Calibri" w:cs="Calibri" w:eastAsia="Calibri" w:hAnsi="Calibri"/>
          <w:sz w:val="22"/>
          <w:szCs w:val="22"/>
        </w:rPr>
        <w:t xml:space="preserve">The Sales Comparison Approach is primarily used by owner-users in making purchase decisions.  It is the secondary approach used by investors. The subject is an owner-occupied storage/industrial building, which increases the relevance of this approach. Therefore, the Sales Comparison Approach was developed and given primary consideration.</w:t>
      </w:r>
    </w:p>
    <w:p>
      <w:pPr>
        <w:spacing w:after="160" w:line="259" w:lineRule="auto"/>
      </w:pPr>
      <w:r>
        <w:rPr>
          <w:rFonts w:ascii="Calibri" w:cs="Calibri" w:eastAsia="Calibri" w:hAnsi="Calibri"/>
          <w:sz w:val="22"/>
          <w:szCs w:val="22"/>
        </w:rPr>
        <w:t xml:space="preserve">The Income Capitalization Approach was considered but was not developed. The appeal file contains no market rental rate, operating expense, or capitalization rate data specific to the subject’s storage use, and the subject is not operated as an investment property. The Cost Approach was likewise considered and not developed; given the 1976 year of construction, the depreciation estimate required would not produce a reliable independent indication of value.</w:t>
      </w:r>
    </w:p>
    <w:p>
      <w:pPr>
        <w:spacing w:after="120" w:before="240"/>
      </w:pPr>
      <w:r>
        <w:rPr>
          <w:rFonts w:ascii="Calibri" w:cs="Calibri" w:eastAsia="Calibri" w:hAnsi="Calibri"/>
          <w:b/>
          <w:bCs/>
          <w:sz w:val="32"/>
          <w:szCs w:val="32"/>
        </w:rPr>
        <w:t xml:space="preserve">Final Value Indication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9360"/>
            <w:gridSpan w:val="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VALUE INDICATIONS — As Is, Retrospective Market Value, Fee Simple Estate</w:t>
            </w:r>
          </w:p>
        </w:tc>
      </w:tr>
      <w:tr>
        <w:tc>
          <w:tcPr>
            <w:tcW w:type="dxa" w:w="36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Cost Approach</w:t>
            </w:r>
          </w:p>
        </w:tc>
        <w:tc>
          <w:tcPr>
            <w:tcW w:type="dxa" w:w="288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N/A</w:t>
            </w:r>
          </w:p>
        </w:tc>
        <w:tc>
          <w:tcPr>
            <w:tcW w:type="dxa" w:w="288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Not Developed</w:t>
            </w:r>
          </w:p>
        </w:tc>
      </w:tr>
      <w:tr>
        <w:tc>
          <w:tcPr>
            <w:tcW w:type="dxa" w:w="36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Sales Comparison Approach</w:t>
            </w:r>
          </w:p>
        </w:tc>
        <w:tc>
          <w:tcPr>
            <w:tcW w:type="dxa" w:w="288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$1,155,000</w:t>
            </w:r>
          </w:p>
        </w:tc>
        <w:tc>
          <w:tcPr>
            <w:tcW w:type="dxa" w:w="288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$234.76 Per Square Foot GBA</w:t>
            </w:r>
          </w:p>
        </w:tc>
      </w:tr>
      <w:tr>
        <w:tc>
          <w:tcPr>
            <w:tcW w:type="dxa" w:w="36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Income Capitalization Approach — Direct Capitalization</w:t>
            </w:r>
          </w:p>
        </w:tc>
        <w:tc>
          <w:tcPr>
            <w:tcW w:type="dxa" w:w="288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N/A</w:t>
            </w:r>
          </w:p>
        </w:tc>
        <w:tc>
          <w:tcPr>
            <w:tcW w:type="dxa" w:w="288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Not Developed</w:t>
            </w:r>
          </w:p>
        </w:tc>
      </w:tr>
      <w:tr>
        <w:tc>
          <w:tcPr>
            <w:tcW w:type="dxa" w:w="36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Approach Reliance</w:t>
            </w:r>
          </w:p>
        </w:tc>
        <w:tc>
          <w:tcPr>
            <w:tcW w:type="dxa" w:w="288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Sales Comparison Approach</w:t>
            </w:r>
          </w:p>
        </w:tc>
        <w:tc>
          <w:tcPr>
            <w:tcW w:type="dxa" w:w="288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
            </w:r>
          </w:p>
        </w:tc>
      </w:tr>
      <w:tr>
        <w:tc>
          <w:tcPr>
            <w:tcW w:type="dxa" w:w="36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Value Conclusion</w:t>
            </w:r>
          </w:p>
        </w:tc>
        <w:tc>
          <w:tcPr>
            <w:tcW w:type="dxa" w:w="288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$1,155,000</w:t>
            </w:r>
          </w:p>
        </w:tc>
        <w:tc>
          <w:tcPr>
            <w:tcW w:type="dxa" w:w="288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$234.76 Per Square Foot GBA</w:t>
            </w:r>
          </w:p>
        </w:tc>
      </w:tr>
    </w:tbl>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9360"/>
            <w:gridSpan w:val="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MARKET VALUE CONCLUSION</w:t>
            </w:r>
          </w:p>
        </w:tc>
      </w:tr>
      <w:tr>
        <w:trPr>
          <w:tblHeader/>
        </w:trPr>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Appraisal Premise</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Interest Appraised</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Date of Value</w:t>
            </w:r>
          </w:p>
        </w:tc>
        <w:tc>
          <w:tcPr>
            <w:tcW w:type="dxa" w:w="234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Value Conclusion</w:t>
            </w:r>
          </w:p>
        </w:tc>
      </w:tr>
      <w:tr>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Retrospective Market Value</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Fee Simple</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June 30, 2024</w:t>
            </w:r>
          </w:p>
        </w:tc>
        <w:tc>
          <w:tcPr>
            <w:tcW w:type="dxa" w:w="234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center"/>
            </w:pPr>
            <w:r>
              <w:rPr>
                <w:rFonts w:ascii="Calibri" w:cs="Calibri" w:eastAsia="Calibri" w:hAnsi="Calibri"/>
                <w:b/>
                <w:bCs/>
                <w:i w:val="false"/>
                <w:iCs w:val="false"/>
                <w:sz w:val="20"/>
                <w:szCs w:val="20"/>
              </w:rPr>
              <w:t xml:space="preserve">$1,155,000</w:t>
            </w:r>
          </w:p>
        </w:tc>
      </w:tr>
    </w:tbl>
    <w:p/>
    <w:p>
      <w:pPr>
        <w:spacing w:after="120" w:before="240"/>
      </w:pPr>
      <w:r>
        <w:rPr>
          <w:rFonts w:ascii="Calibri" w:cs="Calibri" w:eastAsia="Calibri" w:hAnsi="Calibri"/>
          <w:b/>
          <w:bCs/>
          <w:sz w:val="32"/>
          <w:szCs w:val="32"/>
        </w:rPr>
        <w:t xml:space="preserve">Recommendation to the Board</w:t>
      </w:r>
    </w:p>
    <w:p>
      <w:pPr>
        <w:spacing w:after="160" w:line="259" w:lineRule="auto"/>
      </w:pPr>
      <w:r>
        <w:rPr>
          <w:rFonts w:ascii="Calibri" w:cs="Calibri" w:eastAsia="Calibri" w:hAnsi="Calibri"/>
          <w:sz w:val="22"/>
          <w:szCs w:val="22"/>
        </w:rPr>
        <w:t xml:space="preserve">The petitioner’s stated basis for abatement is that the improvements are used for storage only and that the Assessor has valued the property for a different use. No estimate of value and no market data were submitted in support of the petition, and no protest was filed for the 2025 tax year. The subject’s own confirmed April 30, 2020 sale, time-adjusted 50 months to the June 30, 2024 valuation date, brackets the assigned value; the Assessor’s market sales indicate $235 per square foot, or $1,156,200, which exceeds the assigned value of $941,552 by approximately 23%. The assigned value is therefore supported and no abatement is warranted.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9360"/>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line="240" w:lineRule="auto"/>
              <w:jc w:val="center"/>
            </w:pPr>
            <w:r>
              <w:rPr>
                <w:rFonts w:ascii="Calibri" w:cs="Calibri" w:eastAsia="Calibri" w:hAnsi="Calibri"/>
                <w:b/>
                <w:bCs/>
                <w:i w:val="false"/>
                <w:iCs w:val="false"/>
                <w:color w:val="FFFFFF"/>
                <w:sz w:val="22"/>
                <w:szCs w:val="22"/>
              </w:rPr>
              <w:t xml:space="preserve">ASSESSOR RECOMMENDATION</w:t>
            </w:r>
          </w:p>
        </w:tc>
      </w:tr>
      <w:tr>
        <w:tc>
          <w:tcPr>
            <w:tcW w:type="dxa" w:w="4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2025 Assigned Actual Value (both schedules)</w:t>
            </w:r>
          </w:p>
        </w:tc>
        <w:tc>
          <w:tcPr>
            <w:tcW w:type="dxa" w:w="4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$941,552  ($191.37/SF)</w:t>
            </w:r>
          </w:p>
        </w:tc>
      </w:tr>
      <w:tr>
        <w:tc>
          <w:tcPr>
            <w:tcW w:type="dxa" w:w="456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Petitioner’s Requested Value</w:t>
            </w:r>
          </w:p>
        </w:tc>
        <w:tc>
          <w:tcPr>
            <w:tcW w:type="dxa" w:w="4800"/>
            <w:tcBorders>
              <w:top w:val="single" w:color="BFBFBF" w:sz="4"/>
              <w:left w:val="single" w:color="BFBFBF" w:sz="4"/>
              <w:bottom w:val="single" w:color="BFBFBF" w:sz="4"/>
              <w:right w:val="single" w:color="BFBFBF" w:sz="4"/>
            </w:tcBorders>
            <w:shd w:fill="F2F2F2"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Not provided</w:t>
            </w:r>
          </w:p>
        </w:tc>
      </w:tr>
      <w:tr>
        <w:tc>
          <w:tcPr>
            <w:tcW w:type="dxa" w:w="456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Value Concluded in This Report</w:t>
            </w:r>
          </w:p>
        </w:tc>
        <w:tc>
          <w:tcPr>
            <w:tcW w:type="dxa" w:w="4800"/>
            <w:tcBorders>
              <w:top w:val="single" w:color="BFBFBF" w:sz="4"/>
              <w:left w:val="single" w:color="BFBFBF" w:sz="4"/>
              <w:bottom w:val="single" w:color="BFBFBF" w:sz="4"/>
              <w:right w:val="single" w:color="BFBFBF" w:sz="4"/>
            </w:tcBorders>
            <w:shd w:fill="FFFFFF"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val="false"/>
                <w:bCs w:val="false"/>
                <w:i w:val="false"/>
                <w:iCs w:val="false"/>
                <w:sz w:val="20"/>
                <w:szCs w:val="20"/>
              </w:rPr>
              <w:t xml:space="preserve">$1,155,000  ($234.76/SF)</w:t>
            </w:r>
          </w:p>
        </w:tc>
      </w:tr>
      <w:tr>
        <w:tc>
          <w:tcPr>
            <w:tcW w:type="dxa" w:w="456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left"/>
            </w:pPr>
            <w:r>
              <w:rPr>
                <w:rFonts w:ascii="Calibri" w:cs="Calibri" w:eastAsia="Calibri" w:hAnsi="Calibri"/>
                <w:b/>
                <w:bCs/>
                <w:i w:val="false"/>
                <w:iCs w:val="false"/>
                <w:sz w:val="20"/>
                <w:szCs w:val="20"/>
              </w:rPr>
              <w:t xml:space="preserve">Recommended Action</w:t>
            </w:r>
          </w:p>
        </w:tc>
        <w:tc>
          <w:tcPr>
            <w:tcW w:type="dxa" w:w="4800"/>
            <w:tcBorders>
              <w:top w:val="single" w:color="BFBFBF" w:sz="4"/>
              <w:left w:val="single" w:color="BFBFBF" w:sz="4"/>
              <w:bottom w:val="single" w:color="BFBFBF" w:sz="4"/>
              <w:right w:val="single" w:color="BFBFBF" w:sz="4"/>
            </w:tcBorders>
            <w:shd w:fill="D9E2F3" w:color="auto" w:val="clear"/>
            <w:tcMar>
              <w:top w:type="dxa" w:w="40"/>
              <w:left w:type="dxa" w:w="100"/>
              <w:bottom w:type="dxa" w:w="40"/>
              <w:right w:type="dxa" w:w="100"/>
            </w:tcMar>
            <w:vAlign w:val="center"/>
          </w:tcPr>
          <w:p>
            <w:pPr>
              <w:spacing w:after="20" w:before="20" w:line="240" w:lineRule="auto"/>
              <w:jc w:val="right"/>
            </w:pPr>
            <w:r>
              <w:rPr>
                <w:rFonts w:ascii="Calibri" w:cs="Calibri" w:eastAsia="Calibri" w:hAnsi="Calibri"/>
                <w:b/>
                <w:bCs/>
                <w:i w:val="false"/>
                <w:iCs w:val="false"/>
                <w:sz w:val="20"/>
                <w:szCs w:val="20"/>
              </w:rPr>
              <w:t xml:space="preserve">DENY — sustain the 2025 assigned value of $941,552</w:t>
            </w:r>
          </w:p>
        </w:tc>
      </w:tr>
    </w:tbl>
    <w:p>
      <w:r>
        <w:br w:type="page"/>
      </w:r>
    </w:p>
    <w:p>
      <w:pPr>
        <w:spacing w:after="120" w:before="240"/>
      </w:pPr>
      <w:r>
        <w:rPr>
          <w:rFonts w:ascii="Calibri" w:cs="Calibri" w:eastAsia="Calibri" w:hAnsi="Calibri"/>
          <w:b/>
          <w:bCs/>
          <w:sz w:val="32"/>
          <w:szCs w:val="32"/>
        </w:rPr>
        <w:t xml:space="preserve">Subject Photos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tcMar>
              <w:top w:type="dxa" w:w="240"/>
              <w:left w:type="dxa" w:w="120"/>
              <w:bottom w:type="dxa" w:w="240"/>
              <w:right w:type="dxa" w:w="120"/>
            </w:tcMar>
            <w:vAlign w:val="center"/>
          </w:tcPr>
          <w:p>
            <w:pPr>
              <w:spacing w:after="0" w:before="0"/>
              <w:jc w:val="center"/>
            </w:pPr>
            <w:r>
              <w:rPr>
                <w:rFonts w:ascii="Calibri" w:cs="Calibri" w:eastAsia="Calibri" w:hAnsi="Calibri"/>
                <w:b/>
                <w:bCs/>
                <w:sz w:val="20"/>
                <w:szCs w:val="20"/>
                <w:highlight w:val="yellow"/>
              </w:rPr>
              <w:t xml:space="preserve">[INSERT: subject photographs — Schedules R0003928 &amp; R0003929]</w:t>
            </w:r>
          </w:p>
        </w:tc>
      </w:tr>
    </w:tbl>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fldChar w:fldCharType="begin"/>
      <w:instrText xml:space="preserve">PAGE</w:instrText>
      <w:fldChar w:fldCharType="separate"/>
      <w:fldChar w:fldCharType="end"/>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2026-08-06T03:03:34.166Z</dcterms:created>
  <dcterms:modified xsi:type="dcterms:W3CDTF">2026-08-06T03:03:34.166Z</dcterms:modified>
</cp:coreProperties>
</file>

<file path=docProps/custom.xml><?xml version="1.0" encoding="utf-8"?>
<Properties xmlns="http://schemas.openxmlformats.org/officeDocument/2006/custom-properties" xmlns:vt="http://schemas.openxmlformats.org/officeDocument/2006/docPropsVTypes"/>
</file>