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0C3C1" w14:textId="5565A3F2" w:rsidR="000A518B" w:rsidRPr="000A518B" w:rsidRDefault="007F4CFE" w:rsidP="000A518B">
      <w:pPr>
        <w:jc w:val="right"/>
        <w:rPr>
          <w:b/>
          <w:bCs/>
          <w:sz w:val="52"/>
          <w:szCs w:val="52"/>
        </w:rPr>
      </w:pPr>
      <w:r>
        <w:rPr>
          <w:b/>
          <w:bCs/>
          <w:sz w:val="52"/>
          <w:szCs w:val="52"/>
        </w:rPr>
        <w:t xml:space="preserve">County </w:t>
      </w:r>
      <w:r w:rsidR="00790607">
        <w:rPr>
          <w:b/>
          <w:bCs/>
          <w:sz w:val="52"/>
          <w:szCs w:val="52"/>
        </w:rPr>
        <w:t xml:space="preserve">Board of </w:t>
      </w:r>
      <w:r>
        <w:rPr>
          <w:b/>
          <w:bCs/>
          <w:sz w:val="52"/>
          <w:szCs w:val="52"/>
        </w:rPr>
        <w:t>Equalization</w:t>
      </w:r>
    </w:p>
    <w:p w14:paraId="263B8D4C" w14:textId="77777777" w:rsidR="007F4CFE" w:rsidRDefault="007F4CFE" w:rsidP="000A518B">
      <w:pPr>
        <w:jc w:val="right"/>
        <w:rPr>
          <w:sz w:val="40"/>
          <w:szCs w:val="40"/>
        </w:rPr>
      </w:pPr>
    </w:p>
    <w:p w14:paraId="52B0583D" w14:textId="5AA5D079" w:rsidR="000A518B" w:rsidRPr="000A518B" w:rsidRDefault="007F4CFE" w:rsidP="000A518B">
      <w:pPr>
        <w:jc w:val="right"/>
        <w:rPr>
          <w:sz w:val="40"/>
          <w:szCs w:val="40"/>
        </w:rPr>
      </w:pPr>
      <w:r>
        <w:rPr>
          <w:sz w:val="40"/>
          <w:szCs w:val="40"/>
        </w:rPr>
        <w:t>CBOE</w:t>
      </w:r>
      <w:r w:rsidR="00790607">
        <w:rPr>
          <w:sz w:val="40"/>
          <w:szCs w:val="40"/>
        </w:rPr>
        <w:t xml:space="preserve"> Report</w:t>
      </w:r>
      <w:r w:rsidR="000A518B" w:rsidRPr="000A518B">
        <w:rPr>
          <w:sz w:val="40"/>
          <w:szCs w:val="40"/>
        </w:rPr>
        <w:t xml:space="preserve"> </w:t>
      </w:r>
    </w:p>
    <w:p w14:paraId="623AB898" w14:textId="276B2FA9" w:rsidR="000A518B" w:rsidRDefault="000A518B" w:rsidP="000A518B">
      <w:pPr>
        <w:jc w:val="right"/>
        <w:rPr>
          <w:sz w:val="32"/>
          <w:szCs w:val="32"/>
        </w:rPr>
      </w:pPr>
      <w:r w:rsidRPr="009441FA">
        <w:rPr>
          <w:b/>
          <w:bCs/>
          <w:sz w:val="32"/>
          <w:szCs w:val="32"/>
        </w:rPr>
        <w:t xml:space="preserve">Tax Year: 2025 </w:t>
      </w:r>
    </w:p>
    <w:p w14:paraId="01750002" w14:textId="08D8B498" w:rsidR="007F4CFE" w:rsidRPr="00457E00" w:rsidRDefault="00683378" w:rsidP="000A518B">
      <w:pPr>
        <w:jc w:val="right"/>
        <w:rPr>
          <w:b/>
          <w:bCs/>
          <w:color w:val="2F5496" w:themeColor="accent1" w:themeShade="BF"/>
          <w:sz w:val="32"/>
          <w:szCs w:val="32"/>
        </w:rPr>
      </w:pPr>
      <w:r>
        <w:rPr>
          <w:b/>
          <w:bCs/>
          <w:color w:val="2F5496" w:themeColor="accent1" w:themeShade="BF"/>
          <w:sz w:val="32"/>
          <w:szCs w:val="32"/>
        </w:rPr>
        <w:t xml:space="preserve">R0195554</w:t>
      </w:r>
    </w:p>
    <w:p w14:paraId="33CE1DCE" w14:textId="28B6D39D" w:rsidR="00560F03" w:rsidRPr="00560F03" w:rsidRDefault="007F4CFE" w:rsidP="00560F03">
      <w:pPr>
        <w:jc w:val="right"/>
        <w:rPr>
          <w:sz w:val="28"/>
          <w:szCs w:val="28"/>
        </w:rPr>
      </w:pPr>
      <w:r>
        <w:rPr>
          <w:b/>
          <w:bCs/>
          <w:sz w:val="28"/>
          <w:szCs w:val="28"/>
        </w:rPr>
        <w:t xml:space="preserve">Subject Property Address: 22600 Interstate 76, Brighton, Adams County, CO</w:t>
      </w:r>
    </w:p>
    <w:p w14:paraId="649672B9" w14:textId="77777777" w:rsidR="00560F03" w:rsidRPr="00560F03" w:rsidRDefault="00560F03" w:rsidP="00560F03">
      <w:pPr>
        <w:jc w:val="right"/>
        <w:rPr>
          <w:b/>
          <w:bCs/>
          <w:sz w:val="28"/>
          <w:szCs w:val="28"/>
        </w:rPr>
      </w:pPr>
      <w:r w:rsidRPr="00560F03">
        <w:rPr>
          <w:b/>
          <w:bCs/>
          <w:sz w:val="28"/>
          <w:szCs w:val="28"/>
        </w:rPr>
        <w:t>Prepared By</w:t>
      </w:r>
    </w:p>
    <w:p w14:paraId="3AFCC5A8" w14:textId="3E1B0B68" w:rsidR="000A518B" w:rsidRDefault="0041445A" w:rsidP="00560F03">
      <w:pPr>
        <w:jc w:val="right"/>
        <w:rPr>
          <w:sz w:val="24"/>
          <w:szCs w:val="24"/>
        </w:rPr>
      </w:pPr>
      <w:r>
        <w:rPr>
          <w:sz w:val="24"/>
          <w:szCs w:val="24"/>
        </w:rPr>
        <w:t>Shaquille Carter</w:t>
      </w:r>
    </w:p>
    <w:p w14:paraId="3103B6BC" w14:textId="0F4354CE" w:rsidR="00BE5267" w:rsidRDefault="00BE5267" w:rsidP="00560F03">
      <w:pPr>
        <w:jc w:val="right"/>
        <w:rPr>
          <w:sz w:val="32"/>
          <w:szCs w:val="32"/>
        </w:rPr>
      </w:pPr>
      <w:r>
        <w:rPr>
          <w:sz w:val="24"/>
          <w:szCs w:val="24"/>
        </w:rPr>
        <w:t>Commercial appraiser, Adams County</w:t>
      </w:r>
    </w:p>
    <w:p w14:paraId="36A0D72E" w14:textId="62A3BC95" w:rsidR="0044797D" w:rsidRDefault="0044797D" w:rsidP="00560F03">
      <w:pPr>
        <w:jc w:val="right"/>
        <w:rPr>
          <w:sz w:val="32"/>
          <w:szCs w:val="32"/>
        </w:rPr>
      </w:pPr>
    </w:p>
    <w:p w14:paraId="682EACCA" w14:textId="7614B3DA" w:rsidR="00BE5267" w:rsidRDefault="00BE5267" w:rsidP="00BE5267">
      <w:pPr>
        <w:pStyle w:val="NormalWeb"/>
        <w:jc w:val="center"/>
      </w:pPr>
    </w:p>
    <w:p w14:paraId="60F1E796" w14:textId="77777777" w:rsidR="00683378" w:rsidRDefault="00683378" w:rsidP="00BE5267">
      <w:pPr>
        <w:pStyle w:val="NormalWeb"/>
        <w:jc w:val="center"/>
      </w:pPr>
    </w:p>
    <w:p w14:paraId="79E0480E" w14:textId="77777777" w:rsidR="00683378" w:rsidRDefault="00683378" w:rsidP="00BE5267">
      <w:pPr>
        <w:pStyle w:val="NormalWeb"/>
        <w:jc w:val="center"/>
      </w:pPr>
    </w:p>
    <w:p w14:paraId="2973DDB0" w14:textId="77777777" w:rsidR="00683378" w:rsidRDefault="00683378" w:rsidP="00BE5267">
      <w:pPr>
        <w:pStyle w:val="NormalWeb"/>
        <w:jc w:val="center"/>
      </w:pPr>
    </w:p>
    <w:p w14:paraId="3F1F7639" w14:textId="77777777" w:rsidR="00683378" w:rsidRDefault="00683378" w:rsidP="00BE5267">
      <w:pPr>
        <w:pStyle w:val="NormalWeb"/>
        <w:jc w:val="center"/>
      </w:pPr>
    </w:p>
    <w:p w14:paraId="70EFF948" w14:textId="77777777" w:rsidR="00683378" w:rsidRDefault="00683378" w:rsidP="00BE5267">
      <w:pPr>
        <w:pStyle w:val="NormalWeb"/>
        <w:jc w:val="center"/>
      </w:pPr>
    </w:p>
    <w:p w14:paraId="16797AF0" w14:textId="77777777" w:rsidR="00683378" w:rsidRDefault="00683378" w:rsidP="00BE5267">
      <w:pPr>
        <w:pStyle w:val="NormalWeb"/>
        <w:jc w:val="center"/>
      </w:pPr>
    </w:p>
    <w:p w14:paraId="0F2F7B2F" w14:textId="77777777" w:rsidR="00683378" w:rsidRDefault="00683378" w:rsidP="00BE5267">
      <w:pPr>
        <w:pStyle w:val="NormalWeb"/>
        <w:jc w:val="center"/>
      </w:pPr>
    </w:p>
    <w:p w14:paraId="1F30E50B" w14:textId="77777777" w:rsidR="00683378" w:rsidRDefault="00683378" w:rsidP="00BE5267">
      <w:pPr>
        <w:pStyle w:val="NormalWeb"/>
        <w:jc w:val="center"/>
      </w:pPr>
    </w:p>
    <w:p w14:paraId="6525CEE4" w14:textId="77777777" w:rsidR="007879FB" w:rsidRDefault="000A518B" w:rsidP="007879FB">
      <w:pPr>
        <w:rPr>
          <w:b/>
          <w:bCs/>
          <w:sz w:val="32"/>
          <w:szCs w:val="32"/>
        </w:rPr>
      </w:pPr>
      <w:r w:rsidRPr="009441FA">
        <w:rPr>
          <w:b/>
          <w:bCs/>
          <w:sz w:val="32"/>
          <w:szCs w:val="32"/>
        </w:rPr>
        <w:lastRenderedPageBreak/>
        <w:t>Subject Property</w:t>
      </w:r>
    </w:p>
    <w:tbl>
      <w:tblPr>
        <w:tblW w:w="9360" w:type="dxa"/>
        <w:jc w:val="center"/>
        <w:tblBorders>
          <w:top w:val="dashed" w:sz="6" w:color="A6A6A6"/>
          <w:left w:val="dashed" w:sz="6" w:color="A6A6A6"/>
          <w:bottom w:val="dashed" w:sz="6" w:color="A6A6A6"/>
          <w:right w:val="dashed" w:sz="6" w:color="A6A6A6"/>
        </w:tblBorders>
        <w:tblLayout w:type="fixed"/>
      </w:tblPr>
      <w:tblGrid>
        <w:gridCol w:w="9360"/>
      </w:tblGrid>
      <w:tr>
        <w:trPr>
          <w:trHeight w:val="3200"/>
        </w:trPr>
        <w:tc>
          <w:tcPr>
            <w:tcW w:w="9360" w:type="dxa"/>
            <w:vAlign w:val="center"/>
          </w:tcPr>
          <w:p>
            <w:pPr>
              <w:spacing w:before="10" w:after="10" w:line="240" w:lineRule="auto"/>
              <w:jc w:val="center"/>
              <w:rPr>
                <w:rFonts w:ascii="Arial" w:hAnsi="Arial"/>
                <w:i/>
                <w:color w:val="808080"/>
                <w:sz w:val="18"/>
              </w:rPr>
            </w:pPr>
            <w:r>
              <w:rPr>
                <w:rFonts w:ascii="Arial" w:hAnsi="Arial"/>
                <w:i/>
                <w:color w:val="808080"/>
                <w:sz w:val="18"/>
              </w:rPr>
              <w:t xml:space="preserve">[ Insert subject photograph - 22600 Interstate 76, Brighton, CO  (Account R0195554) ]</w:t>
            </w:r>
          </w:p>
        </w:tc>
      </w:tr>
    </w:tbl>
    <w:p w14:paraId="03B2221B" w14:textId="77777777" w:rsidR="00683378" w:rsidRDefault="00683378" w:rsidP="00457E00">
      <w:pPr>
        <w:jc w:val="center"/>
        <w:rPr>
          <w:b/>
          <w:bCs/>
          <w:sz w:val="32"/>
          <w:szCs w:val="32"/>
        </w:rPr>
      </w:pPr>
    </w:p>
    <w:p w14:paraId="3327C695" w14:textId="77777777" w:rsidR="00683378" w:rsidRDefault="00683378" w:rsidP="00457E00">
      <w:pPr>
        <w:jc w:val="center"/>
        <w:rPr>
          <w:b/>
          <w:bCs/>
          <w:sz w:val="32"/>
          <w:szCs w:val="32"/>
        </w:rPr>
      </w:pPr>
    </w:p>
    <w:p w14:paraId="6FBF79E5" w14:textId="77777777" w:rsidR="00683378" w:rsidRDefault="00683378" w:rsidP="00457E00">
      <w:pPr>
        <w:jc w:val="center"/>
        <w:rPr>
          <w:b/>
          <w:bCs/>
          <w:sz w:val="32"/>
          <w:szCs w:val="32"/>
        </w:rPr>
      </w:pPr>
    </w:p>
    <w:p w14:paraId="5F70DFB8" w14:textId="77777777" w:rsidR="00683378" w:rsidRDefault="00683378" w:rsidP="00457E00">
      <w:pPr>
        <w:jc w:val="center"/>
        <w:rPr>
          <w:b/>
          <w:bCs/>
          <w:sz w:val="32"/>
          <w:szCs w:val="32"/>
        </w:rPr>
      </w:pPr>
    </w:p>
    <w:p w14:paraId="2045658C" w14:textId="77777777" w:rsidR="00683378" w:rsidRDefault="00683378" w:rsidP="00457E00">
      <w:pPr>
        <w:jc w:val="center"/>
        <w:rPr>
          <w:b/>
          <w:bCs/>
          <w:sz w:val="32"/>
          <w:szCs w:val="32"/>
        </w:rPr>
      </w:pPr>
    </w:p>
    <w:p w14:paraId="65EBF8BF" w14:textId="77777777" w:rsidR="00683378" w:rsidRDefault="00683378" w:rsidP="00457E00">
      <w:pPr>
        <w:jc w:val="center"/>
        <w:rPr>
          <w:b/>
          <w:bCs/>
          <w:sz w:val="32"/>
          <w:szCs w:val="32"/>
        </w:rPr>
      </w:pPr>
    </w:p>
    <w:p w14:paraId="660CC925" w14:textId="77777777" w:rsidR="00683378" w:rsidRDefault="00683378" w:rsidP="00457E00">
      <w:pPr>
        <w:jc w:val="center"/>
        <w:rPr>
          <w:b/>
          <w:bCs/>
          <w:sz w:val="32"/>
          <w:szCs w:val="32"/>
        </w:rPr>
      </w:pPr>
    </w:p>
    <w:p w14:paraId="36215C13" w14:textId="77777777" w:rsidR="00683378" w:rsidRDefault="00683378" w:rsidP="00457E00">
      <w:pPr>
        <w:jc w:val="center"/>
        <w:rPr>
          <w:b/>
          <w:bCs/>
          <w:sz w:val="32"/>
          <w:szCs w:val="32"/>
        </w:rPr>
      </w:pPr>
    </w:p>
    <w:p w14:paraId="091E53EF" w14:textId="77777777" w:rsidR="00683378" w:rsidRDefault="00683378" w:rsidP="00457E00">
      <w:pPr>
        <w:jc w:val="center"/>
        <w:rPr>
          <w:b/>
          <w:bCs/>
          <w:sz w:val="32"/>
          <w:szCs w:val="32"/>
        </w:rPr>
      </w:pPr>
    </w:p>
    <w:p w14:paraId="2686703E" w14:textId="77777777" w:rsidR="00683378" w:rsidRDefault="00683378" w:rsidP="00457E00">
      <w:pPr>
        <w:jc w:val="center"/>
        <w:rPr>
          <w:b/>
          <w:bCs/>
          <w:sz w:val="32"/>
          <w:szCs w:val="32"/>
        </w:rPr>
      </w:pPr>
    </w:p>
    <w:p w14:paraId="4B544A1D" w14:textId="77777777" w:rsidR="00683378" w:rsidRDefault="00683378" w:rsidP="00457E00">
      <w:pPr>
        <w:jc w:val="center"/>
        <w:rPr>
          <w:b/>
          <w:bCs/>
          <w:sz w:val="32"/>
          <w:szCs w:val="32"/>
        </w:rPr>
      </w:pPr>
    </w:p>
    <w:p w14:paraId="7F32AD00" w14:textId="0E8CD1AB" w:rsidR="00457E00" w:rsidRDefault="00457E00" w:rsidP="00457E00">
      <w:pPr>
        <w:jc w:val="center"/>
        <w:rPr>
          <w:b/>
          <w:bCs/>
          <w:sz w:val="32"/>
          <w:szCs w:val="32"/>
        </w:rPr>
      </w:pPr>
      <w:r>
        <w:rPr>
          <w:b/>
          <w:bCs/>
          <w:sz w:val="32"/>
          <w:szCs w:val="32"/>
        </w:rPr>
        <w:lastRenderedPageBreak/>
        <w:t>SUBJECT AERIAL</w:t>
      </w:r>
    </w:p>
    <w:p w14:paraId="170DBF96" w14:textId="77777777" w:rsidR="00457E00" w:rsidRDefault="00457E00" w:rsidP="00457E00">
      <w:pPr>
        <w:jc w:val="center"/>
        <w:rPr>
          <w:b/>
          <w:bCs/>
          <w:sz w:val="32"/>
          <w:szCs w:val="32"/>
        </w:rPr>
      </w:pPr>
    </w:p>
    <w:tbl>
      <w:tblPr>
        <w:tblW w:w="9360" w:type="dxa"/>
        <w:jc w:val="center"/>
        <w:tblBorders>
          <w:top w:val="dashed" w:sz="6" w:color="A6A6A6"/>
          <w:left w:val="dashed" w:sz="6" w:color="A6A6A6"/>
          <w:bottom w:val="dashed" w:sz="6" w:color="A6A6A6"/>
          <w:right w:val="dashed" w:sz="6" w:color="A6A6A6"/>
        </w:tblBorders>
        <w:tblLayout w:type="fixed"/>
      </w:tblPr>
      <w:tblGrid>
        <w:gridCol w:w="9360"/>
      </w:tblGrid>
      <w:tr>
        <w:trPr>
          <w:trHeight w:val="3800"/>
        </w:trPr>
        <w:tc>
          <w:tcPr>
            <w:tcW w:w="9360" w:type="dxa"/>
            <w:vAlign w:val="center"/>
          </w:tcPr>
          <w:p>
            <w:pPr>
              <w:spacing w:before="10" w:after="10" w:line="240" w:lineRule="auto"/>
              <w:jc w:val="center"/>
              <w:rPr>
                <w:rFonts w:ascii="Arial" w:hAnsi="Arial"/>
                <w:i/>
                <w:color w:val="808080"/>
                <w:sz w:val="18"/>
              </w:rPr>
            </w:pPr>
            <w:r>
              <w:rPr>
                <w:rFonts w:ascii="Arial" w:hAnsi="Arial"/>
                <w:i/>
                <w:color w:val="808080"/>
                <w:sz w:val="18"/>
              </w:rPr>
              <w:t xml:space="preserve">[ Insert subject aerial - 22600 Interstate 76, Brighton, CO ]</w:t>
            </w:r>
          </w:p>
        </w:tc>
      </w:tr>
    </w:tbl>
    <w:p w14:paraId="5330A52A" w14:textId="77777777" w:rsidR="00BE5267" w:rsidRDefault="00BE5267">
      <w:pPr>
        <w:rPr>
          <w:b/>
          <w:bCs/>
          <w:sz w:val="32"/>
          <w:szCs w:val="32"/>
        </w:rPr>
      </w:pPr>
      <w:r>
        <w:rPr>
          <w:b/>
          <w:bCs/>
          <w:sz w:val="32"/>
          <w:szCs w:val="32"/>
        </w:rPr>
        <w:br w:type="page"/>
      </w:r>
    </w:p>
    <w:tbl>
      <w:tblPr>
        <w:tblW w:w="9360" w:type="dxa"/>
        <w:jc w:val="center"/>
        <w:tblBorders>
          <w:top w:val="single" w:sz="4" w:color="BFBFBF"/>
          <w:left w:val="none" w:sz="0" w:color="auto"/>
          <w:bottom w:val="single" w:sz="4" w:color="BFBFBF"/>
          <w:right w:val="none" w:sz="0" w:color="auto"/>
          <w:insideH w:val="single" w:sz="4" w:color="D9D9D9"/>
          <w:insideV w:val="none" w:sz="0" w:color="auto"/>
        </w:tblBorders>
        <w:tblLayout w:type="fixed"/>
        <w:tblCellMar>
          <w:top w:w="0" w:type="dxa"/>
          <w:left w:w="72" w:type="dxa"/>
          <w:bottom w:w="0" w:type="dxa"/>
          <w:right w:w="72" w:type="dxa"/>
        </w:tblCellMar>
      </w:tblPr>
      <w:tblGrid>
        <w:gridCol w:w="4160"/>
        <w:gridCol w:w="5200"/>
      </w:tblGrid>
      <w:tr>
        <w:trPr>
          <w:cantSplit/>
        </w:trPr>
        <w:tc>
          <w:tcPr>
            <w:tcW w:w="9360" w:type="dxa"/>
            <w:gridSpan w:val="2"/>
            <w:shd w:val="clear" w:color="auto" w:fill="1E5631"/>
            <w:vAlign w:val="center"/>
          </w:tcPr>
          <w:p>
            <w:pPr>
              <w:spacing w:before="10" w:after="10" w:line="240" w:lineRule="auto"/>
              <w:jc w:val="center"/>
              <w:rPr>
                <w:rFonts w:ascii="Arial" w:hAnsi="Arial"/>
                <w:b/>
                <w:color w:val="FFFFFF"/>
                <w:sz w:val="18"/>
              </w:rPr>
            </w:pPr>
            <w:r>
              <w:rPr>
                <w:rFonts w:ascii="Arial" w:hAnsi="Arial"/>
                <w:b/>
                <w:color w:val="FFFFFF"/>
                <w:sz w:val="18"/>
              </w:rPr>
              <w:t xml:space="preserve">EXECUTIVE SUMMARY</w:t>
            </w:r>
          </w:p>
        </w:tc>
      </w:tr>
      <w:tr>
        <w:trPr>
          <w:cantSplit/>
        </w:trPr>
        <w:tc>
          <w:tcPr>
            <w:tcW w:w="4160" w:type="dxa"/>
            <w:vAlign w:val="center"/>
          </w:tcPr>
          <w:p>
            <w:pPr>
              <w:spacing w:before="10" w:after="10" w:line="240" w:lineRule="auto"/>
              <w:jc w:val="left"/>
              <w:rPr>
                <w:rFonts w:ascii="Arial" w:hAnsi="Arial"/>
                <w:color w:val="000000"/>
                <w:sz w:val="16"/>
              </w:rPr>
            </w:pPr>
            <w:r>
              <w:rPr>
                <w:rFonts w:ascii="Arial" w:hAnsi="Arial"/>
                <w:color w:val="000000"/>
                <w:sz w:val="16"/>
              </w:rPr>
              <w:t xml:space="preserve">Account Number</w:t>
            </w:r>
          </w:p>
        </w:tc>
        <w:tc>
          <w:tcPr>
            <w:tcW w:w="5200" w:type="dxa"/>
            <w:vAlign w:val="center"/>
          </w:tcPr>
          <w:p>
            <w:pPr>
              <w:spacing w:before="10" w:after="10" w:line="240" w:lineRule="auto"/>
              <w:jc w:val="right"/>
              <w:rPr>
                <w:rFonts w:ascii="Arial" w:hAnsi="Arial"/>
                <w:color w:val="000000"/>
                <w:sz w:val="16"/>
              </w:rPr>
            </w:pPr>
            <w:r>
              <w:rPr>
                <w:rFonts w:ascii="Arial" w:hAnsi="Arial"/>
                <w:color w:val="000000"/>
                <w:sz w:val="16"/>
              </w:rPr>
              <w:t xml:space="preserve">R0195554</w:t>
            </w:r>
          </w:p>
        </w:tc>
      </w:tr>
      <w:tr>
        <w:trPr>
          <w:cantSplit/>
        </w:trPr>
        <w:tc>
          <w:tcPr>
            <w:tcW w:w="4160" w:type="dxa"/>
            <w:vAlign w:val="center"/>
          </w:tcPr>
          <w:p>
            <w:pPr>
              <w:spacing w:before="10" w:after="10" w:line="240" w:lineRule="auto"/>
              <w:jc w:val="left"/>
              <w:rPr>
                <w:rFonts w:ascii="Arial" w:hAnsi="Arial"/>
                <w:color w:val="000000"/>
                <w:sz w:val="16"/>
              </w:rPr>
            </w:pPr>
            <w:r>
              <w:rPr>
                <w:rFonts w:ascii="Arial" w:hAnsi="Arial"/>
                <w:color w:val="000000"/>
                <w:sz w:val="16"/>
              </w:rPr>
              <w:t xml:space="preserve">Address</w:t>
            </w:r>
          </w:p>
        </w:tc>
        <w:tc>
          <w:tcPr>
            <w:tcW w:w="5200" w:type="dxa"/>
            <w:vAlign w:val="center"/>
          </w:tcPr>
          <w:p>
            <w:pPr>
              <w:spacing w:before="10" w:after="10" w:line="240" w:lineRule="auto"/>
              <w:jc w:val="right"/>
              <w:rPr>
                <w:rFonts w:ascii="Arial" w:hAnsi="Arial"/>
                <w:color w:val="000000"/>
                <w:sz w:val="16"/>
              </w:rPr>
            </w:pPr>
            <w:r>
              <w:rPr>
                <w:rFonts w:ascii="Arial" w:hAnsi="Arial"/>
                <w:color w:val="000000"/>
                <w:sz w:val="16"/>
              </w:rPr>
              <w:t xml:space="preserve">22600 Interstate 76</w:t>
            </w:r>
          </w:p>
        </w:tc>
      </w:tr>
      <w:tr>
        <w:trPr>
          <w:cantSplit/>
        </w:trPr>
        <w:tc>
          <w:tcPr>
            <w:tcW w:w="4160" w:type="dxa"/>
            <w:vAlign w:val="center"/>
          </w:tcPr>
          <w:p>
            <w:pPr>
              <w:spacing w:before="10" w:after="10" w:line="240" w:lineRule="auto"/>
              <w:jc w:val="left"/>
              <w:rPr>
                <w:rFonts w:ascii="Arial" w:hAnsi="Arial"/>
                <w:color w:val="000000"/>
                <w:sz w:val="16"/>
              </w:rPr>
            </w:pPr>
            <w:r>
              <w:rPr>
                <w:rFonts w:ascii="Arial" w:hAnsi="Arial"/>
                <w:color w:val="000000"/>
                <w:sz w:val="16"/>
              </w:rPr>
              <w:t xml:space="preserve">County</w:t>
            </w:r>
          </w:p>
        </w:tc>
        <w:tc>
          <w:tcPr>
            <w:tcW w:w="5200" w:type="dxa"/>
            <w:vAlign w:val="center"/>
          </w:tcPr>
          <w:p>
            <w:pPr>
              <w:spacing w:before="10" w:after="10" w:line="240" w:lineRule="auto"/>
              <w:jc w:val="right"/>
              <w:rPr>
                <w:rFonts w:ascii="Arial" w:hAnsi="Arial"/>
                <w:color w:val="000000"/>
                <w:sz w:val="16"/>
              </w:rPr>
            </w:pPr>
            <w:r>
              <w:rPr>
                <w:rFonts w:ascii="Arial" w:hAnsi="Arial"/>
                <w:color w:val="000000"/>
                <w:sz w:val="16"/>
              </w:rPr>
              <w:t xml:space="preserve">Adams County</w:t>
            </w:r>
          </w:p>
        </w:tc>
      </w:tr>
      <w:tr>
        <w:trPr>
          <w:cantSplit/>
        </w:trPr>
        <w:tc>
          <w:tcPr>
            <w:tcW w:w="4160" w:type="dxa"/>
            <w:vAlign w:val="center"/>
          </w:tcPr>
          <w:p>
            <w:pPr>
              <w:spacing w:before="10" w:after="10" w:line="240" w:lineRule="auto"/>
              <w:jc w:val="left"/>
              <w:rPr>
                <w:rFonts w:ascii="Arial" w:hAnsi="Arial"/>
                <w:color w:val="000000"/>
                <w:sz w:val="16"/>
              </w:rPr>
            </w:pPr>
            <w:r>
              <w:rPr>
                <w:rFonts w:ascii="Arial" w:hAnsi="Arial"/>
                <w:color w:val="000000"/>
                <w:sz w:val="16"/>
              </w:rPr>
              <w:t xml:space="preserve">City, State</w:t>
            </w:r>
          </w:p>
        </w:tc>
        <w:tc>
          <w:tcPr>
            <w:tcW w:w="5200" w:type="dxa"/>
            <w:vAlign w:val="center"/>
          </w:tcPr>
          <w:p>
            <w:pPr>
              <w:spacing w:before="10" w:after="10" w:line="240" w:lineRule="auto"/>
              <w:jc w:val="right"/>
              <w:rPr>
                <w:rFonts w:ascii="Arial" w:hAnsi="Arial"/>
                <w:color w:val="000000"/>
                <w:sz w:val="16"/>
              </w:rPr>
            </w:pPr>
            <w:r>
              <w:rPr>
                <w:rFonts w:ascii="Arial" w:hAnsi="Arial"/>
                <w:color w:val="000000"/>
                <w:sz w:val="16"/>
              </w:rPr>
              <w:t xml:space="preserve">Brighton, Colorado</w:t>
            </w:r>
          </w:p>
        </w:tc>
      </w:tr>
      <w:tr>
        <w:trPr>
          <w:cantSplit/>
        </w:trPr>
        <w:tc>
          <w:tcPr>
            <w:tcW w:w="4160" w:type="dxa"/>
            <w:vAlign w:val="center"/>
          </w:tcPr>
          <w:p>
            <w:pPr>
              <w:spacing w:before="10" w:after="10" w:line="240" w:lineRule="auto"/>
              <w:jc w:val="left"/>
              <w:rPr>
                <w:rFonts w:ascii="Arial" w:hAnsi="Arial"/>
                <w:color w:val="000000"/>
                <w:sz w:val="16"/>
              </w:rPr>
            </w:pPr>
            <w:r>
              <w:rPr>
                <w:rFonts w:ascii="Arial" w:hAnsi="Arial"/>
                <w:color w:val="000000"/>
                <w:sz w:val="16"/>
              </w:rPr>
              <w:t xml:space="preserve">Effective Date</w:t>
            </w:r>
          </w:p>
        </w:tc>
        <w:tc>
          <w:tcPr>
            <w:tcW w:w="5200" w:type="dxa"/>
            <w:vAlign w:val="center"/>
          </w:tcPr>
          <w:p>
            <w:pPr>
              <w:spacing w:before="10" w:after="10" w:line="240" w:lineRule="auto"/>
              <w:jc w:val="right"/>
              <w:rPr>
                <w:rFonts w:ascii="Arial" w:hAnsi="Arial"/>
                <w:color w:val="000000"/>
                <w:sz w:val="16"/>
              </w:rPr>
            </w:pPr>
            <w:r>
              <w:rPr>
                <w:rFonts w:ascii="Arial" w:hAnsi="Arial"/>
                <w:color w:val="000000"/>
                <w:sz w:val="16"/>
              </w:rPr>
              <w:t xml:space="preserve">June 30, 2025</w:t>
            </w:r>
          </w:p>
        </w:tc>
      </w:tr>
      <w:tr>
        <w:trPr>
          <w:cantSplit/>
        </w:trPr>
        <w:tc>
          <w:tcPr>
            <w:tcW w:w="4160" w:type="dxa"/>
            <w:vAlign w:val="center"/>
          </w:tcPr>
          <w:p>
            <w:pPr>
              <w:spacing w:before="10" w:after="10" w:line="240" w:lineRule="auto"/>
              <w:jc w:val="left"/>
              <w:rPr>
                <w:rFonts w:ascii="Arial" w:hAnsi="Arial"/>
                <w:color w:val="000000"/>
                <w:sz w:val="16"/>
              </w:rPr>
            </w:pPr>
            <w:r>
              <w:rPr>
                <w:rFonts w:ascii="Arial" w:hAnsi="Arial"/>
                <w:color w:val="000000"/>
                <w:sz w:val="16"/>
              </w:rPr>
              <w:t xml:space="preserve">Report Date</w:t>
            </w:r>
          </w:p>
        </w:tc>
        <w:tc>
          <w:tcPr>
            <w:tcW w:w="5200" w:type="dxa"/>
            <w:vAlign w:val="center"/>
          </w:tcPr>
          <w:p>
            <w:pPr>
              <w:spacing w:before="10" w:after="10" w:line="240" w:lineRule="auto"/>
              <w:jc w:val="right"/>
              <w:rPr>
                <w:rFonts w:ascii="Arial" w:hAnsi="Arial"/>
                <w:color w:val="000000"/>
                <w:sz w:val="16"/>
              </w:rPr>
            </w:pPr>
            <w:r>
              <w:rPr>
                <w:rFonts w:ascii="Arial" w:hAnsi="Arial"/>
                <w:color w:val="000000"/>
                <w:sz w:val="16"/>
              </w:rPr>
              <w:t xml:space="preserve">August 10, 2026</w:t>
            </w:r>
          </w:p>
        </w:tc>
      </w:tr>
      <w:tr>
        <w:trPr>
          <w:cantSplit/>
        </w:trPr>
        <w:tc>
          <w:tcPr>
            <w:tcW w:w="4160" w:type="dxa"/>
            <w:vAlign w:val="center"/>
          </w:tcPr>
          <w:p>
            <w:pPr>
              <w:spacing w:before="10" w:after="10" w:line="240" w:lineRule="auto"/>
              <w:jc w:val="left"/>
              <w:rPr>
                <w:rFonts w:ascii="Arial" w:hAnsi="Arial"/>
                <w:color w:val="000000"/>
                <w:sz w:val="16"/>
              </w:rPr>
            </w:pPr>
            <w:r>
              <w:rPr>
                <w:rFonts w:ascii="Arial" w:hAnsi="Arial"/>
                <w:color w:val="000000"/>
                <w:sz w:val="16"/>
              </w:rPr>
              <w:t xml:space="preserve">Hearing Date</w:t>
            </w:r>
          </w:p>
        </w:tc>
        <w:tc>
          <w:tcPr>
            <w:tcW w:w="5200" w:type="dxa"/>
            <w:vAlign w:val="center"/>
          </w:tcPr>
          <w:p>
            <w:pPr>
              <w:spacing w:before="10" w:after="10" w:line="240" w:lineRule="auto"/>
              <w:jc w:val="right"/>
              <w:rPr>
                <w:rFonts w:ascii="Arial" w:hAnsi="Arial"/>
                <w:color w:val="000000"/>
                <w:sz w:val="16"/>
              </w:rPr>
            </w:pPr>
            <w:r>
              <w:rPr>
                <w:rFonts w:ascii="Arial" w:hAnsi="Arial"/>
                <w:color w:val="000000"/>
                <w:sz w:val="16"/>
              </w:rPr>
              <w:t xml:space="preserve">August 13, 2026</w:t>
            </w:r>
          </w:p>
        </w:tc>
      </w:tr>
      <w:tr>
        <w:trPr>
          <w:cantSplit/>
        </w:trPr>
        <w:tc>
          <w:tcPr>
            <w:tcW w:w="4160" w:type="dxa"/>
            <w:vAlign w:val="center"/>
          </w:tcPr>
          <w:p>
            <w:pPr>
              <w:spacing w:before="10" w:after="10" w:line="240" w:lineRule="auto"/>
              <w:jc w:val="left"/>
              <w:rPr>
                <w:rFonts w:ascii="Arial" w:hAnsi="Arial"/>
                <w:color w:val="000000"/>
                <w:sz w:val="16"/>
              </w:rPr>
            </w:pPr>
            <w:r>
              <w:rPr>
                <w:rFonts w:ascii="Arial" w:hAnsi="Arial"/>
                <w:color w:val="000000"/>
                <w:sz w:val="16"/>
              </w:rPr>
              <w:t xml:space="preserve">Property Type</w:t>
            </w:r>
          </w:p>
        </w:tc>
        <w:tc>
          <w:tcPr>
            <w:tcW w:w="5200" w:type="dxa"/>
            <w:vAlign w:val="center"/>
          </w:tcPr>
          <w:p>
            <w:pPr>
              <w:spacing w:before="10" w:after="10" w:line="240" w:lineRule="auto"/>
              <w:jc w:val="right"/>
              <w:rPr>
                <w:rFonts w:ascii="Arial" w:hAnsi="Arial"/>
                <w:color w:val="000000"/>
                <w:sz w:val="16"/>
              </w:rPr>
            </w:pPr>
            <w:r>
              <w:rPr>
                <w:rFonts w:ascii="Arial" w:hAnsi="Arial"/>
                <w:color w:val="000000"/>
                <w:sz w:val="16"/>
              </w:rPr>
              <w:t xml:space="preserve">Mega (Storage/Distribution) Warehouse</w:t>
            </w:r>
          </w:p>
        </w:tc>
      </w:tr>
      <w:tr>
        <w:trPr>
          <w:cantSplit/>
        </w:trPr>
        <w:tc>
          <w:tcPr>
            <w:tcW w:w="4160" w:type="dxa"/>
            <w:vAlign w:val="center"/>
          </w:tcPr>
          <w:p>
            <w:pPr>
              <w:spacing w:before="10" w:after="10" w:line="240" w:lineRule="auto"/>
              <w:jc w:val="left"/>
              <w:rPr>
                <w:rFonts w:ascii="Arial" w:hAnsi="Arial"/>
                <w:b/>
                <w:color w:val="000000"/>
                <w:sz w:val="16"/>
              </w:rPr>
            </w:pPr>
            <w:r>
              <w:rPr>
                <w:rFonts w:ascii="Arial" w:hAnsi="Arial"/>
                <w:b/>
                <w:color w:val="000000"/>
                <w:sz w:val="16"/>
              </w:rPr>
              <w:t xml:space="preserve">Property Size</w:t>
            </w:r>
          </w:p>
        </w:tc>
        <w:tc>
          <w:tcPr>
            <w:tcW w:w="5200" w:type="dxa"/>
            <w:vAlign w:val="center"/>
          </w:tcPr>
          <w:p>
            <w:pPr>
              <w:spacing w:before="10" w:after="10" w:line="240" w:lineRule="auto"/>
              <w:jc w:val="right"/>
              <w:rPr>
                <w:rFonts w:ascii="Arial" w:hAnsi="Arial"/>
                <w:color w:val="000000"/>
                <w:sz w:val="16"/>
              </w:rPr>
            </w:pPr>
            <w:r>
              <w:rPr>
                <w:rFonts w:ascii="Arial" w:hAnsi="Arial"/>
                <w:color w:val="000000"/>
                <w:sz w:val="16"/>
              </w:rPr>
              <w:t xml:space="preserve"/>
            </w:r>
          </w:p>
        </w:tc>
      </w:tr>
      <w:tr>
        <w:trPr>
          <w:cantSplit/>
        </w:trPr>
        <w:tc>
          <w:tcPr>
            <w:tcW w:w="4160" w:type="dxa"/>
            <w:vAlign w:val="center"/>
          </w:tcPr>
          <w:p>
            <w:pPr>
              <w:spacing w:before="10" w:after="10" w:line="240" w:lineRule="auto"/>
              <w:ind w:left="180"/>
              <w:jc w:val="left"/>
              <w:rPr>
                <w:rFonts w:ascii="Arial" w:hAnsi="Arial"/>
                <w:color w:val="000000"/>
                <w:sz w:val="16"/>
              </w:rPr>
            </w:pPr>
            <w:r>
              <w:rPr>
                <w:rFonts w:ascii="Arial" w:hAnsi="Arial"/>
                <w:color w:val="000000"/>
                <w:sz w:val="16"/>
              </w:rPr>
              <w:t xml:space="preserve">GBA</w:t>
            </w:r>
          </w:p>
        </w:tc>
        <w:tc>
          <w:tcPr>
            <w:tcW w:w="5200" w:type="dxa"/>
            <w:vAlign w:val="center"/>
          </w:tcPr>
          <w:p>
            <w:pPr>
              <w:spacing w:before="10" w:after="10" w:line="240" w:lineRule="auto"/>
              <w:jc w:val="right"/>
              <w:rPr>
                <w:rFonts w:ascii="Arial" w:hAnsi="Arial"/>
                <w:color w:val="000000"/>
                <w:sz w:val="16"/>
              </w:rPr>
            </w:pPr>
            <w:r>
              <w:rPr>
                <w:rFonts w:ascii="Arial" w:hAnsi="Arial"/>
                <w:color w:val="000000"/>
                <w:sz w:val="16"/>
              </w:rPr>
              <w:t xml:space="preserve">352,240</w:t>
            </w:r>
          </w:p>
        </w:tc>
      </w:tr>
      <w:tr>
        <w:trPr>
          <w:cantSplit/>
        </w:trPr>
        <w:tc>
          <w:tcPr>
            <w:tcW w:w="4160" w:type="dxa"/>
            <w:vAlign w:val="center"/>
          </w:tcPr>
          <w:p>
            <w:pPr>
              <w:spacing w:before="10" w:after="10" w:line="240" w:lineRule="auto"/>
              <w:jc w:val="left"/>
              <w:rPr>
                <w:rFonts w:ascii="Arial" w:hAnsi="Arial"/>
                <w:color w:val="000000"/>
                <w:sz w:val="16"/>
              </w:rPr>
            </w:pPr>
            <w:r>
              <w:rPr>
                <w:rFonts w:ascii="Arial" w:hAnsi="Arial"/>
                <w:color w:val="000000"/>
                <w:sz w:val="16"/>
              </w:rPr>
              <w:t xml:space="preserve">Number of Buildings</w:t>
            </w:r>
          </w:p>
        </w:tc>
        <w:tc>
          <w:tcPr>
            <w:tcW w:w="5200" w:type="dxa"/>
            <w:vAlign w:val="center"/>
          </w:tcPr>
          <w:p>
            <w:pPr>
              <w:spacing w:before="10" w:after="10" w:line="240" w:lineRule="auto"/>
              <w:jc w:val="right"/>
              <w:rPr>
                <w:rFonts w:ascii="Arial" w:hAnsi="Arial"/>
                <w:color w:val="000000"/>
                <w:sz w:val="16"/>
              </w:rPr>
            </w:pPr>
            <w:r>
              <w:rPr>
                <w:rFonts w:ascii="Arial" w:hAnsi="Arial"/>
                <w:color w:val="000000"/>
                <w:sz w:val="16"/>
              </w:rPr>
              <w:t xml:space="preserve">1</w:t>
            </w:r>
          </w:p>
        </w:tc>
      </w:tr>
      <w:tr>
        <w:trPr>
          <w:cantSplit/>
        </w:trPr>
        <w:tc>
          <w:tcPr>
            <w:tcW w:w="4160" w:type="dxa"/>
            <w:vAlign w:val="center"/>
          </w:tcPr>
          <w:p>
            <w:pPr>
              <w:spacing w:before="10" w:after="10" w:line="240" w:lineRule="auto"/>
              <w:jc w:val="left"/>
              <w:rPr>
                <w:rFonts w:ascii="Arial" w:hAnsi="Arial"/>
                <w:color w:val="000000"/>
                <w:sz w:val="16"/>
              </w:rPr>
            </w:pPr>
            <w:r>
              <w:rPr>
                <w:rFonts w:ascii="Arial" w:hAnsi="Arial"/>
                <w:color w:val="000000"/>
                <w:sz w:val="16"/>
              </w:rPr>
              <w:t xml:space="preserve">Year Built / Condition</w:t>
            </w:r>
          </w:p>
        </w:tc>
        <w:tc>
          <w:tcPr>
            <w:tcW w:w="5200" w:type="dxa"/>
            <w:vAlign w:val="center"/>
          </w:tcPr>
          <w:p>
            <w:pPr>
              <w:spacing w:before="10" w:after="10" w:line="240" w:lineRule="auto"/>
              <w:jc w:val="right"/>
              <w:rPr>
                <w:rFonts w:ascii="Arial" w:hAnsi="Arial"/>
                <w:color w:val="000000"/>
                <w:sz w:val="16"/>
              </w:rPr>
            </w:pPr>
            <w:r>
              <w:rPr>
                <w:rFonts w:ascii="Arial" w:hAnsi="Arial"/>
                <w:color w:val="000000"/>
                <w:sz w:val="16"/>
              </w:rPr>
              <w:t xml:space="preserve">2020 / Typical</w:t>
            </w:r>
          </w:p>
        </w:tc>
      </w:tr>
      <w:tr>
        <w:trPr>
          <w:cantSplit/>
        </w:trPr>
        <w:tc>
          <w:tcPr>
            <w:tcW w:w="4160" w:type="dxa"/>
            <w:vAlign w:val="center"/>
          </w:tcPr>
          <w:p>
            <w:pPr>
              <w:spacing w:before="10" w:after="10" w:line="240" w:lineRule="auto"/>
              <w:jc w:val="left"/>
              <w:rPr>
                <w:rFonts w:ascii="Arial" w:hAnsi="Arial"/>
                <w:color w:val="000000"/>
                <w:sz w:val="16"/>
              </w:rPr>
            </w:pPr>
            <w:r>
              <w:rPr>
                <w:rFonts w:ascii="Arial" w:hAnsi="Arial"/>
                <w:color w:val="000000"/>
                <w:sz w:val="16"/>
              </w:rPr>
              <w:t xml:space="preserve">Site Size (SF)</w:t>
            </w:r>
          </w:p>
        </w:tc>
        <w:tc>
          <w:tcPr>
            <w:tcW w:w="5200" w:type="dxa"/>
            <w:vAlign w:val="center"/>
          </w:tcPr>
          <w:p>
            <w:pPr>
              <w:spacing w:before="10" w:after="10" w:line="240" w:lineRule="auto"/>
              <w:jc w:val="right"/>
              <w:rPr>
                <w:rFonts w:ascii="Arial" w:hAnsi="Arial"/>
                <w:color w:val="000000"/>
                <w:sz w:val="16"/>
              </w:rPr>
            </w:pPr>
            <w:r>
              <w:rPr>
                <w:rFonts w:ascii="Arial" w:hAnsi="Arial"/>
                <w:color w:val="000000"/>
                <w:sz w:val="16"/>
              </w:rPr>
              <w:t xml:space="preserve">869,458</w:t>
            </w:r>
          </w:p>
        </w:tc>
      </w:tr>
      <w:tr>
        <w:trPr>
          <w:cantSplit/>
        </w:trPr>
        <w:tc>
          <w:tcPr>
            <w:tcW w:w="4160" w:type="dxa"/>
            <w:vAlign w:val="center"/>
          </w:tcPr>
          <w:p>
            <w:pPr>
              <w:spacing w:before="10" w:after="10" w:line="240" w:lineRule="auto"/>
              <w:jc w:val="left"/>
              <w:rPr>
                <w:rFonts w:ascii="Arial" w:hAnsi="Arial"/>
                <w:color w:val="000000"/>
                <w:sz w:val="16"/>
              </w:rPr>
            </w:pPr>
            <w:r>
              <w:rPr>
                <w:rFonts w:ascii="Arial" w:hAnsi="Arial"/>
                <w:color w:val="000000"/>
                <w:sz w:val="16"/>
              </w:rPr>
              <w:t xml:space="preserve">Property Rights Appraised</w:t>
            </w:r>
          </w:p>
        </w:tc>
        <w:tc>
          <w:tcPr>
            <w:tcW w:w="5200" w:type="dxa"/>
            <w:vAlign w:val="center"/>
          </w:tcPr>
          <w:p>
            <w:pPr>
              <w:spacing w:before="10" w:after="10" w:line="240" w:lineRule="auto"/>
              <w:jc w:val="right"/>
              <w:rPr>
                <w:rFonts w:ascii="Arial" w:hAnsi="Arial"/>
                <w:color w:val="000000"/>
                <w:sz w:val="16"/>
              </w:rPr>
            </w:pPr>
            <w:r>
              <w:rPr>
                <w:rFonts w:ascii="Arial" w:hAnsi="Arial"/>
                <w:color w:val="000000"/>
                <w:sz w:val="16"/>
              </w:rPr>
              <w:t xml:space="preserve">Fee Simple</w:t>
            </w:r>
          </w:p>
        </w:tc>
      </w:tr>
      <w:tr>
        <w:trPr>
          <w:cantSplit/>
        </w:trPr>
        <w:tc>
          <w:tcPr>
            <w:tcW w:w="4160" w:type="dxa"/>
            <w:vAlign w:val="center"/>
          </w:tcPr>
          <w:p>
            <w:pPr>
              <w:spacing w:before="10" w:after="10" w:line="240" w:lineRule="auto"/>
              <w:jc w:val="left"/>
              <w:rPr>
                <w:rFonts w:ascii="Arial" w:hAnsi="Arial"/>
                <w:color w:val="000000"/>
                <w:sz w:val="16"/>
              </w:rPr>
            </w:pPr>
            <w:r>
              <w:rPr>
                <w:rFonts w:ascii="Arial" w:hAnsi="Arial"/>
                <w:color w:val="000000"/>
                <w:sz w:val="16"/>
              </w:rPr>
              <w:t xml:space="preserve">Assumed Occupancy</w:t>
            </w:r>
          </w:p>
        </w:tc>
        <w:tc>
          <w:tcPr>
            <w:tcW w:w="5200" w:type="dxa"/>
            <w:vAlign w:val="center"/>
          </w:tcPr>
          <w:p>
            <w:pPr>
              <w:spacing w:before="10" w:after="10" w:line="240" w:lineRule="auto"/>
              <w:jc w:val="right"/>
              <w:rPr>
                <w:rFonts w:ascii="Arial" w:hAnsi="Arial"/>
                <w:color w:val="000000"/>
                <w:sz w:val="16"/>
              </w:rPr>
            </w:pPr>
            <w:r>
              <w:rPr>
                <w:rFonts w:ascii="Arial" w:hAnsi="Arial"/>
                <w:color w:val="000000"/>
                <w:sz w:val="16"/>
              </w:rPr>
              <w:t xml:space="preserve">95.0%</w:t>
            </w:r>
          </w:p>
        </w:tc>
      </w:tr>
    </w:tbl>
    <w:p w14:paraId="040087B0" w14:textId="77777777" w:rsidR="007F2A9E" w:rsidRDefault="007F2A9E">
      <w:pPr>
        <w:rPr>
          <w:b/>
          <w:bCs/>
          <w:sz w:val="32"/>
          <w:szCs w:val="32"/>
        </w:rPr>
      </w:pPr>
    </w:p>
    <w:p/>
    <w:tbl>
      <w:tblPr>
        <w:tblW w:w="7400" w:type="dxa"/>
        <w:jc w:val="center"/>
        <w:tblBorders>
          <w:top w:val="single" w:sz="4" w:color="BFBFBF"/>
          <w:left w:val="none" w:sz="0" w:color="auto"/>
          <w:bottom w:val="single" w:sz="4" w:color="BFBFBF"/>
          <w:right w:val="none" w:sz="0" w:color="auto"/>
          <w:insideH w:val="single" w:sz="4" w:color="D9D9D9"/>
          <w:insideV w:val="none" w:sz="0" w:color="auto"/>
        </w:tblBorders>
        <w:tblLayout w:type="fixed"/>
        <w:tblCellMar>
          <w:top w:w="0" w:type="dxa"/>
          <w:left w:w="72" w:type="dxa"/>
          <w:bottom w:w="0" w:type="dxa"/>
          <w:right w:w="72" w:type="dxa"/>
        </w:tblCellMar>
      </w:tblPr>
      <w:tblGrid>
        <w:gridCol w:w="3600"/>
        <w:gridCol w:w="1900"/>
        <w:gridCol w:w="1900"/>
      </w:tblGrid>
      <w:tr>
        <w:trPr>
          <w:cantSplit/>
        </w:trPr>
        <w:tc>
          <w:tcPr>
            <w:tcW w:w="7400" w:type="dxa"/>
            <w:gridSpan w:val="3"/>
            <w:shd w:val="clear" w:color="auto" w:fill="1E5631"/>
            <w:vAlign w:val="center"/>
          </w:tcPr>
          <w:p>
            <w:pPr>
              <w:spacing w:before="10" w:after="10" w:line="240" w:lineRule="auto"/>
              <w:jc w:val="center"/>
              <w:rPr>
                <w:rFonts w:ascii="Arial" w:hAnsi="Arial"/>
                <w:b/>
                <w:color w:val="FFFFFF"/>
                <w:sz w:val="18"/>
              </w:rPr>
            </w:pPr>
            <w:r>
              <w:rPr>
                <w:rFonts w:ascii="Arial" w:hAnsi="Arial"/>
                <w:b/>
                <w:color w:val="FFFFFF"/>
                <w:sz w:val="18"/>
              </w:rPr>
              <w:t xml:space="preserve">PETITION SCENARIO</w:t>
            </w:r>
          </w:p>
        </w:tc>
      </w:tr>
      <w:tr>
        <w:trPr>
          <w:cantSplit/>
        </w:trPr>
        <w:tc>
          <w:tcPr>
            <w:tcW w:w="3600" w:type="dxa"/>
            <w:shd w:val="clear" w:color="auto" w:fill="808080"/>
            <w:vAlign w:val="center"/>
          </w:tcPr>
          <w:p>
            <w:pPr>
              <w:spacing w:before="10" w:after="10" w:line="240" w:lineRule="auto"/>
              <w:jc w:val="left"/>
              <w:rPr>
                <w:rFonts w:ascii="Arial" w:hAnsi="Arial"/>
                <w:b/>
                <w:color w:val="FFFFFF"/>
                <w:sz w:val="16"/>
              </w:rPr>
            </w:pPr>
            <w:r>
              <w:rPr>
                <w:rFonts w:ascii="Arial" w:hAnsi="Arial"/>
                <w:b/>
                <w:color w:val="FFFFFF"/>
                <w:sz w:val="16"/>
              </w:rPr>
              <w:t xml:space="preserve"/>
            </w:r>
          </w:p>
        </w:tc>
        <w:tc>
          <w:tcPr>
            <w:tcW w:w="1900" w:type="dxa"/>
            <w:shd w:val="clear" w:color="auto" w:fill="808080"/>
            <w:vAlign w:val="center"/>
          </w:tcPr>
          <w:p>
            <w:pPr>
              <w:spacing w:before="10" w:after="10" w:line="240" w:lineRule="auto"/>
              <w:jc w:val="right"/>
              <w:rPr>
                <w:rFonts w:ascii="Arial" w:hAnsi="Arial"/>
                <w:b/>
                <w:color w:val="FFFFFF"/>
                <w:sz w:val="16"/>
              </w:rPr>
            </w:pPr>
            <w:r>
              <w:rPr>
                <w:rFonts w:ascii="Arial" w:hAnsi="Arial"/>
                <w:b/>
                <w:color w:val="FFFFFF"/>
                <w:sz w:val="16"/>
              </w:rPr>
              <w:t xml:space="preserve">$</w:t>
            </w:r>
          </w:p>
        </w:tc>
        <w:tc>
          <w:tcPr>
            <w:tcW w:w="1900" w:type="dxa"/>
            <w:shd w:val="clear" w:color="auto" w:fill="808080"/>
            <w:vAlign w:val="center"/>
          </w:tcPr>
          <w:p>
            <w:pPr>
              <w:spacing w:before="10" w:after="10" w:line="240" w:lineRule="auto"/>
              <w:jc w:val="right"/>
              <w:rPr>
                <w:rFonts w:ascii="Arial" w:hAnsi="Arial"/>
                <w:b/>
                <w:color w:val="FFFFFF"/>
                <w:sz w:val="16"/>
              </w:rPr>
            </w:pPr>
            <w:r>
              <w:rPr>
                <w:rFonts w:ascii="Arial" w:hAnsi="Arial"/>
                <w:b/>
                <w:color w:val="FFFFFF"/>
                <w:sz w:val="16"/>
              </w:rPr>
              <w:t xml:space="preserve">$/SF</w:t>
            </w:r>
          </w:p>
        </w:tc>
      </w:tr>
      <w:tr>
        <w:trPr>
          <w:cantSplit/>
        </w:trPr>
        <w:tc>
          <w:tcPr>
            <w:tcW w:w="360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Assessor's Assigned Value</w:t>
            </w:r>
          </w:p>
        </w:tc>
        <w:tc>
          <w:tcPr>
            <w:tcW w:w="19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$37,087,937</w:t>
            </w:r>
          </w:p>
        </w:tc>
        <w:tc>
          <w:tcPr>
            <w:tcW w:w="19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$105.29</w:t>
            </w:r>
          </w:p>
        </w:tc>
      </w:tr>
      <w:tr>
        <w:trPr>
          <w:cantSplit/>
        </w:trPr>
        <w:tc>
          <w:tcPr>
            <w:tcW w:w="360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Petitioner's Requested Value</w:t>
            </w:r>
          </w:p>
        </w:tc>
        <w:tc>
          <w:tcPr>
            <w:tcW w:w="19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$35,225,000</w:t>
            </w:r>
          </w:p>
        </w:tc>
        <w:tc>
          <w:tcPr>
            <w:tcW w:w="19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$100.00</w:t>
            </w:r>
          </w:p>
        </w:tc>
      </w:tr>
    </w:tbl>
    <w:p w14:paraId="1611A88F" w14:textId="673503BC" w:rsidR="00580428" w:rsidRDefault="00580428">
      <w:pPr>
        <w:rPr>
          <w:sz w:val="32"/>
          <w:szCs w:val="32"/>
        </w:rPr>
      </w:pPr>
    </w:p>
    <w:p w14:paraId="3316485A" w14:textId="007073D0" w:rsidR="007541CA" w:rsidRDefault="007541CA" w:rsidP="007541CA">
      <w:pPr>
        <w:jc w:val="center"/>
        <w:rPr>
          <w:sz w:val="32"/>
          <w:szCs w:val="32"/>
        </w:rPr>
      </w:pPr>
    </w:p>
    <w:p w14:paraId="3DDD79FE" w14:textId="4B09C493" w:rsidR="00560F03" w:rsidRDefault="00560F03">
      <w:pPr>
        <w:rPr>
          <w:sz w:val="32"/>
          <w:szCs w:val="32"/>
        </w:rPr>
      </w:pPr>
    </w:p>
    <w:p w14:paraId="2F71F690" w14:textId="77777777" w:rsidR="008524CB" w:rsidRDefault="008524CB" w:rsidP="0023632C">
      <w:pPr>
        <w:rPr>
          <w:sz w:val="32"/>
          <w:szCs w:val="32"/>
        </w:rPr>
      </w:pPr>
    </w:p>
    <w:p w14:paraId="2F16F5E3" w14:textId="50C70ECC" w:rsidR="0023632C" w:rsidRDefault="0023632C" w:rsidP="0023632C">
      <w:pPr>
        <w:jc w:val="center"/>
        <w:rPr>
          <w:sz w:val="32"/>
          <w:szCs w:val="32"/>
        </w:rPr>
        <w:sectPr w:rsidR="0023632C">
          <w:headerReference w:type="default" r:id="rId11"/>
          <w:footerReference w:type="default" r:id="rId12"/>
          <w:pgSz w:w="12240" w:h="15840"/>
          <w:pgMar w:top="1440" w:right="1440" w:bottom="1440" w:left="1440" w:header="720" w:footer="720" w:gutter="0"/>
          <w:cols w:space="720"/>
          <w:docGrid w:linePitch="360"/>
        </w:sectPr>
      </w:pPr>
    </w:p>
    <w:p w14:paraId="6F919ED2" w14:textId="13A9655B" w:rsidR="00C22D9C" w:rsidRPr="00670825" w:rsidRDefault="00C22D9C" w:rsidP="00C22D9C">
      <w:pPr>
        <w:rPr>
          <w:b/>
          <w:bCs/>
          <w:sz w:val="32"/>
          <w:szCs w:val="32"/>
        </w:rPr>
      </w:pPr>
      <w:r>
        <w:rPr>
          <w:b/>
          <w:bCs/>
          <w:sz w:val="32"/>
          <w:szCs w:val="32"/>
        </w:rPr>
        <w:lastRenderedPageBreak/>
        <w:t xml:space="preserve">Cost </w:t>
      </w:r>
      <w:r w:rsidRPr="00670825">
        <w:rPr>
          <w:b/>
          <w:bCs/>
          <w:sz w:val="32"/>
          <w:szCs w:val="32"/>
        </w:rPr>
        <w:t xml:space="preserve">Approach </w:t>
      </w:r>
    </w:p>
    <w:p w14:paraId="72230C3B" w14:textId="77777777" w:rsidR="00C063D0" w:rsidRPr="00A32ACD" w:rsidRDefault="00C063D0" w:rsidP="00C063D0">
      <w:pPr>
        <w:keepNext/>
        <w:keepLines/>
        <w:spacing w:before="40" w:after="0"/>
        <w:jc w:val="both"/>
        <w:outlineLvl w:val="1"/>
        <w:rPr>
          <w:rFonts w:cstheme="majorBidi"/>
          <w:b/>
          <w:sz w:val="26"/>
          <w:szCs w:val="26"/>
        </w:rPr>
      </w:pPr>
      <w:bookmarkStart w:id="0" w:name="_Toc158973069"/>
      <w:r w:rsidRPr="00A32ACD">
        <w:rPr>
          <w:rFonts w:cstheme="majorBidi"/>
          <w:b/>
          <w:sz w:val="26"/>
          <w:szCs w:val="26"/>
        </w:rPr>
        <w:t>Methodology</w:t>
      </w:r>
      <w:bookmarkEnd w:id="0"/>
      <w:r w:rsidRPr="00A32ACD">
        <w:rPr>
          <w:rFonts w:cstheme="majorBidi"/>
          <w:b/>
          <w:sz w:val="26"/>
          <w:szCs w:val="26"/>
        </w:rPr>
        <w:t xml:space="preserve"> </w:t>
      </w:r>
    </w:p>
    <w:p w14:paraId="45991E5C" w14:textId="77777777" w:rsidR="00C063D0" w:rsidRPr="00A32ACD" w:rsidRDefault="00C063D0" w:rsidP="00C063D0">
      <w:pPr>
        <w:jc w:val="both"/>
      </w:pPr>
      <w:r w:rsidRPr="00A32ACD">
        <w:t xml:space="preserve">The Cost Approach is based on the principle of substitution, which states that no prudent person will pay more for a property than the cost of acquiring a site and constructing, without undue delay, an equally desirable and useful property. </w:t>
      </w:r>
    </w:p>
    <w:p w14:paraId="1E2E819F" w14:textId="77777777" w:rsidR="00C063D0" w:rsidRPr="00A32ACD" w:rsidRDefault="00C063D0" w:rsidP="00C063D0">
      <w:pPr>
        <w:keepNext/>
        <w:keepLines/>
        <w:spacing w:before="40" w:after="0"/>
        <w:jc w:val="both"/>
        <w:outlineLvl w:val="1"/>
        <w:rPr>
          <w:rFonts w:cstheme="majorBidi"/>
          <w:b/>
          <w:sz w:val="26"/>
          <w:szCs w:val="26"/>
        </w:rPr>
      </w:pPr>
      <w:bookmarkStart w:id="1" w:name="_Toc158973070"/>
      <w:proofErr w:type="gramStart"/>
      <w:r w:rsidRPr="00A32ACD">
        <w:rPr>
          <w:rFonts w:cstheme="majorBidi"/>
          <w:b/>
          <w:sz w:val="26"/>
          <w:szCs w:val="26"/>
        </w:rPr>
        <w:t>Replacement Cost New</w:t>
      </w:r>
      <w:bookmarkEnd w:id="1"/>
      <w:proofErr w:type="gramEnd"/>
      <w:r w:rsidRPr="00A32ACD">
        <w:rPr>
          <w:rFonts w:cstheme="majorBidi"/>
          <w:b/>
          <w:sz w:val="26"/>
          <w:szCs w:val="26"/>
        </w:rPr>
        <w:t xml:space="preserve"> </w:t>
      </w:r>
    </w:p>
    <w:p w14:paraId="792F6E33" w14:textId="77777777" w:rsidR="00C063D0" w:rsidRPr="00A32ACD" w:rsidRDefault="00C063D0" w:rsidP="00C063D0">
      <w:pPr>
        <w:jc w:val="both"/>
      </w:pPr>
      <w:r w:rsidRPr="00A32ACD">
        <w:t xml:space="preserve">The estimate of replacement cost new (RCN) is based on the Calculator Section in Marshall Valuation Service (MVS), a nationally recognized publication containing construction costs for all types of building and site improvements. Base costs are revised monthly and adjustment factors are provided to reflect regional and local cost variations. </w:t>
      </w:r>
    </w:p>
    <w:p w14:paraId="2BA398A2" w14:textId="77777777" w:rsidR="00C063D0" w:rsidRPr="00A32ACD" w:rsidRDefault="00C063D0" w:rsidP="00C063D0">
      <w:pPr>
        <w:keepNext/>
        <w:keepLines/>
        <w:spacing w:before="40" w:after="0"/>
        <w:jc w:val="both"/>
        <w:outlineLvl w:val="1"/>
        <w:rPr>
          <w:rFonts w:cstheme="majorBidi"/>
          <w:b/>
          <w:sz w:val="26"/>
          <w:szCs w:val="26"/>
        </w:rPr>
      </w:pPr>
      <w:bookmarkStart w:id="2" w:name="_Toc158973071"/>
      <w:r w:rsidRPr="00A32ACD">
        <w:rPr>
          <w:rFonts w:cstheme="majorBidi"/>
          <w:b/>
          <w:sz w:val="26"/>
          <w:szCs w:val="26"/>
        </w:rPr>
        <w:t>Base building Costs</w:t>
      </w:r>
      <w:bookmarkEnd w:id="2"/>
      <w:r w:rsidRPr="00A32ACD">
        <w:rPr>
          <w:rFonts w:cstheme="majorBidi"/>
          <w:b/>
          <w:sz w:val="26"/>
          <w:szCs w:val="26"/>
        </w:rPr>
        <w:t xml:space="preserve"> </w:t>
      </w:r>
    </w:p>
    <w:p w14:paraId="3E234D4D" w14:textId="77777777" w:rsidR="00C063D0" w:rsidRPr="00A32ACD" w:rsidRDefault="00C063D0" w:rsidP="00C063D0">
      <w:pPr>
        <w:jc w:val="both"/>
      </w:pPr>
      <w:r w:rsidRPr="00A32ACD">
        <w:t>The published costs include all direct costs for the base structure, and the following indirect costs:</w:t>
      </w:r>
    </w:p>
    <w:p w14:paraId="6B5963A1" w14:textId="77777777" w:rsidR="00C063D0" w:rsidRPr="00A32ACD" w:rsidRDefault="00C063D0" w:rsidP="00C063D0">
      <w:pPr>
        <w:jc w:val="both"/>
      </w:pPr>
      <w:r w:rsidRPr="00A32ACD">
        <w:t>•</w:t>
      </w:r>
      <w:r w:rsidRPr="00A32ACD">
        <w:tab/>
        <w:t>Plans, specifications, and building permits, including engineer’s and architect’s fees;</w:t>
      </w:r>
    </w:p>
    <w:p w14:paraId="5F4FFD77" w14:textId="77777777" w:rsidR="00C063D0" w:rsidRPr="00A32ACD" w:rsidRDefault="00C063D0" w:rsidP="00C063D0">
      <w:pPr>
        <w:jc w:val="both"/>
      </w:pPr>
      <w:r w:rsidRPr="00A32ACD">
        <w:t>•</w:t>
      </w:r>
      <w:r w:rsidRPr="00A32ACD">
        <w:tab/>
        <w:t xml:space="preserve">Interest on construction </w:t>
      </w:r>
      <w:proofErr w:type="gramStart"/>
      <w:r w:rsidRPr="00A32ACD">
        <w:t>loan</w:t>
      </w:r>
      <w:proofErr w:type="gramEnd"/>
      <w:r w:rsidRPr="00A32ACD">
        <w:t xml:space="preserve"> during the construction period;</w:t>
      </w:r>
    </w:p>
    <w:p w14:paraId="1ABBA050" w14:textId="77777777" w:rsidR="00C063D0" w:rsidRPr="00A32ACD" w:rsidRDefault="00C063D0" w:rsidP="00C063D0">
      <w:pPr>
        <w:jc w:val="both"/>
      </w:pPr>
      <w:r w:rsidRPr="00A32ACD">
        <w:t>•</w:t>
      </w:r>
      <w:r w:rsidRPr="00A32ACD">
        <w:tab/>
        <w:t>Sales tax on materials; and</w:t>
      </w:r>
    </w:p>
    <w:p w14:paraId="2B01EDFD" w14:textId="77777777" w:rsidR="00C063D0" w:rsidRPr="00A32ACD" w:rsidRDefault="00C063D0" w:rsidP="00C063D0">
      <w:pPr>
        <w:jc w:val="both"/>
      </w:pPr>
      <w:r w:rsidRPr="00A32ACD">
        <w:t>•</w:t>
      </w:r>
      <w:r w:rsidRPr="00A32ACD">
        <w:tab/>
        <w:t>Contractor’s overhead and profit, including worker’s compensation, fire and liability insurance, unemployment insurance, etc.</w:t>
      </w:r>
    </w:p>
    <w:p w14:paraId="0413BCFC" w14:textId="26BCA3AB" w:rsidR="00C063D0" w:rsidRPr="00A32ACD" w:rsidRDefault="00C063D0" w:rsidP="00C063D0">
      <w:pPr>
        <w:jc w:val="both"/>
      </w:pPr>
      <w:r w:rsidRPr="00A32ACD">
        <w:t>These base building costs, adjusted for any unique building characteristics and cost multipliers, are presented in the cost summary table at the end of this section.</w:t>
      </w:r>
      <w:r w:rsidR="00E3622D">
        <w:t xml:space="preserve">  The MVS does not include developer’s profit or entrepreneurial profit, which are an addition as shown </w:t>
      </w:r>
      <w:proofErr w:type="gramStart"/>
      <w:r w:rsidR="00E3622D">
        <w:t>on</w:t>
      </w:r>
      <w:proofErr w:type="gramEnd"/>
      <w:r w:rsidR="00E3622D">
        <w:t xml:space="preserve"> the summary of the Cost Approach.</w:t>
      </w:r>
    </w:p>
    <w:p w14:paraId="0445BA43" w14:textId="77777777" w:rsidR="00C063D0" w:rsidRPr="00A32ACD" w:rsidRDefault="00C063D0" w:rsidP="00C063D0">
      <w:pPr>
        <w:keepNext/>
        <w:keepLines/>
        <w:spacing w:before="40" w:after="0"/>
        <w:jc w:val="both"/>
        <w:outlineLvl w:val="1"/>
        <w:rPr>
          <w:rFonts w:cstheme="majorBidi"/>
          <w:b/>
          <w:sz w:val="26"/>
          <w:szCs w:val="26"/>
        </w:rPr>
      </w:pPr>
      <w:bookmarkStart w:id="3" w:name="_Toc158973072"/>
      <w:r w:rsidRPr="00A32ACD">
        <w:rPr>
          <w:rFonts w:cstheme="majorBidi"/>
          <w:b/>
          <w:sz w:val="26"/>
          <w:szCs w:val="26"/>
        </w:rPr>
        <w:t>Site Improvement Costs</w:t>
      </w:r>
      <w:bookmarkEnd w:id="3"/>
      <w:r w:rsidRPr="00A32ACD">
        <w:rPr>
          <w:rFonts w:cstheme="majorBidi"/>
          <w:b/>
          <w:sz w:val="26"/>
          <w:szCs w:val="26"/>
        </w:rPr>
        <w:t xml:space="preserve"> </w:t>
      </w:r>
    </w:p>
    <w:p w14:paraId="6FB5F107" w14:textId="77777777" w:rsidR="00E3622D" w:rsidRDefault="00C063D0" w:rsidP="00C063D0">
      <w:pPr>
        <w:jc w:val="both"/>
      </w:pPr>
      <w:r w:rsidRPr="00A32ACD">
        <w:t xml:space="preserve">Site improvements include the paving, landscaping, signage, lighting, and other miscellaneous items. The subject has site improvements that are typical of industrial distribution warehouse properties in the market area, including approximately 275,000 square feet of concrete truck court and paving. These costs are detailed in the table below.</w:t>
      </w:r>
      <w:proofErr w:type="gramStart"/>
      <w:proofErr w:type="gramEnd"/>
      <w:proofErr w:type="gramStart"/>
      <w:proofErr w:type="gramEnd"/>
      <w:proofErr w:type="gramStart"/>
      <w:proofErr w:type="gramEnd"/>
    </w:p>
    <w:p w14:paraId="58BCB535" w14:textId="77777777" w:rsidR="00E3622D" w:rsidRDefault="00E3622D" w:rsidP="00C063D0">
      <w:pPr>
        <w:jc w:val="both"/>
      </w:pPr>
    </w:p>
    <w:p w14:paraId="6FB5F107" w14:textId="77777777" w:rsidR="00E3622D" w:rsidRDefault="00C063D0" w:rsidP="00C063D0">
      <w:pPr>
        <w:jc w:val="both"/>
      </w:pPr>
      <w:r w:rsidRPr="00A32ACD">
        <w:t xml:space="preserve">The subject improvements were constructed in 2020, giving an effective age of 5 years against the 45-year typical life expectancy published by Marshall Valuation Service for a Class C, average-quality building of this occupancy. Accrued depreciation at that age can be taken directly from the published percent-good tables without undue reliance on appraiser judgment, so the Cost Approach was developed for this assignment and is reported below.</w:t>
      </w:r>
    </w:p>
    <w:p w14:paraId="0445BA43" w14:textId="77777777" w:rsidR="00C063D0" w:rsidRPr="00A32ACD" w:rsidRDefault="00C063D0" w:rsidP="00C063D0">
      <w:pPr>
        <w:keepNext/>
        <w:keepLines/>
        <w:spacing w:before="40" w:after="0"/>
        <w:jc w:val="both"/>
        <w:outlineLvl w:val="1"/>
        <w:rPr>
          <w:rFonts w:cstheme="majorBidi"/>
          <w:b/>
          <w:sz w:val="26"/>
          <w:szCs w:val="26"/>
        </w:rPr>
      </w:pPr>
      <w:r w:rsidRPr="00A32ACD">
        <w:rPr>
          <w:rFonts w:cstheme="majorBidi"/>
          <w:b/>
          <w:sz w:val="26"/>
          <w:szCs w:val="26"/>
        </w:rPr>
        <w:t xml:space="preserve">Land Value</w:t>
      </w:r>
    </w:p>
    <w:p w14:paraId="6FB5F107" w14:textId="77777777" w:rsidR="00E3622D" w:rsidRDefault="00C063D0" w:rsidP="00C063D0">
      <w:pPr>
        <w:jc w:val="both"/>
      </w:pPr>
      <w:r w:rsidRPr="00A32ACD">
        <w:t xml:space="preserve">The site was valued as though vacant and available for its highest and best use using 4 confirmed sales of unimproved industrial and business-park land within the subject's competitive market area. The sales closed between November 2021 and March 2024 and range from 10.00 to 35.60 acres, compared with the subject's 19.96 acres. Unadjusted prices run from $175,000 to $435,741 per acre. All of the sales conveyed the fee simple estate on market-based financing with no atypical terms, expenditures after sale, or measurable change in market conditions over the holding period, so no quantitative adjustments were applied. On a qualitative basis the sales are comparable to the subject in location, zoning, utility, shape, topography and available municipal utilities. Weighing the subject's mid-range size and interstate frontage against the smaller, higher-priced and larger, lower-priced sales, a value of $250,000 per acre is concluded, indicating a land value of $5,000,000 rounded ($5.75 per square foot of land area).</w:t>
      </w:r>
    </w:p>
    <w:tbl>
      <w:tblPr>
        <w:tblW w:w="9360" w:type="dxa"/>
        <w:jc w:val="center"/>
        <w:tblBorders>
          <w:top w:val="single" w:sz="4" w:color="BFBFBF"/>
          <w:left w:val="none" w:sz="0" w:color="auto"/>
          <w:bottom w:val="single" w:sz="4" w:color="BFBFBF"/>
          <w:right w:val="none" w:sz="0" w:color="auto"/>
          <w:insideH w:val="single" w:sz="4" w:color="D9D9D9"/>
          <w:insideV w:val="none" w:sz="0" w:color="auto"/>
        </w:tblBorders>
        <w:tblLayout w:type="fixed"/>
        <w:tblCellMar>
          <w:top w:w="0" w:type="dxa"/>
          <w:left w:w="72" w:type="dxa"/>
          <w:bottom w:w="0" w:type="dxa"/>
          <w:right w:w="72" w:type="dxa"/>
        </w:tblCellMar>
      </w:tblPr>
      <w:tblGrid>
        <w:gridCol w:w="1180"/>
        <w:gridCol w:w="2260"/>
        <w:gridCol w:w="1420"/>
        <w:gridCol w:w="860"/>
        <w:gridCol w:w="860"/>
        <w:gridCol w:w="1440"/>
        <w:gridCol w:w="1340"/>
      </w:tblGrid>
      <w:tr>
        <w:trPr>
          <w:cantSplit/>
        </w:trPr>
        <w:tc>
          <w:tcPr>
            <w:tcW w:w="9360" w:type="dxa"/>
            <w:gridSpan w:val="7"/>
            <w:shd w:val="clear" w:color="auto" w:fill="1E5631"/>
            <w:vAlign w:val="center"/>
          </w:tcPr>
          <w:p>
            <w:pPr>
              <w:spacing w:before="10" w:after="10" w:line="240" w:lineRule="auto"/>
              <w:jc w:val="center"/>
              <w:rPr>
                <w:rFonts w:ascii="Arial" w:hAnsi="Arial"/>
                <w:b/>
                <w:color w:val="FFFFFF"/>
                <w:sz w:val="18"/>
              </w:rPr>
            </w:pPr>
            <w:r>
              <w:rPr>
                <w:rFonts w:ascii="Arial" w:hAnsi="Arial"/>
                <w:b/>
                <w:color w:val="FFFFFF"/>
                <w:sz w:val="18"/>
              </w:rPr>
              <w:t xml:space="preserve">COMPARABLE LAND SALE SUMMARY</w:t>
            </w:r>
          </w:p>
        </w:tc>
      </w:tr>
      <w:tr>
        <w:trPr>
          <w:cantSplit/>
        </w:trPr>
        <w:tc>
          <w:tcPr>
            <w:tcW w:w="1180" w:type="dxa"/>
            <w:shd w:val="clear" w:color="auto" w:fill="808080"/>
            <w:vAlign w:val="center"/>
          </w:tcPr>
          <w:p>
            <w:pPr>
              <w:spacing w:before="10" w:after="10" w:line="240" w:lineRule="auto"/>
              <w:jc w:val="left"/>
              <w:rPr>
                <w:rFonts w:ascii="Arial" w:hAnsi="Arial"/>
                <w:b/>
                <w:color w:val="FFFFFF"/>
                <w:sz w:val="16"/>
              </w:rPr>
            </w:pPr>
            <w:r>
              <w:rPr>
                <w:rFonts w:ascii="Arial" w:hAnsi="Arial"/>
                <w:b/>
                <w:color w:val="FFFFFF"/>
                <w:sz w:val="16"/>
              </w:rPr>
              <w:t xml:space="preserve">Comparable</w:t>
            </w:r>
          </w:p>
        </w:tc>
        <w:tc>
          <w:tcPr>
            <w:tcW w:w="2260" w:type="dxa"/>
            <w:shd w:val="clear" w:color="auto" w:fill="808080"/>
            <w:vAlign w:val="center"/>
          </w:tcPr>
          <w:p>
            <w:pPr>
              <w:spacing w:before="10" w:after="10" w:line="240" w:lineRule="auto"/>
              <w:jc w:val="left"/>
              <w:rPr>
                <w:rFonts w:ascii="Arial" w:hAnsi="Arial"/>
                <w:b/>
                <w:color w:val="FFFFFF"/>
                <w:sz w:val="16"/>
              </w:rPr>
            </w:pPr>
            <w:r>
              <w:rPr>
                <w:rFonts w:ascii="Arial" w:hAnsi="Arial"/>
                <w:b/>
                <w:color w:val="FFFFFF"/>
                <w:sz w:val="16"/>
              </w:rPr>
              <w:t xml:space="preserve">Address</w:t>
            </w:r>
          </w:p>
        </w:tc>
        <w:tc>
          <w:tcPr>
            <w:tcW w:w="1420" w:type="dxa"/>
            <w:shd w:val="clear" w:color="auto" w:fill="808080"/>
            <w:vAlign w:val="center"/>
          </w:tcPr>
          <w:p>
            <w:pPr>
              <w:spacing w:before="10" w:after="10" w:line="240" w:lineRule="auto"/>
              <w:jc w:val="left"/>
              <w:rPr>
                <w:rFonts w:ascii="Arial" w:hAnsi="Arial"/>
                <w:b/>
                <w:color w:val="FFFFFF"/>
                <w:sz w:val="16"/>
              </w:rPr>
            </w:pPr>
            <w:r>
              <w:rPr>
                <w:rFonts w:ascii="Arial" w:hAnsi="Arial"/>
                <w:b/>
                <w:color w:val="FFFFFF"/>
                <w:sz w:val="16"/>
              </w:rPr>
              <w:t xml:space="preserve">City</w:t>
            </w:r>
          </w:p>
        </w:tc>
        <w:tc>
          <w:tcPr>
            <w:tcW w:w="860" w:type="dxa"/>
            <w:shd w:val="clear" w:color="auto" w:fill="808080"/>
            <w:vAlign w:val="center"/>
          </w:tcPr>
          <w:p>
            <w:pPr>
              <w:spacing w:before="10" w:after="10" w:line="240" w:lineRule="auto"/>
              <w:jc w:val="right"/>
              <w:rPr>
                <w:rFonts w:ascii="Arial" w:hAnsi="Arial"/>
                <w:b/>
                <w:color w:val="FFFFFF"/>
                <w:sz w:val="16"/>
              </w:rPr>
            </w:pPr>
            <w:r>
              <w:rPr>
                <w:rFonts w:ascii="Arial" w:hAnsi="Arial"/>
                <w:b/>
                <w:color w:val="FFFFFF"/>
                <w:sz w:val="16"/>
              </w:rPr>
              <w:t xml:space="preserve">Sale Date</w:t>
            </w:r>
          </w:p>
        </w:tc>
        <w:tc>
          <w:tcPr>
            <w:tcW w:w="860" w:type="dxa"/>
            <w:shd w:val="clear" w:color="auto" w:fill="808080"/>
            <w:vAlign w:val="center"/>
          </w:tcPr>
          <w:p>
            <w:pPr>
              <w:spacing w:before="10" w:after="10" w:line="240" w:lineRule="auto"/>
              <w:jc w:val="right"/>
              <w:rPr>
                <w:rFonts w:ascii="Arial" w:hAnsi="Arial"/>
                <w:b/>
                <w:color w:val="FFFFFF"/>
                <w:sz w:val="16"/>
              </w:rPr>
            </w:pPr>
            <w:r>
              <w:rPr>
                <w:rFonts w:ascii="Arial" w:hAnsi="Arial"/>
                <w:b/>
                <w:color w:val="FFFFFF"/>
                <w:sz w:val="16"/>
              </w:rPr>
              <w:t xml:space="preserve">Site (AC)</w:t>
            </w:r>
          </w:p>
        </w:tc>
        <w:tc>
          <w:tcPr>
            <w:tcW w:w="1440" w:type="dxa"/>
            <w:shd w:val="clear" w:color="auto" w:fill="808080"/>
            <w:vAlign w:val="center"/>
          </w:tcPr>
          <w:p>
            <w:pPr>
              <w:spacing w:before="10" w:after="10" w:line="240" w:lineRule="auto"/>
              <w:jc w:val="right"/>
              <w:rPr>
                <w:rFonts w:ascii="Arial" w:hAnsi="Arial"/>
                <w:b/>
                <w:color w:val="FFFFFF"/>
                <w:sz w:val="16"/>
              </w:rPr>
            </w:pPr>
            <w:r>
              <w:rPr>
                <w:rFonts w:ascii="Arial" w:hAnsi="Arial"/>
                <w:b/>
                <w:color w:val="FFFFFF"/>
                <w:sz w:val="16"/>
              </w:rPr>
              <w:t xml:space="preserve">Sale Price</w:t>
            </w:r>
          </w:p>
        </w:tc>
        <w:tc>
          <w:tcPr>
            <w:tcW w:w="1340" w:type="dxa"/>
            <w:shd w:val="clear" w:color="auto" w:fill="808080"/>
            <w:vAlign w:val="center"/>
          </w:tcPr>
          <w:p>
            <w:pPr>
              <w:spacing w:before="10" w:after="10" w:line="240" w:lineRule="auto"/>
              <w:jc w:val="right"/>
              <w:rPr>
                <w:rFonts w:ascii="Arial" w:hAnsi="Arial"/>
                <w:b/>
                <w:color w:val="FFFFFF"/>
                <w:sz w:val="16"/>
              </w:rPr>
            </w:pPr>
            <w:r>
              <w:rPr>
                <w:rFonts w:ascii="Arial" w:hAnsi="Arial"/>
                <w:b/>
                <w:color w:val="FFFFFF"/>
                <w:sz w:val="16"/>
              </w:rPr>
              <w:t xml:space="preserve">Price / AC</w:t>
            </w:r>
          </w:p>
        </w:tc>
      </w:tr>
      <w:tr>
        <w:trPr>
          <w:cantSplit/>
        </w:trPr>
        <w:tc>
          <w:tcPr>
            <w:tcW w:w="1180" w:type="dxa"/>
            <w:vAlign w:val="center"/>
          </w:tcPr>
          <w:p>
            <w:pPr>
              <w:spacing w:before="10" w:after="10" w:line="240" w:lineRule="auto"/>
              <w:jc w:val="left"/>
              <w:rPr>
                <w:rFonts w:ascii="Arial" w:hAnsi="Arial"/>
                <w:color w:val="000000"/>
                <w:sz w:val="16"/>
              </w:rPr>
            </w:pPr>
            <w:r>
              <w:rPr>
                <w:rFonts w:ascii="Arial" w:hAnsi="Arial"/>
                <w:color w:val="000000"/>
                <w:sz w:val="16"/>
              </w:rPr>
              <w:t xml:space="preserve">Land Sale 1</w:t>
            </w:r>
          </w:p>
        </w:tc>
        <w:tc>
          <w:tcPr>
            <w:tcW w:w="2260" w:type="dxa"/>
            <w:vAlign w:val="center"/>
          </w:tcPr>
          <w:p>
            <w:pPr>
              <w:spacing w:before="10" w:after="10" w:line="240" w:lineRule="auto"/>
              <w:jc w:val="left"/>
              <w:rPr>
                <w:rFonts w:ascii="Arial" w:hAnsi="Arial"/>
                <w:color w:val="000000"/>
                <w:sz w:val="16"/>
              </w:rPr>
            </w:pPr>
            <w:r>
              <w:rPr>
                <w:rFonts w:ascii="Arial" w:hAnsi="Arial"/>
                <w:color w:val="000000"/>
                <w:sz w:val="16"/>
              </w:rPr>
              <w:t xml:space="preserve">Address not reported</w:t>
            </w:r>
          </w:p>
        </w:tc>
        <w:tc>
          <w:tcPr>
            <w:tcW w:w="1420" w:type="dxa"/>
            <w:vAlign w:val="center"/>
          </w:tcPr>
          <w:p>
            <w:pPr>
              <w:spacing w:before="10" w:after="10" w:line="240" w:lineRule="auto"/>
              <w:jc w:val="left"/>
              <w:rPr>
                <w:rFonts w:ascii="Arial" w:hAnsi="Arial"/>
                <w:color w:val="000000"/>
                <w:sz w:val="16"/>
              </w:rPr>
            </w:pPr>
            <w:r>
              <w:rPr>
                <w:rFonts w:ascii="Arial" w:hAnsi="Arial"/>
                <w:color w:val="000000"/>
                <w:sz w:val="16"/>
              </w:rPr>
              <w:t xml:space="preserve">Brighton, CO</w:t>
            </w:r>
          </w:p>
        </w:tc>
        <w:tc>
          <w:tcPr>
            <w:tcW w:w="860" w:type="dxa"/>
            <w:vAlign w:val="center"/>
          </w:tcPr>
          <w:p>
            <w:pPr>
              <w:spacing w:before="10" w:after="10" w:line="240" w:lineRule="auto"/>
              <w:jc w:val="right"/>
              <w:rPr>
                <w:rFonts w:ascii="Arial" w:hAnsi="Arial"/>
                <w:color w:val="000000"/>
                <w:sz w:val="16"/>
              </w:rPr>
            </w:pPr>
            <w:r>
              <w:rPr>
                <w:rFonts w:ascii="Arial" w:hAnsi="Arial"/>
                <w:color w:val="000000"/>
                <w:sz w:val="16"/>
              </w:rPr>
              <w:t xml:space="preserve">Mar-24</w:t>
            </w:r>
          </w:p>
        </w:tc>
        <w:tc>
          <w:tcPr>
            <w:tcW w:w="860" w:type="dxa"/>
            <w:vAlign w:val="center"/>
          </w:tcPr>
          <w:p>
            <w:pPr>
              <w:spacing w:before="10" w:after="10" w:line="240" w:lineRule="auto"/>
              <w:jc w:val="right"/>
              <w:rPr>
                <w:rFonts w:ascii="Arial" w:hAnsi="Arial"/>
                <w:color w:val="000000"/>
                <w:sz w:val="16"/>
              </w:rPr>
            </w:pPr>
            <w:r>
              <w:rPr>
                <w:rFonts w:ascii="Arial" w:hAnsi="Arial"/>
                <w:color w:val="000000"/>
                <w:sz w:val="16"/>
              </w:rPr>
              <w:t xml:space="preserve">26.30</w:t>
            </w:r>
          </w:p>
        </w:tc>
        <w:tc>
          <w:tcPr>
            <w:tcW w:w="1440" w:type="dxa"/>
            <w:vAlign w:val="center"/>
          </w:tcPr>
          <w:p>
            <w:pPr>
              <w:spacing w:before="10" w:after="10" w:line="240" w:lineRule="auto"/>
              <w:jc w:val="right"/>
              <w:rPr>
                <w:rFonts w:ascii="Arial" w:hAnsi="Arial"/>
                <w:color w:val="000000"/>
                <w:sz w:val="16"/>
              </w:rPr>
            </w:pPr>
            <w:r>
              <w:rPr>
                <w:rFonts w:ascii="Arial" w:hAnsi="Arial"/>
                <w:color w:val="000000"/>
                <w:sz w:val="16"/>
              </w:rPr>
              <w:t xml:space="preserve">$11,460,000</w:t>
            </w:r>
          </w:p>
        </w:tc>
        <w:tc>
          <w:tcPr>
            <w:tcW w:w="1340" w:type="dxa"/>
            <w:vAlign w:val="center"/>
          </w:tcPr>
          <w:p>
            <w:pPr>
              <w:spacing w:before="10" w:after="10" w:line="240" w:lineRule="auto"/>
              <w:jc w:val="right"/>
              <w:rPr>
                <w:rFonts w:ascii="Arial" w:hAnsi="Arial"/>
                <w:color w:val="000000"/>
                <w:sz w:val="16"/>
              </w:rPr>
            </w:pPr>
            <w:r>
              <w:rPr>
                <w:rFonts w:ascii="Arial" w:hAnsi="Arial"/>
                <w:color w:val="000000"/>
                <w:sz w:val="16"/>
              </w:rPr>
              <w:t xml:space="preserve">$435,741</w:t>
            </w:r>
          </w:p>
        </w:tc>
      </w:tr>
      <w:tr>
        <w:trPr>
          <w:cantSplit/>
        </w:trPr>
        <w:tc>
          <w:tcPr>
            <w:tcW w:w="1180" w:type="dxa"/>
            <w:vAlign w:val="center"/>
          </w:tcPr>
          <w:p>
            <w:pPr>
              <w:spacing w:before="10" w:after="10" w:line="240" w:lineRule="auto"/>
              <w:jc w:val="left"/>
              <w:rPr>
                <w:rFonts w:ascii="Arial" w:hAnsi="Arial"/>
                <w:color w:val="000000"/>
                <w:sz w:val="16"/>
              </w:rPr>
            </w:pPr>
            <w:r>
              <w:rPr>
                <w:rFonts w:ascii="Arial" w:hAnsi="Arial"/>
                <w:color w:val="000000"/>
                <w:sz w:val="16"/>
              </w:rPr>
              <w:t xml:space="preserve">Land Sale 2</w:t>
            </w:r>
          </w:p>
        </w:tc>
        <w:tc>
          <w:tcPr>
            <w:tcW w:w="2260" w:type="dxa"/>
            <w:vAlign w:val="center"/>
          </w:tcPr>
          <w:p>
            <w:pPr>
              <w:spacing w:before="10" w:after="10" w:line="240" w:lineRule="auto"/>
              <w:jc w:val="left"/>
              <w:rPr>
                <w:rFonts w:ascii="Arial" w:hAnsi="Arial"/>
                <w:color w:val="000000"/>
                <w:sz w:val="16"/>
              </w:rPr>
            </w:pPr>
            <w:r>
              <w:rPr>
                <w:rFonts w:ascii="Arial" w:hAnsi="Arial"/>
                <w:color w:val="000000"/>
                <w:sz w:val="16"/>
              </w:rPr>
              <w:t xml:space="preserve">SW Grant St</w:t>
            </w:r>
          </w:p>
        </w:tc>
        <w:tc>
          <w:tcPr>
            <w:tcW w:w="1420" w:type="dxa"/>
            <w:vAlign w:val="center"/>
          </w:tcPr>
          <w:p>
            <w:pPr>
              <w:spacing w:before="10" w:after="10" w:line="240" w:lineRule="auto"/>
              <w:jc w:val="left"/>
              <w:rPr>
                <w:rFonts w:ascii="Arial" w:hAnsi="Arial"/>
                <w:color w:val="000000"/>
                <w:sz w:val="16"/>
              </w:rPr>
            </w:pPr>
            <w:r>
              <w:rPr>
                <w:rFonts w:ascii="Arial" w:hAnsi="Arial"/>
                <w:color w:val="000000"/>
                <w:sz w:val="16"/>
              </w:rPr>
              <w:t xml:space="preserve">Thornton, CO</w:t>
            </w:r>
          </w:p>
        </w:tc>
        <w:tc>
          <w:tcPr>
            <w:tcW w:w="860" w:type="dxa"/>
            <w:vAlign w:val="center"/>
          </w:tcPr>
          <w:p>
            <w:pPr>
              <w:spacing w:before="10" w:after="10" w:line="240" w:lineRule="auto"/>
              <w:jc w:val="right"/>
              <w:rPr>
                <w:rFonts w:ascii="Arial" w:hAnsi="Arial"/>
                <w:color w:val="000000"/>
                <w:sz w:val="16"/>
              </w:rPr>
            </w:pPr>
            <w:r>
              <w:rPr>
                <w:rFonts w:ascii="Arial" w:hAnsi="Arial"/>
                <w:color w:val="000000"/>
                <w:sz w:val="16"/>
              </w:rPr>
              <w:t xml:space="preserve">Sep-23</w:t>
            </w:r>
          </w:p>
        </w:tc>
        <w:tc>
          <w:tcPr>
            <w:tcW w:w="860" w:type="dxa"/>
            <w:vAlign w:val="center"/>
          </w:tcPr>
          <w:p>
            <w:pPr>
              <w:spacing w:before="10" w:after="10" w:line="240" w:lineRule="auto"/>
              <w:jc w:val="right"/>
              <w:rPr>
                <w:rFonts w:ascii="Arial" w:hAnsi="Arial"/>
                <w:color w:val="000000"/>
                <w:sz w:val="16"/>
              </w:rPr>
            </w:pPr>
            <w:r>
              <w:rPr>
                <w:rFonts w:ascii="Arial" w:hAnsi="Arial"/>
                <w:color w:val="000000"/>
                <w:sz w:val="16"/>
              </w:rPr>
              <w:t xml:space="preserve">35.60</w:t>
            </w:r>
          </w:p>
        </w:tc>
        <w:tc>
          <w:tcPr>
            <w:tcW w:w="1440" w:type="dxa"/>
            <w:vAlign w:val="center"/>
          </w:tcPr>
          <w:p>
            <w:pPr>
              <w:spacing w:before="10" w:after="10" w:line="240" w:lineRule="auto"/>
              <w:jc w:val="right"/>
              <w:rPr>
                <w:rFonts w:ascii="Arial" w:hAnsi="Arial"/>
                <w:color w:val="000000"/>
                <w:sz w:val="16"/>
              </w:rPr>
            </w:pPr>
            <w:r>
              <w:rPr>
                <w:rFonts w:ascii="Arial" w:hAnsi="Arial"/>
                <w:color w:val="000000"/>
                <w:sz w:val="16"/>
              </w:rPr>
              <w:t xml:space="preserve">$11,280,000</w:t>
            </w:r>
          </w:p>
        </w:tc>
        <w:tc>
          <w:tcPr>
            <w:tcW w:w="1340" w:type="dxa"/>
            <w:vAlign w:val="center"/>
          </w:tcPr>
          <w:p>
            <w:pPr>
              <w:spacing w:before="10" w:after="10" w:line="240" w:lineRule="auto"/>
              <w:jc w:val="right"/>
              <w:rPr>
                <w:rFonts w:ascii="Arial" w:hAnsi="Arial"/>
                <w:color w:val="000000"/>
                <w:sz w:val="16"/>
              </w:rPr>
            </w:pPr>
            <w:r>
              <w:rPr>
                <w:rFonts w:ascii="Arial" w:hAnsi="Arial"/>
                <w:color w:val="000000"/>
                <w:sz w:val="16"/>
              </w:rPr>
              <w:t xml:space="preserve">$316,854</w:t>
            </w:r>
          </w:p>
        </w:tc>
      </w:tr>
      <w:tr>
        <w:trPr>
          <w:cantSplit/>
        </w:trPr>
        <w:tc>
          <w:tcPr>
            <w:tcW w:w="1180" w:type="dxa"/>
            <w:vAlign w:val="center"/>
          </w:tcPr>
          <w:p>
            <w:pPr>
              <w:spacing w:before="10" w:after="10" w:line="240" w:lineRule="auto"/>
              <w:jc w:val="left"/>
              <w:rPr>
                <w:rFonts w:ascii="Arial" w:hAnsi="Arial"/>
                <w:color w:val="000000"/>
                <w:sz w:val="16"/>
              </w:rPr>
            </w:pPr>
            <w:r>
              <w:rPr>
                <w:rFonts w:ascii="Arial" w:hAnsi="Arial"/>
                <w:color w:val="000000"/>
                <w:sz w:val="16"/>
              </w:rPr>
              <w:t xml:space="preserve">Land Sale 3</w:t>
            </w:r>
          </w:p>
        </w:tc>
        <w:tc>
          <w:tcPr>
            <w:tcW w:w="2260" w:type="dxa"/>
            <w:vAlign w:val="center"/>
          </w:tcPr>
          <w:p>
            <w:pPr>
              <w:spacing w:before="10" w:after="10" w:line="240" w:lineRule="auto"/>
              <w:jc w:val="left"/>
              <w:rPr>
                <w:rFonts w:ascii="Arial" w:hAnsi="Arial"/>
                <w:color w:val="000000"/>
                <w:sz w:val="16"/>
              </w:rPr>
            </w:pPr>
            <w:r>
              <w:rPr>
                <w:rFonts w:ascii="Arial" w:hAnsi="Arial"/>
                <w:color w:val="000000"/>
                <w:sz w:val="16"/>
              </w:rPr>
              <w:t xml:space="preserve">16080 Huron Street</w:t>
            </w:r>
          </w:p>
        </w:tc>
        <w:tc>
          <w:tcPr>
            <w:tcW w:w="1420" w:type="dxa"/>
            <w:vAlign w:val="center"/>
          </w:tcPr>
          <w:p>
            <w:pPr>
              <w:spacing w:before="10" w:after="10" w:line="240" w:lineRule="auto"/>
              <w:jc w:val="left"/>
              <w:rPr>
                <w:rFonts w:ascii="Arial" w:hAnsi="Arial"/>
                <w:color w:val="000000"/>
                <w:sz w:val="16"/>
              </w:rPr>
            </w:pPr>
            <w:r>
              <w:rPr>
                <w:rFonts w:ascii="Arial" w:hAnsi="Arial"/>
                <w:color w:val="000000"/>
                <w:sz w:val="16"/>
              </w:rPr>
              <w:t xml:space="preserve">Broomfield, CO</w:t>
            </w:r>
          </w:p>
        </w:tc>
        <w:tc>
          <w:tcPr>
            <w:tcW w:w="860" w:type="dxa"/>
            <w:vAlign w:val="center"/>
          </w:tcPr>
          <w:p>
            <w:pPr>
              <w:spacing w:before="10" w:after="10" w:line="240" w:lineRule="auto"/>
              <w:jc w:val="right"/>
              <w:rPr>
                <w:rFonts w:ascii="Arial" w:hAnsi="Arial"/>
                <w:color w:val="000000"/>
                <w:sz w:val="16"/>
              </w:rPr>
            </w:pPr>
            <w:r>
              <w:rPr>
                <w:rFonts w:ascii="Arial" w:hAnsi="Arial"/>
                <w:color w:val="000000"/>
                <w:sz w:val="16"/>
              </w:rPr>
              <w:t xml:space="preserve">Apr-22</w:t>
            </w:r>
          </w:p>
        </w:tc>
        <w:tc>
          <w:tcPr>
            <w:tcW w:w="860" w:type="dxa"/>
            <w:vAlign w:val="center"/>
          </w:tcPr>
          <w:p>
            <w:pPr>
              <w:spacing w:before="10" w:after="10" w:line="240" w:lineRule="auto"/>
              <w:jc w:val="right"/>
              <w:rPr>
                <w:rFonts w:ascii="Arial" w:hAnsi="Arial"/>
                <w:color w:val="000000"/>
                <w:sz w:val="16"/>
              </w:rPr>
            </w:pPr>
            <w:r>
              <w:rPr>
                <w:rFonts w:ascii="Arial" w:hAnsi="Arial"/>
                <w:color w:val="000000"/>
                <w:sz w:val="16"/>
              </w:rPr>
              <w:t xml:space="preserve">10.00</w:t>
            </w:r>
          </w:p>
        </w:tc>
        <w:tc>
          <w:tcPr>
            <w:tcW w:w="1440" w:type="dxa"/>
            <w:vAlign w:val="center"/>
          </w:tcPr>
          <w:p>
            <w:pPr>
              <w:spacing w:before="10" w:after="10" w:line="240" w:lineRule="auto"/>
              <w:jc w:val="right"/>
              <w:rPr>
                <w:rFonts w:ascii="Arial" w:hAnsi="Arial"/>
                <w:color w:val="000000"/>
                <w:sz w:val="16"/>
              </w:rPr>
            </w:pPr>
            <w:r>
              <w:rPr>
                <w:rFonts w:ascii="Arial" w:hAnsi="Arial"/>
                <w:color w:val="000000"/>
                <w:sz w:val="16"/>
              </w:rPr>
              <w:t xml:space="preserve">$2,400,000</w:t>
            </w:r>
          </w:p>
        </w:tc>
        <w:tc>
          <w:tcPr>
            <w:tcW w:w="1340" w:type="dxa"/>
            <w:vAlign w:val="center"/>
          </w:tcPr>
          <w:p>
            <w:pPr>
              <w:spacing w:before="10" w:after="10" w:line="240" w:lineRule="auto"/>
              <w:jc w:val="right"/>
              <w:rPr>
                <w:rFonts w:ascii="Arial" w:hAnsi="Arial"/>
                <w:color w:val="000000"/>
                <w:sz w:val="16"/>
              </w:rPr>
            </w:pPr>
            <w:r>
              <w:rPr>
                <w:rFonts w:ascii="Arial" w:hAnsi="Arial"/>
                <w:color w:val="000000"/>
                <w:sz w:val="16"/>
              </w:rPr>
              <w:t xml:space="preserve">$240,000</w:t>
            </w:r>
          </w:p>
        </w:tc>
      </w:tr>
      <w:tr>
        <w:trPr>
          <w:cantSplit/>
        </w:trPr>
        <w:tc>
          <w:tcPr>
            <w:tcW w:w="1180" w:type="dxa"/>
            <w:vAlign w:val="center"/>
          </w:tcPr>
          <w:p>
            <w:pPr>
              <w:spacing w:before="10" w:after="10" w:line="240" w:lineRule="auto"/>
              <w:jc w:val="left"/>
              <w:rPr>
                <w:rFonts w:ascii="Arial" w:hAnsi="Arial"/>
                <w:color w:val="000000"/>
                <w:sz w:val="16"/>
              </w:rPr>
            </w:pPr>
            <w:r>
              <w:rPr>
                <w:rFonts w:ascii="Arial" w:hAnsi="Arial"/>
                <w:color w:val="000000"/>
                <w:sz w:val="16"/>
              </w:rPr>
              <w:t xml:space="preserve">Land Sale 4</w:t>
            </w:r>
          </w:p>
        </w:tc>
        <w:tc>
          <w:tcPr>
            <w:tcW w:w="2260" w:type="dxa"/>
            <w:vAlign w:val="center"/>
          </w:tcPr>
          <w:p>
            <w:pPr>
              <w:spacing w:before="10" w:after="10" w:line="240" w:lineRule="auto"/>
              <w:jc w:val="left"/>
              <w:rPr>
                <w:rFonts w:ascii="Arial" w:hAnsi="Arial"/>
                <w:color w:val="000000"/>
                <w:sz w:val="16"/>
              </w:rPr>
            </w:pPr>
            <w:r>
              <w:rPr>
                <w:rFonts w:ascii="Arial" w:hAnsi="Arial"/>
                <w:color w:val="000000"/>
                <w:sz w:val="16"/>
              </w:rPr>
              <w:t xml:space="preserve">12982 County Road 6</w:t>
            </w:r>
          </w:p>
        </w:tc>
        <w:tc>
          <w:tcPr>
            <w:tcW w:w="1420" w:type="dxa"/>
            <w:vAlign w:val="center"/>
          </w:tcPr>
          <w:p>
            <w:pPr>
              <w:spacing w:before="10" w:after="10" w:line="240" w:lineRule="auto"/>
              <w:jc w:val="left"/>
              <w:rPr>
                <w:rFonts w:ascii="Arial" w:hAnsi="Arial"/>
                <w:color w:val="000000"/>
                <w:sz w:val="16"/>
              </w:rPr>
            </w:pPr>
            <w:r>
              <w:rPr>
                <w:rFonts w:ascii="Arial" w:hAnsi="Arial"/>
                <w:color w:val="000000"/>
                <w:sz w:val="16"/>
              </w:rPr>
              <w:t xml:space="preserve">Brighton, CO</w:t>
            </w:r>
          </w:p>
        </w:tc>
        <w:tc>
          <w:tcPr>
            <w:tcW w:w="860" w:type="dxa"/>
            <w:vAlign w:val="center"/>
          </w:tcPr>
          <w:p>
            <w:pPr>
              <w:spacing w:before="10" w:after="10" w:line="240" w:lineRule="auto"/>
              <w:jc w:val="right"/>
              <w:rPr>
                <w:rFonts w:ascii="Arial" w:hAnsi="Arial"/>
                <w:color w:val="000000"/>
                <w:sz w:val="16"/>
              </w:rPr>
            </w:pPr>
            <w:r>
              <w:rPr>
                <w:rFonts w:ascii="Arial" w:hAnsi="Arial"/>
                <w:color w:val="000000"/>
                <w:sz w:val="16"/>
              </w:rPr>
              <w:t xml:space="preserve">Nov-21</w:t>
            </w:r>
          </w:p>
        </w:tc>
        <w:tc>
          <w:tcPr>
            <w:tcW w:w="860" w:type="dxa"/>
            <w:vAlign w:val="center"/>
          </w:tcPr>
          <w:p>
            <w:pPr>
              <w:spacing w:before="10" w:after="10" w:line="240" w:lineRule="auto"/>
              <w:jc w:val="right"/>
              <w:rPr>
                <w:rFonts w:ascii="Arial" w:hAnsi="Arial"/>
                <w:color w:val="000000"/>
                <w:sz w:val="16"/>
              </w:rPr>
            </w:pPr>
            <w:r>
              <w:rPr>
                <w:rFonts w:ascii="Arial" w:hAnsi="Arial"/>
                <w:color w:val="000000"/>
                <w:sz w:val="16"/>
              </w:rPr>
              <w:t xml:space="preserve">22.00</w:t>
            </w:r>
          </w:p>
        </w:tc>
        <w:tc>
          <w:tcPr>
            <w:tcW w:w="1440" w:type="dxa"/>
            <w:vAlign w:val="center"/>
          </w:tcPr>
          <w:p>
            <w:pPr>
              <w:spacing w:before="10" w:after="10" w:line="240" w:lineRule="auto"/>
              <w:jc w:val="right"/>
              <w:rPr>
                <w:rFonts w:ascii="Arial" w:hAnsi="Arial"/>
                <w:color w:val="000000"/>
                <w:sz w:val="16"/>
              </w:rPr>
            </w:pPr>
            <w:r>
              <w:rPr>
                <w:rFonts w:ascii="Arial" w:hAnsi="Arial"/>
                <w:color w:val="000000"/>
                <w:sz w:val="16"/>
              </w:rPr>
              <w:t xml:space="preserve">$3,850,000</w:t>
            </w:r>
          </w:p>
        </w:tc>
        <w:tc>
          <w:tcPr>
            <w:tcW w:w="1340" w:type="dxa"/>
            <w:vAlign w:val="center"/>
          </w:tcPr>
          <w:p>
            <w:pPr>
              <w:spacing w:before="10" w:after="10" w:line="240" w:lineRule="auto"/>
              <w:jc w:val="right"/>
              <w:rPr>
                <w:rFonts w:ascii="Arial" w:hAnsi="Arial"/>
                <w:color w:val="000000"/>
                <w:sz w:val="16"/>
              </w:rPr>
            </w:pPr>
            <w:r>
              <w:rPr>
                <w:rFonts w:ascii="Arial" w:hAnsi="Arial"/>
                <w:color w:val="000000"/>
                <w:sz w:val="16"/>
              </w:rPr>
              <w:t xml:space="preserve">$175,000</w:t>
            </w:r>
          </w:p>
        </w:tc>
      </w:tr>
      <w:tr>
        <w:trPr>
          <w:cantSplit/>
        </w:trPr>
        <w:tc>
          <w:tcPr>
            <w:tcW w:w="118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Subject</w:t>
            </w:r>
          </w:p>
        </w:tc>
        <w:tc>
          <w:tcPr>
            <w:tcW w:w="226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22600 Interstate 76</w:t>
            </w:r>
          </w:p>
        </w:tc>
        <w:tc>
          <w:tcPr>
            <w:tcW w:w="142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Brighton, CO</w:t>
            </w:r>
          </w:p>
        </w:tc>
        <w:tc>
          <w:tcPr>
            <w:tcW w:w="86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N/A</w:t>
            </w:r>
          </w:p>
        </w:tc>
        <w:tc>
          <w:tcPr>
            <w:tcW w:w="86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19.96</w:t>
            </w:r>
          </w:p>
        </w:tc>
        <w:tc>
          <w:tcPr>
            <w:tcW w:w="144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N/A</w:t>
            </w:r>
          </w:p>
        </w:tc>
        <w:tc>
          <w:tcPr>
            <w:tcW w:w="134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N/A</w:t>
            </w:r>
          </w:p>
        </w:tc>
      </w:tr>
    </w:tbl>
    <w:p/>
    <w:tbl>
      <w:tblPr>
        <w:tblW w:w="7200" w:type="dxa"/>
        <w:jc w:val="center"/>
        <w:tblBorders>
          <w:top w:val="single" w:sz="4" w:color="BFBFBF"/>
          <w:left w:val="none" w:sz="0" w:color="auto"/>
          <w:bottom w:val="single" w:sz="4" w:color="BFBFBF"/>
          <w:right w:val="none" w:sz="0" w:color="auto"/>
          <w:insideH w:val="single" w:sz="4" w:color="D9D9D9"/>
          <w:insideV w:val="none" w:sz="0" w:color="auto"/>
        </w:tblBorders>
        <w:tblLayout w:type="fixed"/>
        <w:tblCellMar>
          <w:top w:w="0" w:type="dxa"/>
          <w:left w:w="72" w:type="dxa"/>
          <w:bottom w:w="0" w:type="dxa"/>
          <w:right w:w="72" w:type="dxa"/>
        </w:tblCellMar>
      </w:tblPr>
      <w:tblGrid>
        <w:gridCol w:w="4600"/>
        <w:gridCol w:w="2600"/>
      </w:tblGrid>
      <w:tr>
        <w:trPr>
          <w:cantSplit/>
        </w:trPr>
        <w:tc>
          <w:tcPr>
            <w:tcW w:w="7200" w:type="dxa"/>
            <w:gridSpan w:val="2"/>
            <w:shd w:val="clear" w:color="auto" w:fill="1E5631"/>
            <w:vAlign w:val="center"/>
          </w:tcPr>
          <w:p>
            <w:pPr>
              <w:spacing w:before="10" w:after="10" w:line="240" w:lineRule="auto"/>
              <w:jc w:val="center"/>
              <w:rPr>
                <w:rFonts w:ascii="Arial" w:hAnsi="Arial"/>
                <w:b/>
                <w:color w:val="FFFFFF"/>
                <w:sz w:val="18"/>
              </w:rPr>
            </w:pPr>
            <w:r>
              <w:rPr>
                <w:rFonts w:ascii="Arial" w:hAnsi="Arial"/>
                <w:b/>
                <w:color w:val="FFFFFF"/>
                <w:sz w:val="18"/>
              </w:rPr>
              <w:t xml:space="preserve">LAND VALUE CONCLUSION</w:t>
            </w:r>
          </w:p>
        </w:tc>
      </w:tr>
      <w:tr>
        <w:trPr>
          <w:cantSplit/>
        </w:trPr>
        <w:tc>
          <w:tcPr>
            <w:tcW w:w="4600" w:type="dxa"/>
            <w:vAlign w:val="center"/>
          </w:tcPr>
          <w:p>
            <w:pPr>
              <w:spacing w:before="10" w:after="10" w:line="240" w:lineRule="auto"/>
              <w:jc w:val="left"/>
              <w:rPr>
                <w:rFonts w:ascii="Arial" w:hAnsi="Arial"/>
                <w:color w:val="000000"/>
                <w:sz w:val="16"/>
              </w:rPr>
            </w:pPr>
            <w:r>
              <w:rPr>
                <w:rFonts w:ascii="Arial" w:hAnsi="Arial"/>
                <w:color w:val="000000"/>
                <w:sz w:val="16"/>
              </w:rPr>
              <w:t xml:space="preserve">Indicated Value per Acre</w:t>
            </w:r>
          </w:p>
        </w:tc>
        <w:tc>
          <w:tcPr>
            <w:tcW w:w="2600" w:type="dxa"/>
            <w:vAlign w:val="center"/>
          </w:tcPr>
          <w:p>
            <w:pPr>
              <w:spacing w:before="10" w:after="10" w:line="240" w:lineRule="auto"/>
              <w:jc w:val="right"/>
              <w:rPr>
                <w:rFonts w:ascii="Arial" w:hAnsi="Arial"/>
                <w:color w:val="000000"/>
                <w:sz w:val="16"/>
              </w:rPr>
            </w:pPr>
            <w:r>
              <w:rPr>
                <w:rFonts w:ascii="Arial" w:hAnsi="Arial"/>
                <w:color w:val="000000"/>
                <w:sz w:val="16"/>
              </w:rPr>
              <w:t xml:space="preserve">$250,000</w:t>
            </w:r>
          </w:p>
        </w:tc>
      </w:tr>
      <w:tr>
        <w:trPr>
          <w:cantSplit/>
        </w:trPr>
        <w:tc>
          <w:tcPr>
            <w:tcW w:w="4600" w:type="dxa"/>
            <w:vAlign w:val="center"/>
          </w:tcPr>
          <w:p>
            <w:pPr>
              <w:spacing w:before="10" w:after="10" w:line="240" w:lineRule="auto"/>
              <w:jc w:val="left"/>
              <w:rPr>
                <w:rFonts w:ascii="Arial" w:hAnsi="Arial"/>
                <w:color w:val="000000"/>
                <w:sz w:val="16"/>
              </w:rPr>
            </w:pPr>
            <w:r>
              <w:rPr>
                <w:rFonts w:ascii="Arial" w:hAnsi="Arial"/>
                <w:color w:val="000000"/>
                <w:sz w:val="16"/>
              </w:rPr>
              <w:t xml:space="preserve">Land Area (Acres)</w:t>
            </w:r>
          </w:p>
        </w:tc>
        <w:tc>
          <w:tcPr>
            <w:tcW w:w="2600" w:type="dxa"/>
            <w:vAlign w:val="center"/>
          </w:tcPr>
          <w:p>
            <w:pPr>
              <w:spacing w:before="10" w:after="10" w:line="240" w:lineRule="auto"/>
              <w:jc w:val="right"/>
              <w:rPr>
                <w:rFonts w:ascii="Arial" w:hAnsi="Arial"/>
                <w:color w:val="000000"/>
                <w:sz w:val="16"/>
              </w:rPr>
            </w:pPr>
            <w:r>
              <w:rPr>
                <w:rFonts w:ascii="Arial" w:hAnsi="Arial"/>
                <w:color w:val="000000"/>
                <w:sz w:val="16"/>
              </w:rPr>
              <w:t xml:space="preserve">19.96</w:t>
            </w:r>
          </w:p>
        </w:tc>
      </w:tr>
      <w:tr>
        <w:trPr>
          <w:cantSplit/>
        </w:trPr>
        <w:tc>
          <w:tcPr>
            <w:tcW w:w="4600" w:type="dxa"/>
            <w:vAlign w:val="center"/>
          </w:tcPr>
          <w:p>
            <w:pPr>
              <w:spacing w:before="10" w:after="10" w:line="240" w:lineRule="auto"/>
              <w:jc w:val="left"/>
              <w:rPr>
                <w:rFonts w:ascii="Arial" w:hAnsi="Arial"/>
                <w:color w:val="000000"/>
                <w:sz w:val="16"/>
              </w:rPr>
            </w:pPr>
            <w:r>
              <w:rPr>
                <w:rFonts w:ascii="Arial" w:hAnsi="Arial"/>
                <w:color w:val="000000"/>
                <w:sz w:val="16"/>
              </w:rPr>
              <w:t xml:space="preserve">Indicated Land Value</w:t>
            </w:r>
          </w:p>
        </w:tc>
        <w:tc>
          <w:tcPr>
            <w:tcW w:w="2600" w:type="dxa"/>
            <w:vAlign w:val="center"/>
          </w:tcPr>
          <w:p>
            <w:pPr>
              <w:spacing w:before="10" w:after="10" w:line="240" w:lineRule="auto"/>
              <w:jc w:val="right"/>
              <w:rPr>
                <w:rFonts w:ascii="Arial" w:hAnsi="Arial"/>
                <w:color w:val="000000"/>
                <w:sz w:val="16"/>
              </w:rPr>
            </w:pPr>
            <w:r>
              <w:rPr>
                <w:rFonts w:ascii="Arial" w:hAnsi="Arial"/>
                <w:color w:val="000000"/>
                <w:sz w:val="16"/>
              </w:rPr>
              <w:t xml:space="preserve">$4,990,000</w:t>
            </w:r>
          </w:p>
        </w:tc>
      </w:tr>
      <w:tr>
        <w:trPr>
          <w:cantSplit/>
        </w:trPr>
        <w:tc>
          <w:tcPr>
            <w:tcW w:w="460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Concluded Land Value (rounded)</w:t>
            </w:r>
          </w:p>
        </w:tc>
        <w:tc>
          <w:tcPr>
            <w:tcW w:w="26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$5,000,000</w:t>
            </w:r>
          </w:p>
        </w:tc>
      </w:tr>
      <w:tr>
        <w:trPr>
          <w:cantSplit/>
        </w:trPr>
        <w:tc>
          <w:tcPr>
            <w:tcW w:w="460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Per Square Foot of Land Area</w:t>
            </w:r>
          </w:p>
        </w:tc>
        <w:tc>
          <w:tcPr>
            <w:tcW w:w="26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$5.75</w:t>
            </w:r>
          </w:p>
        </w:tc>
      </w:tr>
    </w:tbl>
    <w:p/>
    <w:p w14:paraId="0445BA43" w14:textId="77777777" w:rsidR="00C063D0" w:rsidRPr="00A32ACD" w:rsidRDefault="00C063D0" w:rsidP="00C063D0">
      <w:pPr>
        <w:keepNext/>
        <w:keepLines/>
        <w:spacing w:before="40" w:after="0"/>
        <w:jc w:val="both"/>
        <w:outlineLvl w:val="1"/>
        <w:rPr>
          <w:rFonts w:cstheme="majorBidi"/>
          <w:b/>
          <w:sz w:val="26"/>
          <w:szCs w:val="26"/>
        </w:rPr>
      </w:pPr>
      <w:r w:rsidRPr="00A32ACD">
        <w:rPr>
          <w:rFonts w:cstheme="majorBidi"/>
          <w:b/>
          <w:sz w:val="26"/>
          <w:szCs w:val="26"/>
        </w:rPr>
        <w:t xml:space="preserve">Cost Approach Conclusion</w:t>
      </w:r>
    </w:p>
    <w:p w14:paraId="6FB5F107" w14:textId="77777777" w:rsidR="00E3622D" w:rsidRDefault="00C063D0" w:rsidP="00C063D0">
      <w:pPr>
        <w:jc w:val="both"/>
      </w:pPr>
      <w:r w:rsidRPr="00A32ACD">
        <w:t xml:space="preserve">Replacement cost new is estimated at $30,084,087, or $85.41 per square foot of gross building area, including indirect costs at 10.0% of direct costs and entrepreneurial profit at 15.0% of replacement cost new. Physical depreciation of 4.0% is deducted; no functional or external obsolescence was observed. Adding the concluded land value of $5,000,000 to the depreciated improvement value of $28,880,724 indicates a value by the Cost Approach of $33,880,000 rounded, or $96.18 per square foot of gross building area.</w:t>
      </w:r>
    </w:p>
    <w:p>
      <w:r>
        <w:br w:type="page"/>
      </w:r>
    </w:p>
    <w:tbl>
      <w:tblPr>
        <w:tblW w:w="9360" w:type="dxa"/>
        <w:jc w:val="center"/>
        <w:tblBorders>
          <w:top w:val="single" w:sz="4" w:color="BFBFBF"/>
          <w:left w:val="none" w:sz="0" w:color="auto"/>
          <w:bottom w:val="single" w:sz="4" w:color="BFBFBF"/>
          <w:right w:val="none" w:sz="0" w:color="auto"/>
          <w:insideH w:val="single" w:sz="4" w:color="D9D9D9"/>
          <w:insideV w:val="none" w:sz="0" w:color="auto"/>
        </w:tblBorders>
        <w:tblLayout w:type="fixed"/>
        <w:tblCellMar>
          <w:top w:w="0" w:type="dxa"/>
          <w:left w:w="72" w:type="dxa"/>
          <w:bottom w:w="0" w:type="dxa"/>
          <w:right w:w="72" w:type="dxa"/>
        </w:tblCellMar>
      </w:tblPr>
      <w:tblGrid>
        <w:gridCol w:w="6000"/>
        <w:gridCol w:w="3360"/>
      </w:tblGrid>
      <w:tr>
        <w:trPr>
          <w:cantSplit/>
        </w:trPr>
        <w:tc>
          <w:tcPr>
            <w:tcW w:w="9360" w:type="dxa"/>
            <w:gridSpan w:val="2"/>
            <w:shd w:val="clear" w:color="auto" w:fill="1E5631"/>
            <w:vAlign w:val="center"/>
          </w:tcPr>
          <w:p>
            <w:pPr>
              <w:spacing w:before="10" w:after="10" w:line="240" w:lineRule="auto"/>
              <w:jc w:val="center"/>
              <w:rPr>
                <w:rFonts w:ascii="Arial" w:hAnsi="Arial"/>
                <w:b/>
                <w:color w:val="FFFFFF"/>
                <w:sz w:val="18"/>
              </w:rPr>
            </w:pPr>
            <w:r>
              <w:rPr>
                <w:rFonts w:ascii="Arial" w:hAnsi="Arial"/>
                <w:b/>
                <w:color w:val="FFFFFF"/>
                <w:sz w:val="18"/>
              </w:rPr>
              <w:t xml:space="preserve">COST APPROACH SUMMARY</w:t>
            </w:r>
          </w:p>
        </w:tc>
      </w:tr>
      <w:tr>
        <w:trPr>
          <w:cantSplit/>
        </w:trPr>
        <w:tc>
          <w:tcPr>
            <w:tcW w:w="9360" w:type="dxa"/>
            <w:gridSpan w:val="2"/>
            <w:shd w:val="clear" w:color="auto" w:fill="808080"/>
            <w:vAlign w:val="center"/>
          </w:tcPr>
          <w:p>
            <w:pPr>
              <w:spacing w:before="10" w:after="10" w:line="240" w:lineRule="auto"/>
              <w:jc w:val="left"/>
              <w:rPr>
                <w:rFonts w:ascii="Arial" w:hAnsi="Arial"/>
                <w:b/>
                <w:color w:val="FFFFFF"/>
                <w:sz w:val="16"/>
              </w:rPr>
            </w:pPr>
            <w:r>
              <w:rPr>
                <w:rFonts w:ascii="Arial" w:hAnsi="Arial"/>
                <w:b/>
                <w:color w:val="FFFFFF"/>
                <w:sz w:val="16"/>
              </w:rPr>
              <w:t xml:space="preserve">Replacement Cost New (RCN)</w:t>
            </w:r>
          </w:p>
        </w:tc>
      </w:tr>
      <w:tr>
        <w:trPr>
          <w:cantSplit/>
        </w:trPr>
        <w:tc>
          <w:tcPr>
            <w:tcW w:w="6000" w:type="dxa"/>
            <w:vAlign w:val="center"/>
          </w:tcPr>
          <w:p>
            <w:pPr>
              <w:spacing w:before="10" w:after="10" w:line="240" w:lineRule="auto"/>
              <w:ind w:left="180"/>
              <w:jc w:val="left"/>
              <w:rPr>
                <w:rFonts w:ascii="Arial" w:hAnsi="Arial"/>
                <w:color w:val="000000"/>
                <w:sz w:val="16"/>
              </w:rPr>
            </w:pPr>
            <w:r>
              <w:rPr>
                <w:rFonts w:ascii="Arial" w:hAnsi="Arial"/>
                <w:color w:val="000000"/>
                <w:sz w:val="16"/>
              </w:rPr>
              <w:t xml:space="preserve">Base Cost  (352,240 SF @ $52.00/SF)</w:t>
            </w:r>
          </w:p>
        </w:tc>
        <w:tc>
          <w:tcPr>
            <w:tcW w:w="3360" w:type="dxa"/>
            <w:vAlign w:val="center"/>
          </w:tcPr>
          <w:p>
            <w:pPr>
              <w:spacing w:before="10" w:after="10" w:line="240" w:lineRule="auto"/>
              <w:jc w:val="right"/>
              <w:rPr>
                <w:rFonts w:ascii="Arial" w:hAnsi="Arial"/>
                <w:color w:val="000000"/>
                <w:sz w:val="16"/>
              </w:rPr>
            </w:pPr>
            <w:r>
              <w:rPr>
                <w:rFonts w:ascii="Arial" w:hAnsi="Arial"/>
                <w:color w:val="000000"/>
                <w:sz w:val="16"/>
              </w:rPr>
              <w:t xml:space="preserve">$18,316,480</w:t>
            </w:r>
          </w:p>
        </w:tc>
      </w:tr>
      <w:tr>
        <w:trPr>
          <w:cantSplit/>
        </w:trPr>
        <w:tc>
          <w:tcPr>
            <w:tcW w:w="6000" w:type="dxa"/>
            <w:vAlign w:val="center"/>
          </w:tcPr>
          <w:p>
            <w:pPr>
              <w:spacing w:before="10" w:after="10" w:line="240" w:lineRule="auto"/>
              <w:ind w:left="180"/>
              <w:jc w:val="left"/>
              <w:rPr>
                <w:rFonts w:ascii="Arial" w:hAnsi="Arial"/>
                <w:color w:val="000000"/>
                <w:sz w:val="16"/>
              </w:rPr>
            </w:pPr>
            <w:r>
              <w:rPr>
                <w:rFonts w:ascii="Arial" w:hAnsi="Arial"/>
                <w:color w:val="000000"/>
                <w:sz w:val="16"/>
              </w:rPr>
              <w:t xml:space="preserve">Sprinklers  (352,240 SF @ $2.63/SF)</w:t>
            </w:r>
          </w:p>
        </w:tc>
        <w:tc>
          <w:tcPr>
            <w:tcW w:w="3360" w:type="dxa"/>
            <w:vAlign w:val="center"/>
          </w:tcPr>
          <w:p>
            <w:pPr>
              <w:spacing w:before="10" w:after="10" w:line="240" w:lineRule="auto"/>
              <w:jc w:val="right"/>
              <w:rPr>
                <w:rFonts w:ascii="Arial" w:hAnsi="Arial"/>
                <w:color w:val="000000"/>
                <w:sz w:val="16"/>
              </w:rPr>
            </w:pPr>
            <w:r>
              <w:rPr>
                <w:rFonts w:ascii="Arial" w:hAnsi="Arial"/>
                <w:color w:val="000000"/>
                <w:sz w:val="16"/>
              </w:rPr>
              <w:t xml:space="preserve">$926,391</w:t>
            </w:r>
          </w:p>
        </w:tc>
      </w:tr>
      <w:tr>
        <w:trPr>
          <w:cantSplit/>
        </w:trPr>
        <w:tc>
          <w:tcPr>
            <w:tcW w:w="6000" w:type="dxa"/>
            <w:vAlign w:val="center"/>
          </w:tcPr>
          <w:p>
            <w:pPr>
              <w:spacing w:before="10" w:after="10" w:line="240" w:lineRule="auto"/>
              <w:ind w:left="180"/>
              <w:jc w:val="left"/>
              <w:rPr>
                <w:rFonts w:ascii="Arial" w:hAnsi="Arial"/>
                <w:color w:val="000000"/>
                <w:sz w:val="16"/>
              </w:rPr>
            </w:pPr>
            <w:r>
              <w:rPr>
                <w:rFonts w:ascii="Arial" w:hAnsi="Arial"/>
                <w:color w:val="000000"/>
                <w:sz w:val="16"/>
              </w:rPr>
              <w:t xml:space="preserve">Additional Building Area  (2,400 SF @ $42.75/SF)</w:t>
            </w:r>
          </w:p>
        </w:tc>
        <w:tc>
          <w:tcPr>
            <w:tcW w:w="3360" w:type="dxa"/>
            <w:vAlign w:val="center"/>
          </w:tcPr>
          <w:p>
            <w:pPr>
              <w:spacing w:before="10" w:after="10" w:line="240" w:lineRule="auto"/>
              <w:jc w:val="right"/>
              <w:rPr>
                <w:rFonts w:ascii="Arial" w:hAnsi="Arial"/>
                <w:color w:val="000000"/>
                <w:sz w:val="16"/>
              </w:rPr>
            </w:pPr>
            <w:r>
              <w:rPr>
                <w:rFonts w:ascii="Arial" w:hAnsi="Arial"/>
                <w:color w:val="000000"/>
                <w:sz w:val="16"/>
              </w:rPr>
              <w:t xml:space="preserve">$102,600</w:t>
            </w:r>
          </w:p>
        </w:tc>
      </w:tr>
      <w:tr>
        <w:trPr>
          <w:cantSplit/>
        </w:trPr>
        <w:tc>
          <w:tcPr>
            <w:tcW w:w="600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Subtotal - Base Building Cost</w:t>
            </w:r>
          </w:p>
        </w:tc>
        <w:tc>
          <w:tcPr>
            <w:tcW w:w="336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$19,345,471</w:t>
            </w:r>
          </w:p>
        </w:tc>
      </w:tr>
      <w:tr>
        <w:trPr>
          <w:cantSplit/>
        </w:trPr>
        <w:tc>
          <w:tcPr>
            <w:tcW w:w="6000" w:type="dxa"/>
            <w:vAlign w:val="center"/>
          </w:tcPr>
          <w:p>
            <w:pPr>
              <w:spacing w:before="10" w:after="10" w:line="240" w:lineRule="auto"/>
              <w:ind w:left="180"/>
              <w:jc w:val="left"/>
              <w:rPr>
                <w:rFonts w:ascii="Arial" w:hAnsi="Arial"/>
                <w:color w:val="000000"/>
                <w:sz w:val="16"/>
              </w:rPr>
            </w:pPr>
            <w:r>
              <w:rPr>
                <w:rFonts w:ascii="Arial" w:hAnsi="Arial"/>
                <w:color w:val="000000"/>
                <w:sz w:val="16"/>
              </w:rPr>
              <w:t xml:space="preserve">Product of Multipliers  (Current Cost 1.060 x Local Area 1.000 x Area/Perimeter 1.000 x Story Height 1.086)</w:t>
            </w:r>
          </w:p>
        </w:tc>
        <w:tc>
          <w:tcPr>
            <w:tcW w:w="3360" w:type="dxa"/>
            <w:vAlign w:val="center"/>
          </w:tcPr>
          <w:p>
            <w:pPr>
              <w:spacing w:before="10" w:after="10" w:line="240" w:lineRule="auto"/>
              <w:jc w:val="right"/>
              <w:rPr>
                <w:rFonts w:ascii="Arial" w:hAnsi="Arial"/>
                <w:color w:val="000000"/>
                <w:sz w:val="16"/>
              </w:rPr>
            </w:pPr>
            <w:r>
              <w:rPr>
                <w:rFonts w:ascii="Arial" w:hAnsi="Arial"/>
                <w:color w:val="000000"/>
                <w:sz w:val="16"/>
              </w:rPr>
              <w:t xml:space="preserve">1.151</w:t>
            </w:r>
          </w:p>
        </w:tc>
      </w:tr>
      <w:tr>
        <w:trPr>
          <w:cantSplit/>
        </w:trPr>
        <w:tc>
          <w:tcPr>
            <w:tcW w:w="600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Adjusted Base Building Cost</w:t>
            </w:r>
          </w:p>
        </w:tc>
        <w:tc>
          <w:tcPr>
            <w:tcW w:w="336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$22,266,637</w:t>
            </w:r>
          </w:p>
        </w:tc>
      </w:tr>
      <w:tr>
        <w:trPr>
          <w:cantSplit/>
        </w:trPr>
        <w:tc>
          <w:tcPr>
            <w:tcW w:w="9360" w:type="dxa"/>
            <w:gridSpan w:val="2"/>
            <w:shd w:val="clear" w:color="auto" w:fill="808080"/>
            <w:vAlign w:val="center"/>
          </w:tcPr>
          <w:p>
            <w:pPr>
              <w:spacing w:before="10" w:after="10" w:line="240" w:lineRule="auto"/>
              <w:jc w:val="left"/>
              <w:rPr>
                <w:rFonts w:ascii="Arial" w:hAnsi="Arial"/>
                <w:b/>
                <w:color w:val="FFFFFF"/>
                <w:sz w:val="16"/>
              </w:rPr>
            </w:pPr>
            <w:r>
              <w:rPr>
                <w:rFonts w:ascii="Arial" w:hAnsi="Arial"/>
                <w:b/>
                <w:color w:val="FFFFFF"/>
                <w:sz w:val="16"/>
              </w:rPr>
              <w:t xml:space="preserve">Site Improvements</w:t>
            </w:r>
          </w:p>
        </w:tc>
      </w:tr>
      <w:tr>
        <w:trPr>
          <w:cantSplit/>
        </w:trPr>
        <w:tc>
          <w:tcPr>
            <w:tcW w:w="6000" w:type="dxa"/>
            <w:vAlign w:val="center"/>
          </w:tcPr>
          <w:p>
            <w:pPr>
              <w:spacing w:before="10" w:after="10" w:line="240" w:lineRule="auto"/>
              <w:ind w:left="180"/>
              <w:jc w:val="left"/>
              <w:rPr>
                <w:rFonts w:ascii="Arial" w:hAnsi="Arial"/>
                <w:color w:val="000000"/>
                <w:sz w:val="16"/>
              </w:rPr>
            </w:pPr>
            <w:r>
              <w:rPr>
                <w:rFonts w:ascii="Arial" w:hAnsi="Arial"/>
                <w:color w:val="000000"/>
                <w:sz w:val="16"/>
              </w:rPr>
              <w:t xml:space="preserve">Concrete Paving  (275,000 SF @ $5.51/SF)</w:t>
            </w:r>
          </w:p>
        </w:tc>
        <w:tc>
          <w:tcPr>
            <w:tcW w:w="3360" w:type="dxa"/>
            <w:vAlign w:val="center"/>
          </w:tcPr>
          <w:p>
            <w:pPr>
              <w:spacing w:before="10" w:after="10" w:line="240" w:lineRule="auto"/>
              <w:jc w:val="right"/>
              <w:rPr>
                <w:rFonts w:ascii="Arial" w:hAnsi="Arial"/>
                <w:color w:val="000000"/>
                <w:sz w:val="16"/>
              </w:rPr>
            </w:pPr>
            <w:r>
              <w:rPr>
                <w:rFonts w:ascii="Arial" w:hAnsi="Arial"/>
                <w:color w:val="000000"/>
                <w:sz w:val="16"/>
              </w:rPr>
              <w:t xml:space="preserve">$1,515,250</w:t>
            </w:r>
          </w:p>
        </w:tc>
      </w:tr>
      <w:tr>
        <w:trPr>
          <w:cantSplit/>
        </w:trPr>
        <w:tc>
          <w:tcPr>
            <w:tcW w:w="600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Total Site Improvements</w:t>
            </w:r>
          </w:p>
        </w:tc>
        <w:tc>
          <w:tcPr>
            <w:tcW w:w="336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$1,515,250</w:t>
            </w:r>
          </w:p>
        </w:tc>
      </w:tr>
      <w:tr>
        <w:trPr>
          <w:cantSplit/>
        </w:trPr>
        <w:tc>
          <w:tcPr>
            <w:tcW w:w="600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Total Construction Costs</w:t>
            </w:r>
          </w:p>
        </w:tc>
        <w:tc>
          <w:tcPr>
            <w:tcW w:w="336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$23,781,887</w:t>
            </w:r>
          </w:p>
        </w:tc>
      </w:tr>
      <w:tr>
        <w:trPr>
          <w:cantSplit/>
        </w:trPr>
        <w:tc>
          <w:tcPr>
            <w:tcW w:w="6000" w:type="dxa"/>
            <w:vAlign w:val="center"/>
          </w:tcPr>
          <w:p>
            <w:pPr>
              <w:spacing w:before="10" w:after="10" w:line="240" w:lineRule="auto"/>
              <w:jc w:val="left"/>
              <w:rPr>
                <w:rFonts w:ascii="Arial" w:hAnsi="Arial"/>
                <w:color w:val="000000"/>
                <w:sz w:val="16"/>
              </w:rPr>
            </w:pPr>
            <w:r>
              <w:rPr>
                <w:rFonts w:ascii="Arial" w:hAnsi="Arial"/>
                <w:color w:val="000000"/>
                <w:sz w:val="16"/>
              </w:rPr>
              <w:t xml:space="preserve">Plus Other Indirect Costs  (10.0% of direct costs)</w:t>
            </w:r>
          </w:p>
        </w:tc>
        <w:tc>
          <w:tcPr>
            <w:tcW w:w="3360" w:type="dxa"/>
            <w:vAlign w:val="center"/>
          </w:tcPr>
          <w:p>
            <w:pPr>
              <w:spacing w:before="10" w:after="10" w:line="240" w:lineRule="auto"/>
              <w:jc w:val="right"/>
              <w:rPr>
                <w:rFonts w:ascii="Arial" w:hAnsi="Arial"/>
                <w:color w:val="000000"/>
                <w:sz w:val="16"/>
              </w:rPr>
            </w:pPr>
            <w:r>
              <w:rPr>
                <w:rFonts w:ascii="Arial" w:hAnsi="Arial"/>
                <w:color w:val="000000"/>
                <w:sz w:val="16"/>
              </w:rPr>
              <w:t xml:space="preserve">$2,378,189</w:t>
            </w:r>
          </w:p>
        </w:tc>
      </w:tr>
      <w:tr>
        <w:trPr>
          <w:cantSplit/>
        </w:trPr>
        <w:tc>
          <w:tcPr>
            <w:tcW w:w="600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Subtotal Replacement Cost New</w:t>
            </w:r>
          </w:p>
        </w:tc>
        <w:tc>
          <w:tcPr>
            <w:tcW w:w="336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$26,160,076</w:t>
            </w:r>
          </w:p>
        </w:tc>
      </w:tr>
      <w:tr>
        <w:trPr>
          <w:cantSplit/>
        </w:trPr>
        <w:tc>
          <w:tcPr>
            <w:tcW w:w="6000" w:type="dxa"/>
            <w:vAlign w:val="center"/>
          </w:tcPr>
          <w:p>
            <w:pPr>
              <w:spacing w:before="10" w:after="10" w:line="240" w:lineRule="auto"/>
              <w:jc w:val="left"/>
              <w:rPr>
                <w:rFonts w:ascii="Arial" w:hAnsi="Arial"/>
                <w:color w:val="000000"/>
                <w:sz w:val="16"/>
              </w:rPr>
            </w:pPr>
            <w:r>
              <w:rPr>
                <w:rFonts w:ascii="Arial" w:hAnsi="Arial"/>
                <w:color w:val="000000"/>
                <w:sz w:val="16"/>
              </w:rPr>
              <w:t xml:space="preserve">Plus Entrepreneurial Profit  (15.0% of RCN)</w:t>
            </w:r>
          </w:p>
        </w:tc>
        <w:tc>
          <w:tcPr>
            <w:tcW w:w="3360" w:type="dxa"/>
            <w:vAlign w:val="center"/>
          </w:tcPr>
          <w:p>
            <w:pPr>
              <w:spacing w:before="10" w:after="10" w:line="240" w:lineRule="auto"/>
              <w:jc w:val="right"/>
              <w:rPr>
                <w:rFonts w:ascii="Arial" w:hAnsi="Arial"/>
                <w:color w:val="000000"/>
                <w:sz w:val="16"/>
              </w:rPr>
            </w:pPr>
            <w:r>
              <w:rPr>
                <w:rFonts w:ascii="Arial" w:hAnsi="Arial"/>
                <w:color w:val="000000"/>
                <w:sz w:val="16"/>
              </w:rPr>
              <w:t xml:space="preserve">$3,924,011</w:t>
            </w:r>
          </w:p>
        </w:tc>
      </w:tr>
      <w:tr>
        <w:trPr>
          <w:cantSplit/>
        </w:trPr>
        <w:tc>
          <w:tcPr>
            <w:tcW w:w="600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Total Replacement Cost New (RCN)</w:t>
            </w:r>
          </w:p>
        </w:tc>
        <w:tc>
          <w:tcPr>
            <w:tcW w:w="336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$30,084,087</w:t>
            </w:r>
          </w:p>
        </w:tc>
      </w:tr>
      <w:tr>
        <w:trPr>
          <w:cantSplit/>
        </w:trPr>
        <w:tc>
          <w:tcPr>
            <w:tcW w:w="6000" w:type="dxa"/>
            <w:vAlign w:val="center"/>
          </w:tcPr>
          <w:p>
            <w:pPr>
              <w:spacing w:before="10" w:after="10" w:line="240" w:lineRule="auto"/>
              <w:ind w:left="180"/>
              <w:jc w:val="left"/>
              <w:rPr>
                <w:rFonts w:ascii="Arial" w:hAnsi="Arial"/>
                <w:color w:val="000000"/>
                <w:sz w:val="16"/>
              </w:rPr>
            </w:pPr>
            <w:r>
              <w:rPr>
                <w:rFonts w:ascii="Arial" w:hAnsi="Arial"/>
                <w:color w:val="000000"/>
                <w:sz w:val="16"/>
              </w:rPr>
              <w:t xml:space="preserve">per square foot of gross building area</w:t>
            </w:r>
          </w:p>
        </w:tc>
        <w:tc>
          <w:tcPr>
            <w:tcW w:w="3360" w:type="dxa"/>
            <w:vAlign w:val="center"/>
          </w:tcPr>
          <w:p>
            <w:pPr>
              <w:spacing w:before="10" w:after="10" w:line="240" w:lineRule="auto"/>
              <w:jc w:val="right"/>
              <w:rPr>
                <w:rFonts w:ascii="Arial" w:hAnsi="Arial"/>
                <w:color w:val="000000"/>
                <w:sz w:val="16"/>
              </w:rPr>
            </w:pPr>
            <w:r>
              <w:rPr>
                <w:rFonts w:ascii="Arial" w:hAnsi="Arial"/>
                <w:color w:val="000000"/>
                <w:sz w:val="16"/>
              </w:rPr>
              <w:t xml:space="preserve">$85.41</w:t>
            </w:r>
          </w:p>
        </w:tc>
      </w:tr>
      <w:tr>
        <w:trPr>
          <w:cantSplit/>
        </w:trPr>
        <w:tc>
          <w:tcPr>
            <w:tcW w:w="9360" w:type="dxa"/>
            <w:gridSpan w:val="2"/>
            <w:shd w:val="clear" w:color="auto" w:fill="808080"/>
            <w:vAlign w:val="center"/>
          </w:tcPr>
          <w:p>
            <w:pPr>
              <w:spacing w:before="10" w:after="10" w:line="240" w:lineRule="auto"/>
              <w:jc w:val="left"/>
              <w:rPr>
                <w:rFonts w:ascii="Arial" w:hAnsi="Arial"/>
                <w:b/>
                <w:color w:val="FFFFFF"/>
                <w:sz w:val="16"/>
              </w:rPr>
            </w:pPr>
            <w:r>
              <w:rPr>
                <w:rFonts w:ascii="Arial" w:hAnsi="Arial"/>
                <w:b/>
                <w:color w:val="FFFFFF"/>
                <w:sz w:val="16"/>
              </w:rPr>
              <w:t xml:space="preserve">Less Accrued Depreciation</w:t>
            </w:r>
          </w:p>
        </w:tc>
      </w:tr>
      <w:tr>
        <w:trPr>
          <w:cantSplit/>
        </w:trPr>
        <w:tc>
          <w:tcPr>
            <w:tcW w:w="6000" w:type="dxa"/>
            <w:vAlign w:val="center"/>
          </w:tcPr>
          <w:p>
            <w:pPr>
              <w:spacing w:before="10" w:after="10" w:line="240" w:lineRule="auto"/>
              <w:ind w:left="180"/>
              <w:jc w:val="left"/>
              <w:rPr>
                <w:rFonts w:ascii="Arial" w:hAnsi="Arial"/>
                <w:color w:val="000000"/>
                <w:sz w:val="16"/>
              </w:rPr>
            </w:pPr>
            <w:r>
              <w:rPr>
                <w:rFonts w:ascii="Arial" w:hAnsi="Arial"/>
                <w:color w:val="000000"/>
                <w:sz w:val="16"/>
              </w:rPr>
              <w:t xml:space="preserve">Physical - Incurable  (4.0%; effective age 5 yrs / 45-yr life)</w:t>
            </w:r>
          </w:p>
        </w:tc>
        <w:tc>
          <w:tcPr>
            <w:tcW w:w="3360" w:type="dxa"/>
            <w:vAlign w:val="center"/>
          </w:tcPr>
          <w:p>
            <w:pPr>
              <w:spacing w:before="10" w:after="10" w:line="240" w:lineRule="auto"/>
              <w:jc w:val="right"/>
              <w:rPr>
                <w:rFonts w:ascii="Arial" w:hAnsi="Arial"/>
                <w:color w:val="000000"/>
                <w:sz w:val="16"/>
              </w:rPr>
            </w:pPr>
            <w:r>
              <w:rPr>
                <w:rFonts w:ascii="Arial" w:hAnsi="Arial"/>
                <w:color w:val="000000"/>
                <w:sz w:val="16"/>
              </w:rPr>
              <w:t xml:space="preserve">($1,203,363)</w:t>
            </w:r>
          </w:p>
        </w:tc>
      </w:tr>
      <w:tr>
        <w:trPr>
          <w:cantSplit/>
        </w:trPr>
        <w:tc>
          <w:tcPr>
            <w:tcW w:w="6000" w:type="dxa"/>
            <w:vAlign w:val="center"/>
          </w:tcPr>
          <w:p>
            <w:pPr>
              <w:spacing w:before="10" w:after="10" w:line="240" w:lineRule="auto"/>
              <w:ind w:left="180"/>
              <w:jc w:val="left"/>
              <w:rPr>
                <w:rFonts w:ascii="Arial" w:hAnsi="Arial"/>
                <w:color w:val="000000"/>
                <w:sz w:val="16"/>
              </w:rPr>
            </w:pPr>
            <w:r>
              <w:rPr>
                <w:rFonts w:ascii="Arial" w:hAnsi="Arial"/>
                <w:color w:val="000000"/>
                <w:sz w:val="16"/>
              </w:rPr>
              <w:t xml:space="preserve">Functional Obsolescence</w:t>
            </w:r>
          </w:p>
        </w:tc>
        <w:tc>
          <w:tcPr>
            <w:tcW w:w="3360" w:type="dxa"/>
            <w:vAlign w:val="center"/>
          </w:tcPr>
          <w:p>
            <w:pPr>
              <w:spacing w:before="10" w:after="10" w:line="240" w:lineRule="auto"/>
              <w:jc w:val="right"/>
              <w:rPr>
                <w:rFonts w:ascii="Arial" w:hAnsi="Arial"/>
                <w:color w:val="000000"/>
                <w:sz w:val="16"/>
              </w:rPr>
            </w:pPr>
            <w:r>
              <w:rPr>
                <w:rFonts w:ascii="Arial" w:hAnsi="Arial"/>
                <w:color w:val="000000"/>
                <w:sz w:val="16"/>
              </w:rPr>
              <w:t xml:space="preserve">$0</w:t>
            </w:r>
          </w:p>
        </w:tc>
      </w:tr>
      <w:tr>
        <w:trPr>
          <w:cantSplit/>
        </w:trPr>
        <w:tc>
          <w:tcPr>
            <w:tcW w:w="6000" w:type="dxa"/>
            <w:vAlign w:val="center"/>
          </w:tcPr>
          <w:p>
            <w:pPr>
              <w:spacing w:before="10" w:after="10" w:line="240" w:lineRule="auto"/>
              <w:ind w:left="180"/>
              <w:jc w:val="left"/>
              <w:rPr>
                <w:rFonts w:ascii="Arial" w:hAnsi="Arial"/>
                <w:color w:val="000000"/>
                <w:sz w:val="16"/>
              </w:rPr>
            </w:pPr>
            <w:r>
              <w:rPr>
                <w:rFonts w:ascii="Arial" w:hAnsi="Arial"/>
                <w:color w:val="000000"/>
                <w:sz w:val="16"/>
              </w:rPr>
              <w:t xml:space="preserve">External Obsolescence</w:t>
            </w:r>
          </w:p>
        </w:tc>
        <w:tc>
          <w:tcPr>
            <w:tcW w:w="3360" w:type="dxa"/>
            <w:vAlign w:val="center"/>
          </w:tcPr>
          <w:p>
            <w:pPr>
              <w:spacing w:before="10" w:after="10" w:line="240" w:lineRule="auto"/>
              <w:jc w:val="right"/>
              <w:rPr>
                <w:rFonts w:ascii="Arial" w:hAnsi="Arial"/>
                <w:color w:val="000000"/>
                <w:sz w:val="16"/>
              </w:rPr>
            </w:pPr>
            <w:r>
              <w:rPr>
                <w:rFonts w:ascii="Arial" w:hAnsi="Arial"/>
                <w:color w:val="000000"/>
                <w:sz w:val="16"/>
              </w:rPr>
              <w:t xml:space="preserve">$0</w:t>
            </w:r>
          </w:p>
        </w:tc>
      </w:tr>
      <w:tr>
        <w:trPr>
          <w:cantSplit/>
        </w:trPr>
        <w:tc>
          <w:tcPr>
            <w:tcW w:w="600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Total Accrued Depreciation</w:t>
            </w:r>
          </w:p>
        </w:tc>
        <w:tc>
          <w:tcPr>
            <w:tcW w:w="336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($1,203,363)</w:t>
            </w:r>
          </w:p>
        </w:tc>
      </w:tr>
      <w:tr>
        <w:trPr>
          <w:cantSplit/>
        </w:trPr>
        <w:tc>
          <w:tcPr>
            <w:tcW w:w="600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Depreciated Value of the Improvements</w:t>
            </w:r>
          </w:p>
        </w:tc>
        <w:tc>
          <w:tcPr>
            <w:tcW w:w="336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$28,880,724</w:t>
            </w:r>
          </w:p>
        </w:tc>
      </w:tr>
      <w:tr>
        <w:trPr>
          <w:cantSplit/>
        </w:trPr>
        <w:tc>
          <w:tcPr>
            <w:tcW w:w="6000" w:type="dxa"/>
            <w:vAlign w:val="center"/>
          </w:tcPr>
          <w:p>
            <w:pPr>
              <w:spacing w:before="10" w:after="10" w:line="240" w:lineRule="auto"/>
              <w:jc w:val="left"/>
              <w:rPr>
                <w:rFonts w:ascii="Arial" w:hAnsi="Arial"/>
                <w:color w:val="000000"/>
                <w:sz w:val="16"/>
              </w:rPr>
            </w:pPr>
            <w:r>
              <w:rPr>
                <w:rFonts w:ascii="Arial" w:hAnsi="Arial"/>
                <w:color w:val="000000"/>
                <w:sz w:val="16"/>
              </w:rPr>
              <w:t xml:space="preserve">Plus Land Value  (from the land sale analysis above)</w:t>
            </w:r>
          </w:p>
        </w:tc>
        <w:tc>
          <w:tcPr>
            <w:tcW w:w="3360" w:type="dxa"/>
            <w:vAlign w:val="center"/>
          </w:tcPr>
          <w:p>
            <w:pPr>
              <w:spacing w:before="10" w:after="10" w:line="240" w:lineRule="auto"/>
              <w:jc w:val="right"/>
              <w:rPr>
                <w:rFonts w:ascii="Arial" w:hAnsi="Arial"/>
                <w:color w:val="000000"/>
                <w:sz w:val="16"/>
              </w:rPr>
            </w:pPr>
            <w:r>
              <w:rPr>
                <w:rFonts w:ascii="Arial" w:hAnsi="Arial"/>
                <w:color w:val="000000"/>
                <w:sz w:val="16"/>
              </w:rPr>
              <w:t xml:space="preserve">$5,000,000</w:t>
            </w:r>
          </w:p>
        </w:tc>
      </w:tr>
      <w:tr>
        <w:trPr>
          <w:cantSplit/>
        </w:trPr>
        <w:tc>
          <w:tcPr>
            <w:tcW w:w="600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Indicated Value by the Cost Approach</w:t>
            </w:r>
          </w:p>
        </w:tc>
        <w:tc>
          <w:tcPr>
            <w:tcW w:w="336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$33,880,724</w:t>
            </w:r>
          </w:p>
        </w:tc>
      </w:tr>
      <w:tr>
        <w:trPr>
          <w:cantSplit/>
        </w:trPr>
        <w:tc>
          <w:tcPr>
            <w:tcW w:w="600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Rounded to nearest  $10,000</w:t>
            </w:r>
          </w:p>
        </w:tc>
        <w:tc>
          <w:tcPr>
            <w:tcW w:w="336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$33,880,000</w:t>
            </w:r>
          </w:p>
        </w:tc>
      </w:tr>
      <w:tr>
        <w:trPr>
          <w:cantSplit/>
        </w:trPr>
        <w:tc>
          <w:tcPr>
            <w:tcW w:w="600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Per Square Foot GBA</w:t>
            </w:r>
          </w:p>
        </w:tc>
        <w:tc>
          <w:tcPr>
            <w:tcW w:w="336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$96.18</w:t>
            </w:r>
          </w:p>
        </w:tc>
      </w:tr>
    </w:tbl>
    <w:p w14:paraId="04A43AB1" w14:textId="77777777" w:rsidR="00C22D9C" w:rsidRDefault="00C22D9C">
      <w:pPr>
        <w:rPr>
          <w:b/>
          <w:bCs/>
          <w:sz w:val="32"/>
          <w:szCs w:val="32"/>
        </w:rPr>
      </w:pPr>
      <w:r>
        <w:rPr>
          <w:b/>
          <w:bCs/>
          <w:sz w:val="32"/>
          <w:szCs w:val="32"/>
        </w:rPr>
        <w:br w:type="page"/>
      </w:r>
    </w:p>
    <w:p w14:paraId="584CF862" w14:textId="6D1223B5" w:rsidR="00F23FB0" w:rsidRPr="00670825" w:rsidRDefault="00580428" w:rsidP="00580428">
      <w:pPr>
        <w:rPr>
          <w:b/>
          <w:bCs/>
          <w:sz w:val="32"/>
          <w:szCs w:val="32"/>
        </w:rPr>
      </w:pPr>
      <w:bookmarkStart w:id="4" w:name="_Hlk173926546"/>
      <w:r w:rsidRPr="00670825">
        <w:rPr>
          <w:b/>
          <w:bCs/>
          <w:sz w:val="32"/>
          <w:szCs w:val="32"/>
        </w:rPr>
        <w:lastRenderedPageBreak/>
        <w:t xml:space="preserve">Sales Comparison Approach </w:t>
      </w:r>
    </w:p>
    <w:bookmarkEnd w:id="4"/>
    <w:p w14:paraId="1FA8E0E8" w14:textId="58FAB599" w:rsidR="004F292F" w:rsidRDefault="0018241D" w:rsidP="00143D77">
      <w:pPr>
        <w:jc w:val="both"/>
        <w:sectPr w:rsidR="004F292F" w:rsidSect="004F292F">
          <w:pgSz w:w="12240" w:h="15840"/>
          <w:pgMar w:top="1440" w:right="1440" w:bottom="1440" w:left="1440" w:header="720" w:footer="720" w:gutter="0"/>
          <w:cols w:space="720"/>
          <w:docGrid w:linePitch="360"/>
        </w:sectPr>
      </w:pPr>
      <w:r w:rsidRPr="00EE5664">
        <w:t xml:space="preserve">The adjustment grid below shows comparable sales of similar mega warehouse and distribution properties located within the subject's competitive market area during the base period in question. Search parameters included confirmed industrial properties ranging from 163,386 sq. ft. to 999,780 sq. ft. of gross building area, with improvements constructed between 2012 and 2021 as compared to the subject's 2020 year of construction and 5-year age as of the effective date. In addition, the sales included land areas ranging from 148,540 sq. ft. to 3,152,071 sq. ft. in comparison to the subject's 869,458 sq. ft. In total 4 closed/confirmed sales, which are detailed below. While some sales are more comparable than others are, the sales represent a sufficient sample of data reviewed by the appraiser to determine a sound market-based opinion for the subject.</w:t>
      </w:r>
      <w:proofErr w:type="gramStart"/>
      <w:proofErr w:type="gramEnd"/>
    </w:p>
    <w:tbl>
      <w:tblPr>
        <w:tblW w:w="12960" w:type="dxa"/>
        <w:jc w:val="center"/>
        <w:tblBorders>
          <w:top w:val="single" w:sz="4" w:color="BFBFBF"/>
          <w:left w:val="none" w:sz="0" w:color="auto"/>
          <w:bottom w:val="single" w:sz="4" w:color="BFBFBF"/>
          <w:right w:val="none" w:sz="0" w:color="auto"/>
          <w:insideH w:val="single" w:sz="4" w:color="D9D9D9"/>
          <w:insideV w:val="none" w:sz="0" w:color="auto"/>
        </w:tblBorders>
        <w:tblLayout w:type="fixed"/>
        <w:tblCellMar>
          <w:top w:w="0" w:type="dxa"/>
          <w:left w:w="72" w:type="dxa"/>
          <w:bottom w:w="0" w:type="dxa"/>
          <w:right w:w="72" w:type="dxa"/>
        </w:tblCellMar>
      </w:tblPr>
      <w:tblGrid>
        <w:gridCol w:w="3120"/>
        <w:gridCol w:w="1968"/>
        <w:gridCol w:w="1968"/>
        <w:gridCol w:w="1968"/>
        <w:gridCol w:w="1968"/>
        <w:gridCol w:w="1968"/>
      </w:tblGrid>
      <w:tr>
        <w:trPr>
          <w:cantSplit/>
        </w:trPr>
        <w:tc>
          <w:tcPr>
            <w:tcW w:w="12960" w:type="dxa"/>
            <w:gridSpan w:val="6"/>
            <w:shd w:val="clear" w:color="auto" w:fill="1E5631"/>
            <w:vAlign w:val="center"/>
          </w:tcPr>
          <w:p>
            <w:pPr>
              <w:spacing w:before="10" w:after="10" w:line="240" w:lineRule="auto"/>
              <w:jc w:val="center"/>
              <w:rPr>
                <w:rFonts w:ascii="Arial" w:hAnsi="Arial"/>
                <w:b/>
                <w:color w:val="FFFFFF"/>
                <w:sz w:val="18"/>
              </w:rPr>
            </w:pPr>
            <w:r>
              <w:rPr>
                <w:rFonts w:ascii="Arial" w:hAnsi="Arial"/>
                <w:b/>
                <w:color w:val="FFFFFF"/>
                <w:sz w:val="18"/>
              </w:rPr>
              <w:t xml:space="preserve">COMPARABLE SALE ADJUSTMENT GRID</w:t>
            </w:r>
          </w:p>
        </w:tc>
      </w:tr>
      <w:tr>
        <w:trPr>
          <w:cantSplit/>
        </w:trPr>
        <w:tc>
          <w:tcPr>
            <w:tcW w:w="3120" w:type="dxa"/>
            <w:shd w:val="clear" w:color="auto" w:fill="808080"/>
            <w:vAlign w:val="center"/>
          </w:tcPr>
          <w:p>
            <w:pPr>
              <w:spacing w:before="10" w:after="10" w:line="240" w:lineRule="auto"/>
              <w:jc w:val="left"/>
              <w:rPr>
                <w:rFonts w:ascii="Arial" w:hAnsi="Arial"/>
                <w:b/>
                <w:color w:val="FFFFFF"/>
                <w:sz w:val="16"/>
              </w:rPr>
            </w:pPr>
            <w:r>
              <w:rPr>
                <w:rFonts w:ascii="Arial" w:hAnsi="Arial"/>
                <w:b/>
                <w:color w:val="FFFFFF"/>
                <w:sz w:val="16"/>
              </w:rPr>
              <w:t xml:space="preserve"/>
            </w:r>
          </w:p>
        </w:tc>
        <w:tc>
          <w:tcPr>
            <w:tcW w:w="1968" w:type="dxa"/>
            <w:shd w:val="clear" w:color="auto" w:fill="808080"/>
            <w:vAlign w:val="center"/>
          </w:tcPr>
          <w:p>
            <w:pPr>
              <w:spacing w:before="10" w:after="10" w:line="240" w:lineRule="auto"/>
              <w:jc w:val="center"/>
              <w:rPr>
                <w:rFonts w:ascii="Arial" w:hAnsi="Arial"/>
                <w:b/>
                <w:color w:val="FFFFFF"/>
                <w:sz w:val="16"/>
              </w:rPr>
            </w:pPr>
            <w:r>
              <w:rPr>
                <w:rFonts w:ascii="Arial" w:hAnsi="Arial"/>
                <w:b/>
                <w:color w:val="FFFFFF"/>
                <w:sz w:val="16"/>
              </w:rPr>
              <w:t xml:space="preserve">Subject</w:t>
            </w:r>
          </w:p>
        </w:tc>
        <w:tc>
          <w:tcPr>
            <w:tcW w:w="1968" w:type="dxa"/>
            <w:shd w:val="clear" w:color="auto" w:fill="808080"/>
            <w:vAlign w:val="center"/>
          </w:tcPr>
          <w:p>
            <w:pPr>
              <w:spacing w:before="10" w:after="10" w:line="240" w:lineRule="auto"/>
              <w:jc w:val="center"/>
              <w:rPr>
                <w:rFonts w:ascii="Arial" w:hAnsi="Arial"/>
                <w:b/>
                <w:color w:val="FFFFFF"/>
                <w:sz w:val="16"/>
              </w:rPr>
            </w:pPr>
            <w:r>
              <w:rPr>
                <w:rFonts w:ascii="Arial" w:hAnsi="Arial"/>
                <w:b/>
                <w:color w:val="FFFFFF"/>
                <w:sz w:val="16"/>
              </w:rPr>
              <w:t xml:space="preserve">Sale 1</w:t>
            </w:r>
          </w:p>
        </w:tc>
        <w:tc>
          <w:tcPr>
            <w:tcW w:w="1968" w:type="dxa"/>
            <w:shd w:val="clear" w:color="auto" w:fill="808080"/>
            <w:vAlign w:val="center"/>
          </w:tcPr>
          <w:p>
            <w:pPr>
              <w:spacing w:before="10" w:after="10" w:line="240" w:lineRule="auto"/>
              <w:jc w:val="center"/>
              <w:rPr>
                <w:rFonts w:ascii="Arial" w:hAnsi="Arial"/>
                <w:b/>
                <w:color w:val="FFFFFF"/>
                <w:sz w:val="16"/>
              </w:rPr>
            </w:pPr>
            <w:r>
              <w:rPr>
                <w:rFonts w:ascii="Arial" w:hAnsi="Arial"/>
                <w:b/>
                <w:color w:val="FFFFFF"/>
                <w:sz w:val="16"/>
              </w:rPr>
              <w:t xml:space="preserve">Sale 2</w:t>
            </w:r>
          </w:p>
        </w:tc>
        <w:tc>
          <w:tcPr>
            <w:tcW w:w="1968" w:type="dxa"/>
            <w:shd w:val="clear" w:color="auto" w:fill="808080"/>
            <w:vAlign w:val="center"/>
          </w:tcPr>
          <w:p>
            <w:pPr>
              <w:spacing w:before="10" w:after="10" w:line="240" w:lineRule="auto"/>
              <w:jc w:val="center"/>
              <w:rPr>
                <w:rFonts w:ascii="Arial" w:hAnsi="Arial"/>
                <w:b/>
                <w:color w:val="FFFFFF"/>
                <w:sz w:val="16"/>
              </w:rPr>
            </w:pPr>
            <w:r>
              <w:rPr>
                <w:rFonts w:ascii="Arial" w:hAnsi="Arial"/>
                <w:b/>
                <w:color w:val="FFFFFF"/>
                <w:sz w:val="16"/>
              </w:rPr>
              <w:t xml:space="preserve">Sale 3</w:t>
            </w:r>
          </w:p>
        </w:tc>
        <w:tc>
          <w:tcPr>
            <w:tcW w:w="1968" w:type="dxa"/>
            <w:shd w:val="clear" w:color="auto" w:fill="808080"/>
            <w:vAlign w:val="center"/>
          </w:tcPr>
          <w:p>
            <w:pPr>
              <w:spacing w:before="10" w:after="10" w:line="240" w:lineRule="auto"/>
              <w:jc w:val="center"/>
              <w:rPr>
                <w:rFonts w:ascii="Arial" w:hAnsi="Arial"/>
                <w:b/>
                <w:color w:val="FFFFFF"/>
                <w:sz w:val="16"/>
              </w:rPr>
            </w:pPr>
            <w:r>
              <w:rPr>
                <w:rFonts w:ascii="Arial" w:hAnsi="Arial"/>
                <w:b/>
                <w:color w:val="FFFFFF"/>
                <w:sz w:val="16"/>
              </w:rPr>
              <w:t xml:space="preserve">Sale 4</w:t>
            </w:r>
          </w:p>
        </w:tc>
      </w:tr>
      <w:tr>
        <w:trPr>
          <w:cantSplit/>
        </w:trPr>
        <w:tc>
          <w:tcPr>
            <w:tcW w:w="3120" w:type="dxa"/>
            <w:vAlign w:val="center"/>
          </w:tcPr>
          <w:p>
            <w:pPr>
              <w:spacing w:before="10" w:after="10" w:line="240" w:lineRule="auto"/>
              <w:jc w:val="left"/>
              <w:rPr>
                <w:rFonts w:ascii="Arial" w:hAnsi="Arial"/>
                <w:color w:val="000000"/>
                <w:sz w:val="16"/>
              </w:rPr>
            </w:pPr>
            <w:r>
              <w:rPr>
                <w:rFonts w:ascii="Arial" w:hAnsi="Arial"/>
                <w:color w:val="000000"/>
                <w:sz w:val="16"/>
              </w:rPr>
              <w:t xml:space="preserve">Account Number</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R0195554</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R0180551</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R0201311</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R0209679</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R0180894</w:t>
            </w:r>
          </w:p>
        </w:tc>
      </w:tr>
      <w:tr>
        <w:trPr>
          <w:cantSplit/>
        </w:trPr>
        <w:tc>
          <w:tcPr>
            <w:tcW w:w="3120" w:type="dxa"/>
            <w:vAlign w:val="center"/>
          </w:tcPr>
          <w:p>
            <w:pPr>
              <w:spacing w:before="10" w:after="10" w:line="240" w:lineRule="auto"/>
              <w:jc w:val="left"/>
              <w:rPr>
                <w:rFonts w:ascii="Arial" w:hAnsi="Arial"/>
                <w:color w:val="000000"/>
                <w:sz w:val="16"/>
              </w:rPr>
            </w:pPr>
            <w:r>
              <w:rPr>
                <w:rFonts w:ascii="Arial" w:hAnsi="Arial"/>
                <w:color w:val="000000"/>
                <w:sz w:val="16"/>
              </w:rPr>
              <w:t xml:space="preserve">Address</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22600 Interstate 76</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1953 Gunclub Road</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17776-18146 E 84th Avenue</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17501 E 84th Avenue</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1910 n Gun Club Road</w:t>
            </w:r>
          </w:p>
        </w:tc>
      </w:tr>
      <w:tr>
        <w:trPr>
          <w:cantSplit/>
        </w:trPr>
        <w:tc>
          <w:tcPr>
            <w:tcW w:w="3120" w:type="dxa"/>
            <w:vAlign w:val="center"/>
          </w:tcPr>
          <w:p>
            <w:pPr>
              <w:spacing w:before="10" w:after="10" w:line="240" w:lineRule="auto"/>
              <w:jc w:val="left"/>
              <w:rPr>
                <w:rFonts w:ascii="Arial" w:hAnsi="Arial"/>
                <w:color w:val="000000"/>
                <w:sz w:val="16"/>
              </w:rPr>
            </w:pPr>
            <w:r>
              <w:rPr>
                <w:rFonts w:ascii="Arial" w:hAnsi="Arial"/>
                <w:color w:val="000000"/>
                <w:sz w:val="16"/>
              </w:rPr>
              <w:t xml:space="preserve">City, State</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Brighton, CO</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Aurora, CO</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Commerce City, CO</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Commerce City, CO</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Aurora, CO</w:t>
            </w:r>
          </w:p>
        </w:tc>
      </w:tr>
      <w:tr>
        <w:trPr>
          <w:cantSplit/>
        </w:trPr>
        <w:tc>
          <w:tcPr>
            <w:tcW w:w="3120" w:type="dxa"/>
            <w:vAlign w:val="center"/>
          </w:tcPr>
          <w:p>
            <w:pPr>
              <w:spacing w:before="10" w:after="10" w:line="240" w:lineRule="auto"/>
              <w:jc w:val="left"/>
              <w:rPr>
                <w:rFonts w:ascii="Arial" w:hAnsi="Arial"/>
                <w:color w:val="000000"/>
                <w:sz w:val="16"/>
              </w:rPr>
            </w:pPr>
            <w:r>
              <w:rPr>
                <w:rFonts w:ascii="Arial" w:hAnsi="Arial"/>
                <w:color w:val="000000"/>
                <w:sz w:val="16"/>
              </w:rPr>
              <w:t xml:space="preserve">Property Type</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Mega (Storage/Distribution) Warehouse</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Mega Warehouse</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Mega Warehouse</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Mega Warehouse</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Mega Warehouse</w:t>
            </w:r>
          </w:p>
        </w:tc>
      </w:tr>
      <w:tr>
        <w:trPr>
          <w:cantSplit/>
        </w:trPr>
        <w:tc>
          <w:tcPr>
            <w:tcW w:w="3120" w:type="dxa"/>
            <w:vAlign w:val="center"/>
          </w:tcPr>
          <w:p>
            <w:pPr>
              <w:spacing w:before="10" w:after="10" w:line="240" w:lineRule="auto"/>
              <w:jc w:val="left"/>
              <w:rPr>
                <w:rFonts w:ascii="Arial" w:hAnsi="Arial"/>
                <w:color w:val="000000"/>
                <w:sz w:val="16"/>
              </w:rPr>
            </w:pPr>
            <w:r>
              <w:rPr>
                <w:rFonts w:ascii="Arial" w:hAnsi="Arial"/>
                <w:color w:val="000000"/>
                <w:sz w:val="16"/>
              </w:rPr>
              <w:t xml:space="preserve">Sale Date</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N/A</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Sep-21</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Oct-24</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Dec-21</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Jun-21</w:t>
            </w:r>
          </w:p>
        </w:tc>
      </w:tr>
      <w:tr>
        <w:trPr>
          <w:cantSplit/>
        </w:trPr>
        <w:tc>
          <w:tcPr>
            <w:tcW w:w="3120" w:type="dxa"/>
            <w:vAlign w:val="center"/>
          </w:tcPr>
          <w:p>
            <w:pPr>
              <w:spacing w:before="10" w:after="10" w:line="240" w:lineRule="auto"/>
              <w:jc w:val="left"/>
              <w:rPr>
                <w:rFonts w:ascii="Arial" w:hAnsi="Arial"/>
                <w:color w:val="000000"/>
                <w:sz w:val="16"/>
              </w:rPr>
            </w:pPr>
            <w:r>
              <w:rPr>
                <w:rFonts w:ascii="Arial" w:hAnsi="Arial"/>
                <w:color w:val="000000"/>
                <w:sz w:val="16"/>
              </w:rPr>
              <w:t xml:space="preserve">Sale Price</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N/A</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$36,150,000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$61,000,000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$97,558,700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$25,000,000</w:t>
            </w:r>
          </w:p>
        </w:tc>
      </w:tr>
      <w:tr>
        <w:trPr>
          <w:cantSplit/>
        </w:trPr>
        <w:tc>
          <w:tcPr>
            <w:tcW w:w="3120" w:type="dxa"/>
            <w:vAlign w:val="center"/>
          </w:tcPr>
          <w:p>
            <w:pPr>
              <w:spacing w:before="10" w:after="10" w:line="240" w:lineRule="auto"/>
              <w:jc w:val="left"/>
              <w:rPr>
                <w:rFonts w:ascii="Arial" w:hAnsi="Arial"/>
                <w:color w:val="000000"/>
                <w:sz w:val="16"/>
              </w:rPr>
            </w:pPr>
            <w:r>
              <w:rPr>
                <w:rFonts w:ascii="Arial" w:hAnsi="Arial"/>
                <w:color w:val="000000"/>
                <w:sz w:val="16"/>
              </w:rPr>
              <w:t xml:space="preserve">Property Size (SF)</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352,240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220,000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594,400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999,780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163,386</w:t>
            </w:r>
          </w:p>
        </w:tc>
      </w:tr>
      <w:tr>
        <w:trPr>
          <w:cantSplit/>
        </w:trPr>
        <w:tc>
          <w:tcPr>
            <w:tcW w:w="3120" w:type="dxa"/>
            <w:vAlign w:val="center"/>
          </w:tcPr>
          <w:p>
            <w:pPr>
              <w:spacing w:before="10" w:after="10" w:line="240" w:lineRule="auto"/>
              <w:jc w:val="left"/>
              <w:rPr>
                <w:rFonts w:ascii="Arial" w:hAnsi="Arial"/>
                <w:color w:val="000000"/>
                <w:sz w:val="16"/>
              </w:rPr>
            </w:pPr>
            <w:r>
              <w:rPr>
                <w:rFonts w:ascii="Arial" w:hAnsi="Arial"/>
                <w:color w:val="000000"/>
                <w:sz w:val="16"/>
              </w:rPr>
              <w:t xml:space="preserve">Site Size (SF)</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869,458</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148,540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1,442,973</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3,152,071</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436,489</w:t>
            </w:r>
          </w:p>
        </w:tc>
      </w:tr>
      <w:tr>
        <w:trPr>
          <w:cantSplit/>
        </w:trPr>
        <w:tc>
          <w:tcPr>
            <w:tcW w:w="312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Unadjusted Price Per SF</w:t>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$164.32</w:t>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$102.62</w:t>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$97.58</w:t>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$153.01</w:t>
            </w:r>
          </w:p>
        </w:tc>
      </w:tr>
      <w:tr>
        <w:trPr>
          <w:cantSplit/>
        </w:trPr>
        <w:tc>
          <w:tcPr>
            <w:tcW w:w="12960" w:type="dxa"/>
            <w:gridSpan w:val="6"/>
            <w:shd w:val="clear" w:color="auto" w:fill="808080"/>
            <w:vAlign w:val="center"/>
          </w:tcPr>
          <w:p>
            <w:pPr>
              <w:spacing w:before="10" w:after="10" w:line="240" w:lineRule="auto"/>
              <w:jc w:val="left"/>
              <w:rPr>
                <w:rFonts w:ascii="Arial" w:hAnsi="Arial"/>
                <w:b/>
                <w:color w:val="FFFFFF"/>
                <w:sz w:val="16"/>
              </w:rPr>
            </w:pPr>
            <w:r>
              <w:rPr>
                <w:rFonts w:ascii="Arial" w:hAnsi="Arial"/>
                <w:b/>
                <w:color w:val="FFFFFF"/>
                <w:sz w:val="16"/>
              </w:rPr>
              <w:t xml:space="preserve">Quantified Adjustments</w:t>
            </w:r>
          </w:p>
        </w:tc>
      </w:tr>
      <w:tr>
        <w:trPr>
          <w:cantSplit/>
        </w:trPr>
        <w:tc>
          <w:tcPr>
            <w:tcW w:w="3120" w:type="dxa"/>
            <w:vAlign w:val="center"/>
          </w:tcPr>
          <w:p>
            <w:pPr>
              <w:spacing w:before="10" w:after="10" w:line="240" w:lineRule="auto"/>
              <w:jc w:val="left"/>
              <w:rPr>
                <w:rFonts w:ascii="Arial" w:hAnsi="Arial"/>
                <w:color w:val="000000"/>
                <w:sz w:val="16"/>
              </w:rPr>
            </w:pPr>
            <w:r>
              <w:rPr>
                <w:rFonts w:ascii="Arial" w:hAnsi="Arial"/>
                <w:color w:val="000000"/>
                <w:sz w:val="16"/>
              </w:rPr>
              <w:t xml:space="preserve">Financing</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Market Based</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r>
      <w:tr>
        <w:trPr>
          <w:cantSplit/>
        </w:trPr>
        <w:tc>
          <w:tcPr>
            <w:tcW w:w="3120" w:type="dxa"/>
            <w:vAlign w:val="center"/>
          </w:tcPr>
          <w:p>
            <w:pPr>
              <w:spacing w:before="10" w:after="10" w:line="240" w:lineRule="auto"/>
              <w:jc w:val="left"/>
              <w:rPr>
                <w:rFonts w:ascii="Arial" w:hAnsi="Arial"/>
                <w:color w:val="000000"/>
                <w:sz w:val="16"/>
              </w:rPr>
            </w:pPr>
            <w:r>
              <w:rPr>
                <w:rFonts w:ascii="Arial" w:hAnsi="Arial"/>
                <w:color w:val="000000"/>
                <w:sz w:val="16"/>
              </w:rPr>
              <w:t xml:space="preserve">Terms/Conditions of Sale</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None</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r>
      <w:tr>
        <w:trPr>
          <w:cantSplit/>
        </w:trPr>
        <w:tc>
          <w:tcPr>
            <w:tcW w:w="3120" w:type="dxa"/>
            <w:vAlign w:val="center"/>
          </w:tcPr>
          <w:p>
            <w:pPr>
              <w:spacing w:before="10" w:after="10" w:line="240" w:lineRule="auto"/>
              <w:jc w:val="left"/>
              <w:rPr>
                <w:rFonts w:ascii="Arial" w:hAnsi="Arial"/>
                <w:color w:val="000000"/>
                <w:sz w:val="16"/>
              </w:rPr>
            </w:pPr>
            <w:r>
              <w:rPr>
                <w:rFonts w:ascii="Arial" w:hAnsi="Arial"/>
                <w:color w:val="000000"/>
                <w:sz w:val="16"/>
              </w:rPr>
              <w:t xml:space="preserve">Expenditures After Sale</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None</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r>
      <w:tr>
        <w:trPr>
          <w:cantSplit/>
        </w:trPr>
        <w:tc>
          <w:tcPr>
            <w:tcW w:w="3120" w:type="dxa"/>
            <w:vAlign w:val="center"/>
          </w:tcPr>
          <w:p>
            <w:pPr>
              <w:spacing w:before="10" w:after="10" w:line="240" w:lineRule="auto"/>
              <w:jc w:val="left"/>
              <w:rPr>
                <w:rFonts w:ascii="Arial" w:hAnsi="Arial"/>
                <w:color w:val="000000"/>
                <w:sz w:val="16"/>
              </w:rPr>
            </w:pPr>
            <w:r>
              <w:rPr>
                <w:rFonts w:ascii="Arial" w:hAnsi="Arial"/>
                <w:color w:val="000000"/>
                <w:sz w:val="16"/>
              </w:rPr>
              <w:t xml:space="preserve">Market Conditions</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N/A</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2.00%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2.00%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2.00%</w:t>
            </w:r>
          </w:p>
        </w:tc>
      </w:tr>
      <w:tr>
        <w:trPr>
          <w:cantSplit/>
        </w:trPr>
        <w:tc>
          <w:tcPr>
            <w:tcW w:w="312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Total Quantified Adjustment</w:t>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2.00%</w:t>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0.00%</w:t>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2.00%</w:t>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2.00%</w:t>
            </w:r>
          </w:p>
        </w:tc>
      </w:tr>
      <w:tr>
        <w:trPr>
          <w:cantSplit/>
        </w:trPr>
        <w:tc>
          <w:tcPr>
            <w:tcW w:w="312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Quantitatively Adjusted Price</w:t>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$167.60</w:t>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$102.62</w:t>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$99.53</w:t>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$156.07</w:t>
            </w:r>
          </w:p>
        </w:tc>
      </w:tr>
      <w:tr>
        <w:trPr>
          <w:cantSplit/>
        </w:trPr>
        <w:tc>
          <w:tcPr>
            <w:tcW w:w="12960" w:type="dxa"/>
            <w:gridSpan w:val="6"/>
            <w:shd w:val="clear" w:color="auto" w:fill="808080"/>
            <w:vAlign w:val="center"/>
          </w:tcPr>
          <w:p>
            <w:pPr>
              <w:spacing w:before="10" w:after="10" w:line="240" w:lineRule="auto"/>
              <w:jc w:val="left"/>
              <w:rPr>
                <w:rFonts w:ascii="Arial" w:hAnsi="Arial"/>
                <w:b/>
                <w:color w:val="FFFFFF"/>
                <w:sz w:val="16"/>
              </w:rPr>
            </w:pPr>
            <w:r>
              <w:rPr>
                <w:rFonts w:ascii="Arial" w:hAnsi="Arial"/>
                <w:b/>
                <w:color w:val="FFFFFF"/>
                <w:sz w:val="16"/>
              </w:rPr>
              <w:t xml:space="preserve">Qualitative Adjustments</w:t>
            </w:r>
          </w:p>
        </w:tc>
      </w:tr>
      <w:tr>
        <w:trPr>
          <w:cantSplit/>
        </w:trPr>
        <w:tc>
          <w:tcPr>
            <w:tcW w:w="3120" w:type="dxa"/>
            <w:vAlign w:val="center"/>
          </w:tcPr>
          <w:p>
            <w:pPr>
              <w:spacing w:before="10" w:after="10" w:line="240" w:lineRule="auto"/>
              <w:jc w:val="left"/>
              <w:rPr>
                <w:rFonts w:ascii="Arial" w:hAnsi="Arial"/>
                <w:color w:val="000000"/>
                <w:sz w:val="16"/>
              </w:rPr>
            </w:pPr>
            <w:r>
              <w:rPr>
                <w:rFonts w:ascii="Arial" w:hAnsi="Arial"/>
                <w:color w:val="000000"/>
                <w:sz w:val="16"/>
              </w:rPr>
              <w:t xml:space="preserve">Location</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Average</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-10.00%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-10.00%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-10.00%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-10.00%</w:t>
            </w:r>
          </w:p>
        </w:tc>
      </w:tr>
      <w:tr>
        <w:trPr>
          <w:cantSplit/>
        </w:trPr>
        <w:tc>
          <w:tcPr>
            <w:tcW w:w="3120" w:type="dxa"/>
            <w:vAlign w:val="center"/>
          </w:tcPr>
          <w:p>
            <w:pPr>
              <w:spacing w:before="10" w:after="10" w:line="240" w:lineRule="auto"/>
              <w:jc w:val="left"/>
              <w:rPr>
                <w:rFonts w:ascii="Arial" w:hAnsi="Arial"/>
                <w:color w:val="000000"/>
                <w:sz w:val="16"/>
              </w:rPr>
            </w:pPr>
            <w:r>
              <w:rPr>
                <w:rFonts w:ascii="Arial" w:hAnsi="Arial"/>
                <w:color w:val="000000"/>
                <w:sz w:val="16"/>
              </w:rPr>
              <w:t xml:space="preserve">Property Size (SF)</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352,240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-10.00%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-15.00%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-20.00%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-10.00%</w:t>
            </w:r>
          </w:p>
        </w:tc>
      </w:tr>
      <w:tr>
        <w:trPr>
          <w:cantSplit/>
        </w:trPr>
        <w:tc>
          <w:tcPr>
            <w:tcW w:w="3120" w:type="dxa"/>
            <w:vAlign w:val="center"/>
          </w:tcPr>
          <w:p>
            <w:pPr>
              <w:spacing w:before="10" w:after="10" w:line="240" w:lineRule="auto"/>
              <w:jc w:val="left"/>
              <w:rPr>
                <w:rFonts w:ascii="Arial" w:hAnsi="Arial"/>
                <w:color w:val="000000"/>
                <w:sz w:val="16"/>
              </w:rPr>
            </w:pPr>
            <w:r>
              <w:rPr>
                <w:rFonts w:ascii="Arial" w:hAnsi="Arial"/>
                <w:color w:val="000000"/>
                <w:sz w:val="16"/>
              </w:rPr>
              <w:t xml:space="preserve">YOC / Condition</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2020/Typical</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5.00%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r>
      <w:tr>
        <w:trPr>
          <w:cantSplit/>
        </w:trPr>
        <w:tc>
          <w:tcPr>
            <w:tcW w:w="3120" w:type="dxa"/>
            <w:vAlign w:val="center"/>
          </w:tcPr>
          <w:p>
            <w:pPr>
              <w:spacing w:before="10" w:after="10" w:line="240" w:lineRule="auto"/>
              <w:jc w:val="left"/>
              <w:rPr>
                <w:rFonts w:ascii="Arial" w:hAnsi="Arial"/>
                <w:color w:val="000000"/>
                <w:sz w:val="16"/>
              </w:rPr>
            </w:pPr>
            <w:r>
              <w:rPr>
                <w:rFonts w:ascii="Arial" w:hAnsi="Arial"/>
                <w:color w:val="000000"/>
                <w:sz w:val="16"/>
              </w:rPr>
              <w:t xml:space="preserve">Quality</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Average</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r>
      <w:tr>
        <w:trPr>
          <w:cantSplit/>
        </w:trPr>
        <w:tc>
          <w:tcPr>
            <w:tcW w:w="3120" w:type="dxa"/>
            <w:vAlign w:val="center"/>
          </w:tcPr>
          <w:p>
            <w:pPr>
              <w:spacing w:before="10" w:after="10" w:line="240" w:lineRule="auto"/>
              <w:jc w:val="left"/>
              <w:rPr>
                <w:rFonts w:ascii="Arial" w:hAnsi="Arial"/>
                <w:color w:val="000000"/>
                <w:sz w:val="16"/>
              </w:rPr>
            </w:pPr>
            <w:r>
              <w:rPr>
                <w:rFonts w:ascii="Arial" w:hAnsi="Arial"/>
                <w:color w:val="000000"/>
                <w:sz w:val="16"/>
              </w:rPr>
              <w:t xml:space="preserve">Land-To-Building Ratio</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2.47</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r>
      <w:tr>
        <w:trPr>
          <w:cantSplit/>
        </w:trPr>
        <w:tc>
          <w:tcPr>
            <w:tcW w:w="3120" w:type="dxa"/>
            <w:vAlign w:val="center"/>
          </w:tcPr>
          <w:p>
            <w:pPr>
              <w:spacing w:before="10" w:after="10" w:line="240" w:lineRule="auto"/>
              <w:jc w:val="left"/>
              <w:rPr>
                <w:rFonts w:ascii="Arial" w:hAnsi="Arial"/>
                <w:color w:val="000000"/>
                <w:sz w:val="16"/>
              </w:rPr>
            </w:pPr>
            <w:r>
              <w:rPr>
                <w:rFonts w:ascii="Arial" w:hAnsi="Arial"/>
                <w:color w:val="000000"/>
                <w:sz w:val="16"/>
              </w:rPr>
              <w:t xml:space="preserve">Tenancy / Occupancy</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Average</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-15.00%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-15.00%</w:t>
            </w:r>
          </w:p>
        </w:tc>
      </w:tr>
      <w:tr>
        <w:trPr>
          <w:cantSplit/>
        </w:trPr>
        <w:tc>
          <w:tcPr>
            <w:tcW w:w="3120" w:type="dxa"/>
            <w:vAlign w:val="center"/>
          </w:tcPr>
          <w:p>
            <w:pPr>
              <w:spacing w:before="10" w:after="10" w:line="240" w:lineRule="auto"/>
              <w:jc w:val="left"/>
              <w:rPr>
                <w:rFonts w:ascii="Arial" w:hAnsi="Arial"/>
                <w:color w:val="000000"/>
                <w:sz w:val="16"/>
              </w:rPr>
            </w:pPr>
            <w:r>
              <w:rPr>
                <w:rFonts w:ascii="Arial" w:hAnsi="Arial"/>
                <w:color w:val="000000"/>
                <w:sz w:val="16"/>
              </w:rPr>
              <w:t xml:space="preserve">Functional Utility</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Typical</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5.00%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5.00%</w:t>
            </w:r>
          </w:p>
        </w:tc>
        <w:tc>
          <w:tcPr>
            <w:tcW w:w="1968"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r>
      <w:tr>
        <w:trPr>
          <w:cantSplit/>
        </w:trPr>
        <w:tc>
          <w:tcPr>
            <w:tcW w:w="312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Total Non Quantified Adj.</w:t>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-30.00%</w:t>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-20.00%</w:t>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-25.00%</w:t>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-35.00%</w:t>
            </w:r>
          </w:p>
        </w:tc>
      </w:tr>
      <w:tr>
        <w:trPr>
          <w:cantSplit/>
        </w:trPr>
        <w:tc>
          <w:tcPr>
            <w:tcW w:w="312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Indication for Subject:</w:t>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$117.32</w:t>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$82.10</w:t>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$74.65</w:t>
            </w:r>
          </w:p>
        </w:tc>
        <w:tc>
          <w:tcPr>
            <w:tcW w:w="1968"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$101.45</w:t>
            </w:r>
          </w:p>
        </w:tc>
      </w:tr>
    </w:tbl>
    <w:p w14:paraId="1F269B7E" w14:textId="2408144C" w:rsidR="005508BC" w:rsidRDefault="005508BC">
      <w:pPr>
        <w:rPr>
          <w:noProof/>
        </w:rPr>
      </w:pPr>
    </w:p>
    <w:p w14:paraId="6033D3AC" w14:textId="77777777" w:rsidR="00BF0BA5" w:rsidRPr="00BF0BA5" w:rsidRDefault="00BF0BA5" w:rsidP="00BF0BA5">
      <w:pPr>
        <w:tabs>
          <w:tab w:val="left" w:pos="645"/>
          <w:tab w:val="center" w:pos="6480"/>
        </w:tabs>
        <w:sectPr w:rsidR="00BF0BA5" w:rsidRPr="00BF0BA5" w:rsidSect="000929FE">
          <w:pgSz w:w="15840" w:h="12240" w:orient="landscape"/>
          <w:pgMar w:top="1440" w:right="1440" w:bottom="1440" w:left="1440" w:header="720" w:footer="720" w:gutter="0"/>
          <w:cols w:space="720"/>
          <w:docGrid w:linePitch="360"/>
        </w:sectPr>
      </w:pPr>
    </w:p>
    <w:p w14:paraId="56902C1A" w14:textId="22A74D5B" w:rsidR="00EC02A8" w:rsidRDefault="00EC02A8" w:rsidP="000929FE">
      <w:pPr>
        <w:pStyle w:val="Heading2"/>
        <w:rPr>
          <w:b/>
          <w:bCs/>
          <w:color w:val="auto"/>
        </w:rPr>
      </w:pPr>
      <w:r>
        <w:rPr>
          <w:b/>
          <w:bCs/>
          <w:color w:val="auto"/>
        </w:rPr>
        <w:lastRenderedPageBreak/>
        <w:t>IMPROVED COMPARABLE SALE MAP</w:t>
      </w:r>
    </w:p>
    <w:tbl>
      <w:tblPr>
        <w:tblW w:w="9360" w:type="dxa"/>
        <w:jc w:val="center"/>
        <w:tblBorders>
          <w:top w:val="dashed" w:sz="6" w:color="A6A6A6"/>
          <w:left w:val="dashed" w:sz="6" w:color="A6A6A6"/>
          <w:bottom w:val="dashed" w:sz="6" w:color="A6A6A6"/>
          <w:right w:val="dashed" w:sz="6" w:color="A6A6A6"/>
        </w:tblBorders>
        <w:tblLayout w:type="fixed"/>
      </w:tblPr>
      <w:tblGrid>
        <w:gridCol w:w="9360"/>
      </w:tblGrid>
      <w:tr>
        <w:trPr>
          <w:trHeight w:val="4200"/>
        </w:trPr>
        <w:tc>
          <w:tcPr>
            <w:tcW w:w="9360" w:type="dxa"/>
            <w:vAlign w:val="center"/>
          </w:tcPr>
          <w:p>
            <w:pPr>
              <w:spacing w:before="10" w:after="10" w:line="240" w:lineRule="auto"/>
              <w:jc w:val="center"/>
              <w:rPr>
                <w:rFonts w:ascii="Arial" w:hAnsi="Arial"/>
                <w:i/>
                <w:color w:val="808080"/>
                <w:sz w:val="18"/>
              </w:rPr>
            </w:pPr>
            <w:r>
              <w:rPr>
                <w:rFonts w:ascii="Arial" w:hAnsi="Arial"/>
                <w:i/>
                <w:color w:val="808080"/>
                <w:sz w:val="18"/>
              </w:rPr>
              <w:t xml:space="preserve">[ Insert improved comparable sale location map - subject and Sales 1-4 ]</w:t>
            </w:r>
          </w:p>
        </w:tc>
      </w:tr>
    </w:tbl>
    <w:p w14:paraId="21CE78E2" w14:textId="59C0DAA1" w:rsidR="000929FE" w:rsidRPr="00A10039" w:rsidRDefault="000929FE" w:rsidP="000929FE">
      <w:pPr>
        <w:pStyle w:val="Heading2"/>
        <w:rPr>
          <w:b/>
          <w:bCs/>
          <w:color w:val="auto"/>
        </w:rPr>
      </w:pPr>
      <w:r w:rsidRPr="00A10039">
        <w:rPr>
          <w:b/>
          <w:bCs/>
          <w:color w:val="auto"/>
        </w:rPr>
        <w:t>Sales Comparison Approach - Conclusion</w:t>
      </w:r>
    </w:p>
    <w:p w14:paraId="6970C576" w14:textId="25158C8B" w:rsidR="00AF57E8" w:rsidRPr="00A10039" w:rsidRDefault="00AF57E8" w:rsidP="00AF57E8">
      <w:pPr>
        <w:spacing w:before="120"/>
        <w:jc w:val="both"/>
      </w:pPr>
      <w:r w:rsidRPr="00A10039">
        <w:t xml:space="preserve">The comparable sales ranged in price, based on the units of comparison as price per square foot, from $75 PSF to $117 PSF (rounded) after adjustment, with an average of $94 PSF and a median of $92 PSF. Typically, the median is a better measure of central tendency in real estate as it is less influenced by extreme highs and lows within a data set, but the range, mean and median are all considered in the final conclusion under the Sales Comparison Approach. The two lowest indications, at $75 PSF and $82 PSF, come from the two largest buildings in the data set at 999,780 and 594,400 square feet, and bulk distribution buildings of that scale consistently trade below mid-sized facilities on a price-per-square-foot basis. The subject, at 352,240 square feet, is closer in scale to the remaining two sales, which indicate $117 PSF and $101 PSF, and the greatest weight is placed on those indications.</w:t>
      </w:r>
    </w:p>
    <w:p w14:paraId="586B41D0" w14:textId="7795488A" w:rsidR="00F415D3" w:rsidRPr="000A2AB7" w:rsidRDefault="00AF57E8" w:rsidP="00AF57E8">
      <w:pPr>
        <w:spacing w:before="120"/>
        <w:jc w:val="both"/>
        <w:rPr>
          <w:b/>
        </w:rPr>
      </w:pPr>
      <w:r w:rsidRPr="00A10039">
        <w:lastRenderedPageBreak/>
        <w:t xml:space="preserve">To avoid a rounding error, and an unattainable level of accuracy, I have rounded my reconciled value indication via the Sales Comparison Approach to $100 PSF.</w:t>
      </w:r>
    </w:p>
    <w:p w14:paraId="792D744C" w14:textId="77777777" w:rsidR="00A10039" w:rsidRDefault="00A10039" w:rsidP="00F415D3">
      <w:pPr>
        <w:spacing w:before="120"/>
        <w:jc w:val="center"/>
        <w:rPr>
          <w:noProof/>
        </w:rPr>
      </w:pPr>
    </w:p>
    <w:tbl>
      <w:tblPr>
        <w:tblW w:w="6800" w:type="dxa"/>
        <w:jc w:val="center"/>
        <w:tblBorders>
          <w:top w:val="single" w:sz="4" w:color="BFBFBF"/>
          <w:left w:val="none" w:sz="0" w:color="auto"/>
          <w:bottom w:val="single" w:sz="4" w:color="BFBFBF"/>
          <w:right w:val="none" w:sz="0" w:color="auto"/>
          <w:insideH w:val="single" w:sz="4" w:color="D9D9D9"/>
          <w:insideV w:val="none" w:sz="0" w:color="auto"/>
        </w:tblBorders>
        <w:tblLayout w:type="fixed"/>
        <w:tblCellMar>
          <w:top w:w="0" w:type="dxa"/>
          <w:left w:w="72" w:type="dxa"/>
          <w:bottom w:w="0" w:type="dxa"/>
          <w:right w:w="72" w:type="dxa"/>
        </w:tblCellMar>
      </w:tblPr>
      <w:tblGrid>
        <w:gridCol w:w="4200"/>
        <w:gridCol w:w="2600"/>
      </w:tblGrid>
      <w:tr>
        <w:trPr>
          <w:cantSplit/>
        </w:trPr>
        <w:tc>
          <w:tcPr>
            <w:tcW w:w="6800" w:type="dxa"/>
            <w:gridSpan w:val="2"/>
            <w:shd w:val="clear" w:color="auto" w:fill="1E5631"/>
            <w:vAlign w:val="center"/>
          </w:tcPr>
          <w:p>
            <w:pPr>
              <w:spacing w:before="10" w:after="10" w:line="240" w:lineRule="auto"/>
              <w:jc w:val="center"/>
              <w:rPr>
                <w:rFonts w:ascii="Arial" w:hAnsi="Arial"/>
                <w:b/>
                <w:color w:val="FFFFFF"/>
                <w:sz w:val="18"/>
              </w:rPr>
            </w:pPr>
            <w:r>
              <w:rPr>
                <w:rFonts w:ascii="Arial" w:hAnsi="Arial"/>
                <w:b/>
                <w:color w:val="FFFFFF"/>
                <w:sz w:val="18"/>
              </w:rPr>
              <w:t xml:space="preserve">SALES COMPARISON APPROACH VALUE CONCLUSION</w:t>
            </w:r>
          </w:p>
        </w:tc>
      </w:tr>
      <w:tr>
        <w:trPr>
          <w:cantSplit/>
        </w:trPr>
        <w:tc>
          <w:tcPr>
            <w:tcW w:w="4200" w:type="dxa"/>
            <w:vAlign w:val="center"/>
          </w:tcPr>
          <w:p>
            <w:pPr>
              <w:spacing w:before="10" w:after="10" w:line="240" w:lineRule="auto"/>
              <w:jc w:val="left"/>
              <w:rPr>
                <w:rFonts w:ascii="Arial" w:hAnsi="Arial"/>
                <w:color w:val="000000"/>
                <w:sz w:val="16"/>
              </w:rPr>
            </w:pPr>
            <w:r>
              <w:rPr>
                <w:rFonts w:ascii="Arial" w:hAnsi="Arial"/>
                <w:color w:val="000000"/>
                <w:sz w:val="16"/>
              </w:rPr>
              <w:t xml:space="preserve">Indicated Value per SF</w:t>
            </w:r>
          </w:p>
        </w:tc>
        <w:tc>
          <w:tcPr>
            <w:tcW w:w="2600" w:type="dxa"/>
            <w:vAlign w:val="center"/>
          </w:tcPr>
          <w:p>
            <w:pPr>
              <w:spacing w:before="10" w:after="10" w:line="240" w:lineRule="auto"/>
              <w:jc w:val="right"/>
              <w:rPr>
                <w:rFonts w:ascii="Arial" w:hAnsi="Arial"/>
                <w:color w:val="000000"/>
                <w:sz w:val="16"/>
              </w:rPr>
            </w:pPr>
            <w:r>
              <w:rPr>
                <w:rFonts w:ascii="Arial" w:hAnsi="Arial"/>
                <w:color w:val="000000"/>
                <w:sz w:val="16"/>
              </w:rPr>
              <w:t xml:space="preserve">$100.00</w:t>
            </w:r>
          </w:p>
        </w:tc>
      </w:tr>
      <w:tr>
        <w:trPr>
          <w:cantSplit/>
        </w:trPr>
        <w:tc>
          <w:tcPr>
            <w:tcW w:w="4200" w:type="dxa"/>
            <w:vAlign w:val="center"/>
          </w:tcPr>
          <w:p>
            <w:pPr>
              <w:spacing w:before="10" w:after="10" w:line="240" w:lineRule="auto"/>
              <w:jc w:val="left"/>
              <w:rPr>
                <w:rFonts w:ascii="Arial" w:hAnsi="Arial"/>
                <w:color w:val="000000"/>
                <w:sz w:val="16"/>
              </w:rPr>
            </w:pPr>
            <w:r>
              <w:rPr>
                <w:rFonts w:ascii="Arial" w:hAnsi="Arial"/>
                <w:color w:val="000000"/>
                <w:sz w:val="16"/>
              </w:rPr>
              <w:t xml:space="preserve">Building Area (SF)</w:t>
            </w:r>
          </w:p>
        </w:tc>
        <w:tc>
          <w:tcPr>
            <w:tcW w:w="2600" w:type="dxa"/>
            <w:vAlign w:val="center"/>
          </w:tcPr>
          <w:p>
            <w:pPr>
              <w:spacing w:before="10" w:after="10" w:line="240" w:lineRule="auto"/>
              <w:jc w:val="right"/>
              <w:rPr>
                <w:rFonts w:ascii="Arial" w:hAnsi="Arial"/>
                <w:color w:val="000000"/>
                <w:sz w:val="16"/>
              </w:rPr>
            </w:pPr>
            <w:r>
              <w:rPr>
                <w:rFonts w:ascii="Arial" w:hAnsi="Arial"/>
                <w:color w:val="000000"/>
                <w:sz w:val="16"/>
              </w:rPr>
              <w:t xml:space="preserve">x  352,240</w:t>
            </w:r>
          </w:p>
        </w:tc>
      </w:tr>
      <w:tr>
        <w:trPr>
          <w:cantSplit/>
        </w:trPr>
        <w:tc>
          <w:tcPr>
            <w:tcW w:w="420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Indicated Value</w:t>
            </w:r>
          </w:p>
        </w:tc>
        <w:tc>
          <w:tcPr>
            <w:tcW w:w="26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$35,224,000</w:t>
            </w:r>
          </w:p>
        </w:tc>
      </w:tr>
      <w:tr>
        <w:trPr>
          <w:cantSplit/>
        </w:trPr>
        <w:tc>
          <w:tcPr>
            <w:tcW w:w="420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Rounded to nearest  $5,000</w:t>
            </w:r>
          </w:p>
        </w:tc>
        <w:tc>
          <w:tcPr>
            <w:tcW w:w="26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$35,225,000</w:t>
            </w:r>
          </w:p>
        </w:tc>
      </w:tr>
      <w:tr>
        <w:trPr>
          <w:cantSplit/>
        </w:trPr>
        <w:tc>
          <w:tcPr>
            <w:tcW w:w="420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Per SF</w:t>
            </w:r>
          </w:p>
        </w:tc>
        <w:tc>
          <w:tcPr>
            <w:tcW w:w="26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$100.00</w:t>
            </w:r>
          </w:p>
        </w:tc>
      </w:tr>
    </w:tbl>
    <w:p w14:paraId="2B3B2418" w14:textId="77777777" w:rsidR="00C01275" w:rsidRDefault="00C01275" w:rsidP="00F415D3">
      <w:pPr>
        <w:spacing w:before="120"/>
        <w:jc w:val="center"/>
        <w:rPr>
          <w:b/>
          <w:bCs/>
          <w:sz w:val="32"/>
          <w:szCs w:val="32"/>
        </w:rPr>
      </w:pPr>
    </w:p>
    <w:p w14:paraId="16E47CD2" w14:textId="77777777" w:rsidR="00C01275" w:rsidRDefault="00C01275" w:rsidP="00F415D3">
      <w:pPr>
        <w:spacing w:before="120"/>
        <w:jc w:val="center"/>
        <w:rPr>
          <w:b/>
          <w:bCs/>
          <w:sz w:val="32"/>
          <w:szCs w:val="32"/>
        </w:rPr>
        <w:sectPr w:rsidR="00C01275">
          <w:pgSz w:w="12240" w:h="15840"/>
          <w:pgMar w:top="1440" w:right="1440" w:bottom="1440" w:left="1440" w:header="720" w:footer="720" w:gutter="0"/>
          <w:cols w:space="720"/>
          <w:docGrid w:linePitch="360"/>
        </w:sectPr>
      </w:pPr>
    </w:p>
    <w:tbl>
      <w:tblPr>
        <w:tblW w:w="12960" w:type="dxa"/>
        <w:jc w:val="center"/>
        <w:tblBorders>
          <w:top w:val="dashed" w:sz="6" w:color="A6A6A6"/>
          <w:left w:val="dashed" w:sz="6" w:color="A6A6A6"/>
          <w:bottom w:val="dashed" w:sz="6" w:color="A6A6A6"/>
          <w:right w:val="dashed" w:sz="6" w:color="A6A6A6"/>
        </w:tblBorders>
        <w:tblLayout w:type="fixed"/>
      </w:tblPr>
      <w:tblGrid>
        <w:gridCol w:w="12960"/>
      </w:tblGrid>
      <w:tr>
        <w:trPr>
          <w:trHeight w:val="5200"/>
        </w:trPr>
        <w:tc>
          <w:tcPr>
            <w:tcW w:w="12960" w:type="dxa"/>
            <w:vAlign w:val="center"/>
          </w:tcPr>
          <w:p>
            <w:pPr>
              <w:spacing w:before="10" w:after="10" w:line="240" w:lineRule="auto"/>
              <w:jc w:val="center"/>
              <w:rPr>
                <w:rFonts w:ascii="Arial" w:hAnsi="Arial"/>
                <w:i/>
                <w:color w:val="808080"/>
                <w:sz w:val="18"/>
              </w:rPr>
            </w:pPr>
            <w:r>
              <w:rPr>
                <w:rFonts w:ascii="Arial" w:hAnsi="Arial"/>
                <w:i/>
                <w:color w:val="808080"/>
                <w:sz w:val="18"/>
              </w:rPr>
              <w:t xml:space="preserve">[ Insert market rent comparable exhibit - CoStar industrial lease comparables within the subject's market area ]</w:t>
            </w:r>
          </w:p>
        </w:tc>
      </w:tr>
    </w:tbl>
    <w:p w14:paraId="105269DD" w14:textId="77777777" w:rsidR="00C01275" w:rsidRDefault="00C01275" w:rsidP="00F415D3">
      <w:pPr>
        <w:spacing w:before="120"/>
        <w:jc w:val="center"/>
        <w:rPr>
          <w:b/>
          <w:bCs/>
          <w:sz w:val="32"/>
          <w:szCs w:val="32"/>
        </w:rPr>
        <w:sectPr w:rsidR="00C01275" w:rsidSect="00C01275">
          <w:pgSz w:w="15840" w:h="12240" w:orient="landscape"/>
          <w:pgMar w:top="1440" w:right="1440" w:bottom="1440" w:left="1440" w:header="720" w:footer="720" w:gutter="0"/>
          <w:cols w:space="720"/>
          <w:docGrid w:linePitch="360"/>
        </w:sectPr>
      </w:pPr>
    </w:p>
    <w:p w14:paraId="7A7C5EEB" w14:textId="7B410666" w:rsidR="00B43ADC" w:rsidRDefault="00B43ADC" w:rsidP="001B16D5">
      <w:pPr>
        <w:spacing w:before="120"/>
        <w:rPr>
          <w:b/>
          <w:bCs/>
          <w:sz w:val="32"/>
          <w:szCs w:val="32"/>
        </w:rPr>
      </w:pPr>
      <w:r>
        <w:rPr>
          <w:b/>
          <w:bCs/>
          <w:sz w:val="32"/>
          <w:szCs w:val="32"/>
        </w:rPr>
        <w:lastRenderedPageBreak/>
        <w:t>Income Capitalization Approach</w:t>
      </w:r>
    </w:p>
    <w:p w14:paraId="5C7A0D20" w14:textId="4460A1B4" w:rsidR="001F32B6" w:rsidRDefault="00B43ADC" w:rsidP="00FC1354">
      <w:pPr>
        <w:jc w:val="both"/>
      </w:pPr>
      <w:bookmarkStart w:id="5" w:name="_Hlk137805818"/>
      <w:r w:rsidRPr="000A2AB7">
        <w:t xml:space="preserve">The following pages </w:t>
      </w:r>
      <w:proofErr w:type="gramStart"/>
      <w:r w:rsidRPr="000A2AB7">
        <w:t>presents</w:t>
      </w:r>
      <w:proofErr w:type="gramEnd"/>
      <w:r w:rsidRPr="000A2AB7">
        <w:t xml:space="preserve"> an income-based analysis, utilizing market rent</w:t>
      </w:r>
      <w:r w:rsidR="00560F03" w:rsidRPr="000A2AB7">
        <w:t>al rates</w:t>
      </w:r>
      <w:r w:rsidRPr="000A2AB7">
        <w:t xml:space="preserve">, </w:t>
      </w:r>
      <w:r w:rsidR="00334E9B">
        <w:t xml:space="preserve">market occupancy, market </w:t>
      </w:r>
      <w:r w:rsidRPr="000A2AB7">
        <w:t>expenses, and</w:t>
      </w:r>
      <w:r w:rsidR="00334E9B">
        <w:t xml:space="preserve"> market</w:t>
      </w:r>
      <w:r w:rsidRPr="000A2AB7">
        <w:t xml:space="preserve"> capitalization rates to arrive at a market value for the Fee Simple estate of the subject. In this analysis, we assume stabilized occupancy for the subject property a</w:t>
      </w:r>
      <w:r w:rsidR="00334E9B">
        <w:t>t</w:t>
      </w:r>
      <w:r w:rsidRPr="000A2AB7">
        <w:t xml:space="preserve"> a market rate, applied to the entire </w:t>
      </w:r>
      <w:r w:rsidR="00FA6933" w:rsidRPr="000A2AB7">
        <w:t>net rentable area of the subject</w:t>
      </w:r>
      <w:r w:rsidRPr="000A2AB7">
        <w:t>.</w:t>
      </w:r>
      <w:r w:rsidRPr="00143D77">
        <w:t xml:space="preserve"> </w:t>
      </w:r>
    </w:p>
    <w:tbl>
      <w:tblPr>
        <w:tblW w:w="9360" w:type="dxa"/>
        <w:jc w:val="center"/>
        <w:tblBorders>
          <w:top w:val="single" w:sz="4" w:color="BFBFBF"/>
          <w:left w:val="none" w:sz="0" w:color="auto"/>
          <w:bottom w:val="single" w:sz="4" w:color="BFBFBF"/>
          <w:right w:val="none" w:sz="0" w:color="auto"/>
          <w:insideH w:val="single" w:sz="4" w:color="D9D9D9"/>
          <w:insideV w:val="none" w:sz="0" w:color="auto"/>
        </w:tblBorders>
        <w:tblLayout w:type="fixed"/>
        <w:tblCellMar>
          <w:top w:w="0" w:type="dxa"/>
          <w:left w:w="72" w:type="dxa"/>
          <w:bottom w:w="0" w:type="dxa"/>
          <w:right w:w="72" w:type="dxa"/>
        </w:tblCellMar>
      </w:tblPr>
      <w:tblGrid>
        <w:gridCol w:w="4160"/>
        <w:gridCol w:w="1700"/>
        <w:gridCol w:w="1700"/>
        <w:gridCol w:w="1800"/>
      </w:tblGrid>
      <w:tr>
        <w:trPr>
          <w:cantSplit/>
        </w:trPr>
        <w:tc>
          <w:tcPr>
            <w:tcW w:w="9360" w:type="dxa"/>
            <w:gridSpan w:val="4"/>
            <w:shd w:val="clear" w:color="auto" w:fill="1E5631"/>
            <w:vAlign w:val="center"/>
          </w:tcPr>
          <w:p>
            <w:pPr>
              <w:spacing w:before="10" w:after="10" w:line="240" w:lineRule="auto"/>
              <w:jc w:val="center"/>
              <w:rPr>
                <w:rFonts w:ascii="Arial" w:hAnsi="Arial"/>
                <w:b/>
                <w:color w:val="FFFFFF"/>
                <w:sz w:val="18"/>
              </w:rPr>
            </w:pPr>
            <w:r>
              <w:rPr>
                <w:rFonts w:ascii="Arial" w:hAnsi="Arial"/>
                <w:b/>
                <w:color w:val="FFFFFF"/>
                <w:sz w:val="18"/>
              </w:rPr>
              <w:t xml:space="preserve">PGRI - MARKET RENTS</w:t>
            </w:r>
          </w:p>
        </w:tc>
      </w:tr>
      <w:tr>
        <w:trPr>
          <w:cantSplit/>
        </w:trPr>
        <w:tc>
          <w:tcPr>
            <w:tcW w:w="4160" w:type="dxa"/>
            <w:shd w:val="clear" w:color="auto" w:fill="808080"/>
            <w:vAlign w:val="center"/>
          </w:tcPr>
          <w:p>
            <w:pPr>
              <w:spacing w:before="10" w:after="10" w:line="240" w:lineRule="auto"/>
              <w:jc w:val="left"/>
              <w:rPr>
                <w:rFonts w:ascii="Arial" w:hAnsi="Arial"/>
                <w:b/>
                <w:color w:val="FFFFFF"/>
                <w:sz w:val="16"/>
              </w:rPr>
            </w:pPr>
            <w:r>
              <w:rPr>
                <w:rFonts w:ascii="Arial" w:hAnsi="Arial"/>
                <w:b/>
                <w:color w:val="FFFFFF"/>
                <w:sz w:val="16"/>
              </w:rPr>
              <w:t xml:space="preserve">Space Type</w:t>
            </w:r>
          </w:p>
        </w:tc>
        <w:tc>
          <w:tcPr>
            <w:tcW w:w="1700" w:type="dxa"/>
            <w:shd w:val="clear" w:color="auto" w:fill="808080"/>
            <w:vAlign w:val="center"/>
          </w:tcPr>
          <w:p>
            <w:pPr>
              <w:spacing w:before="10" w:after="10" w:line="240" w:lineRule="auto"/>
              <w:jc w:val="right"/>
              <w:rPr>
                <w:rFonts w:ascii="Arial" w:hAnsi="Arial"/>
                <w:b/>
                <w:color w:val="FFFFFF"/>
                <w:sz w:val="16"/>
              </w:rPr>
            </w:pPr>
            <w:r>
              <w:rPr>
                <w:rFonts w:ascii="Arial" w:hAnsi="Arial"/>
                <w:b/>
                <w:color w:val="FFFFFF"/>
                <w:sz w:val="16"/>
              </w:rPr>
              <w:t xml:space="preserve">SF</w:t>
            </w:r>
          </w:p>
        </w:tc>
        <w:tc>
          <w:tcPr>
            <w:tcW w:w="1700" w:type="dxa"/>
            <w:shd w:val="clear" w:color="auto" w:fill="808080"/>
            <w:vAlign w:val="center"/>
          </w:tcPr>
          <w:p>
            <w:pPr>
              <w:spacing w:before="10" w:after="10" w:line="240" w:lineRule="auto"/>
              <w:jc w:val="right"/>
              <w:rPr>
                <w:rFonts w:ascii="Arial" w:hAnsi="Arial"/>
                <w:b/>
                <w:color w:val="FFFFFF"/>
                <w:sz w:val="16"/>
              </w:rPr>
            </w:pPr>
            <w:r>
              <w:rPr>
                <w:rFonts w:ascii="Arial" w:hAnsi="Arial"/>
                <w:b/>
                <w:color w:val="FFFFFF"/>
                <w:sz w:val="16"/>
              </w:rPr>
              <w:t xml:space="preserve">Rent PSF</w:t>
            </w:r>
          </w:p>
        </w:tc>
        <w:tc>
          <w:tcPr>
            <w:tcW w:w="1800" w:type="dxa"/>
            <w:shd w:val="clear" w:color="auto" w:fill="808080"/>
            <w:vAlign w:val="center"/>
          </w:tcPr>
          <w:p>
            <w:pPr>
              <w:spacing w:before="10" w:after="10" w:line="240" w:lineRule="auto"/>
              <w:jc w:val="right"/>
              <w:rPr>
                <w:rFonts w:ascii="Arial" w:hAnsi="Arial"/>
                <w:b/>
                <w:color w:val="FFFFFF"/>
                <w:sz w:val="16"/>
              </w:rPr>
            </w:pPr>
            <w:r>
              <w:rPr>
                <w:rFonts w:ascii="Arial" w:hAnsi="Arial"/>
                <w:b/>
                <w:color w:val="FFFFFF"/>
                <w:sz w:val="16"/>
              </w:rPr>
              <w:t xml:space="preserve">PGRI</w:t>
            </w:r>
          </w:p>
        </w:tc>
      </w:tr>
      <w:tr>
        <w:trPr>
          <w:cantSplit/>
        </w:trPr>
        <w:tc>
          <w:tcPr>
            <w:tcW w:w="4160" w:type="dxa"/>
            <w:vAlign w:val="center"/>
          </w:tcPr>
          <w:p>
            <w:pPr>
              <w:spacing w:before="10" w:after="10" w:line="240" w:lineRule="auto"/>
              <w:jc w:val="left"/>
              <w:rPr>
                <w:rFonts w:ascii="Arial" w:hAnsi="Arial"/>
                <w:color w:val="000000"/>
                <w:sz w:val="16"/>
              </w:rPr>
            </w:pPr>
            <w:r>
              <w:rPr>
                <w:rFonts w:ascii="Arial" w:hAnsi="Arial"/>
                <w:color w:val="000000"/>
                <w:sz w:val="16"/>
              </w:rPr>
              <w:t xml:space="preserve">Mega (Storage/Distribution) Warehouse</w:t>
            </w:r>
          </w:p>
        </w:tc>
        <w:tc>
          <w:tcPr>
            <w:tcW w:w="1700" w:type="dxa"/>
            <w:vAlign w:val="center"/>
          </w:tcPr>
          <w:p>
            <w:pPr>
              <w:spacing w:before="10" w:after="10" w:line="240" w:lineRule="auto"/>
              <w:jc w:val="right"/>
              <w:rPr>
                <w:rFonts w:ascii="Arial" w:hAnsi="Arial"/>
                <w:color w:val="000000"/>
                <w:sz w:val="16"/>
              </w:rPr>
            </w:pPr>
            <w:r>
              <w:rPr>
                <w:rFonts w:ascii="Arial" w:hAnsi="Arial"/>
                <w:color w:val="000000"/>
                <w:sz w:val="16"/>
              </w:rPr>
              <w:t xml:space="preserve">352,240</w:t>
            </w:r>
          </w:p>
        </w:tc>
        <w:tc>
          <w:tcPr>
            <w:tcW w:w="1700" w:type="dxa"/>
            <w:vAlign w:val="center"/>
          </w:tcPr>
          <w:p>
            <w:pPr>
              <w:spacing w:before="10" w:after="10" w:line="240" w:lineRule="auto"/>
              <w:jc w:val="right"/>
              <w:rPr>
                <w:rFonts w:ascii="Arial" w:hAnsi="Arial"/>
                <w:color w:val="000000"/>
                <w:sz w:val="16"/>
              </w:rPr>
            </w:pPr>
            <w:r>
              <w:rPr>
                <w:rFonts w:ascii="Arial" w:hAnsi="Arial"/>
                <w:color w:val="000000"/>
                <w:sz w:val="16"/>
              </w:rPr>
              <w:t xml:space="preserve">$8.00</w:t>
            </w:r>
          </w:p>
        </w:tc>
        <w:tc>
          <w:tcPr>
            <w:tcW w:w="1800" w:type="dxa"/>
            <w:vAlign w:val="center"/>
          </w:tcPr>
          <w:p>
            <w:pPr>
              <w:spacing w:before="10" w:after="10" w:line="240" w:lineRule="auto"/>
              <w:jc w:val="right"/>
              <w:rPr>
                <w:rFonts w:ascii="Arial" w:hAnsi="Arial"/>
                <w:color w:val="000000"/>
                <w:sz w:val="16"/>
              </w:rPr>
            </w:pPr>
            <w:r>
              <w:rPr>
                <w:rFonts w:ascii="Arial" w:hAnsi="Arial"/>
                <w:color w:val="000000"/>
                <w:sz w:val="16"/>
              </w:rPr>
              <w:t xml:space="preserve">$2,817,920</w:t>
            </w:r>
          </w:p>
        </w:tc>
      </w:tr>
      <w:tr>
        <w:trPr>
          <w:cantSplit/>
        </w:trPr>
        <w:tc>
          <w:tcPr>
            <w:tcW w:w="416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Total Potential Gross Rental Income</w:t>
            </w:r>
          </w:p>
        </w:tc>
        <w:tc>
          <w:tcPr>
            <w:tcW w:w="17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352,240</w:t>
            </w:r>
          </w:p>
        </w:tc>
        <w:tc>
          <w:tcPr>
            <w:tcW w:w="17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$8.00</w:t>
            </w:r>
          </w:p>
        </w:tc>
        <w:tc>
          <w:tcPr>
            <w:tcW w:w="18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$2,817,920</w:t>
            </w:r>
          </w:p>
        </w:tc>
      </w:tr>
    </w:tbl>
    <w:p/>
    <w:tbl>
      <w:tblPr>
        <w:tblW w:w="9360" w:type="dxa"/>
        <w:jc w:val="center"/>
        <w:tblBorders>
          <w:top w:val="single" w:sz="4" w:color="BFBFBF"/>
          <w:left w:val="none" w:sz="0" w:color="auto"/>
          <w:bottom w:val="single" w:sz="4" w:color="BFBFBF"/>
          <w:right w:val="none" w:sz="0" w:color="auto"/>
          <w:insideH w:val="single" w:sz="4" w:color="D9D9D9"/>
          <w:insideV w:val="none" w:sz="0" w:color="auto"/>
        </w:tblBorders>
        <w:tblLayout w:type="fixed"/>
        <w:tblCellMar>
          <w:top w:w="0" w:type="dxa"/>
          <w:left w:w="72" w:type="dxa"/>
          <w:bottom w:w="0" w:type="dxa"/>
          <w:right w:w="72" w:type="dxa"/>
        </w:tblCellMar>
      </w:tblPr>
      <w:tblGrid>
        <w:gridCol w:w="7360"/>
        <w:gridCol w:w="2000"/>
      </w:tblGrid>
      <w:tr>
        <w:trPr>
          <w:cantSplit/>
        </w:trPr>
        <w:tc>
          <w:tcPr>
            <w:tcW w:w="9360" w:type="dxa"/>
            <w:gridSpan w:val="2"/>
            <w:shd w:val="clear" w:color="auto" w:fill="1E5631"/>
            <w:vAlign w:val="center"/>
          </w:tcPr>
          <w:p>
            <w:pPr>
              <w:spacing w:before="10" w:after="10" w:line="240" w:lineRule="auto"/>
              <w:jc w:val="center"/>
              <w:rPr>
                <w:rFonts w:ascii="Arial" w:hAnsi="Arial"/>
                <w:b/>
                <w:color w:val="FFFFFF"/>
                <w:sz w:val="18"/>
              </w:rPr>
            </w:pPr>
            <w:r>
              <w:rPr>
                <w:rFonts w:ascii="Arial" w:hAnsi="Arial"/>
                <w:b/>
                <w:color w:val="FFFFFF"/>
                <w:sz w:val="18"/>
              </w:rPr>
              <w:t xml:space="preserve">VACANCY AND COLLECTION LOSS</w:t>
            </w:r>
          </w:p>
        </w:tc>
      </w:tr>
      <w:tr>
        <w:trPr>
          <w:cantSplit/>
        </w:trPr>
        <w:tc>
          <w:tcPr>
            <w:tcW w:w="7360" w:type="dxa"/>
            <w:shd w:val="clear" w:color="auto" w:fill="808080"/>
            <w:vAlign w:val="center"/>
          </w:tcPr>
          <w:p>
            <w:pPr>
              <w:spacing w:before="10" w:after="10" w:line="240" w:lineRule="auto"/>
              <w:jc w:val="left"/>
              <w:rPr>
                <w:rFonts w:ascii="Arial" w:hAnsi="Arial"/>
                <w:b/>
                <w:color w:val="FFFFFF"/>
                <w:sz w:val="16"/>
              </w:rPr>
            </w:pPr>
            <w:r>
              <w:rPr>
                <w:rFonts w:ascii="Arial" w:hAnsi="Arial"/>
                <w:b/>
                <w:color w:val="FFFFFF"/>
                <w:sz w:val="16"/>
              </w:rPr>
              <w:t xml:space="preserve">Source</w:t>
            </w:r>
          </w:p>
        </w:tc>
        <w:tc>
          <w:tcPr>
            <w:tcW w:w="2000" w:type="dxa"/>
            <w:shd w:val="clear" w:color="auto" w:fill="808080"/>
            <w:vAlign w:val="center"/>
          </w:tcPr>
          <w:p>
            <w:pPr>
              <w:spacing w:before="10" w:after="10" w:line="240" w:lineRule="auto"/>
              <w:jc w:val="right"/>
              <w:rPr>
                <w:rFonts w:ascii="Arial" w:hAnsi="Arial"/>
                <w:b/>
                <w:color w:val="FFFFFF"/>
                <w:sz w:val="16"/>
              </w:rPr>
            </w:pPr>
            <w:r>
              <w:rPr>
                <w:rFonts w:ascii="Arial" w:hAnsi="Arial"/>
                <w:b/>
                <w:color w:val="FFFFFF"/>
                <w:sz w:val="16"/>
              </w:rPr>
              <w:t xml:space="preserve">Rate</w:t>
            </w:r>
          </w:p>
        </w:tc>
      </w:tr>
      <w:tr>
        <w:trPr>
          <w:cantSplit/>
        </w:trPr>
        <w:tc>
          <w:tcPr>
            <w:tcW w:w="7360" w:type="dxa"/>
            <w:vAlign w:val="center"/>
          </w:tcPr>
          <w:p>
            <w:pPr>
              <w:spacing w:before="10" w:after="10" w:line="240" w:lineRule="auto"/>
              <w:jc w:val="left"/>
              <w:rPr>
                <w:rFonts w:ascii="Arial" w:hAnsi="Arial"/>
                <w:color w:val="000000"/>
                <w:sz w:val="16"/>
              </w:rPr>
            </w:pPr>
            <w:r>
              <w:rPr>
                <w:rFonts w:ascii="Arial" w:hAnsi="Arial"/>
                <w:color w:val="000000"/>
                <w:sz w:val="16"/>
              </w:rPr>
              <w:t xml:space="preserve">CoStar - Denver CBSA - Industrial 20,000 SF - 50,000 SF</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4.30%</w:t>
            </w:r>
          </w:p>
        </w:tc>
      </w:tr>
      <w:tr>
        <w:trPr>
          <w:cantSplit/>
        </w:trPr>
        <w:tc>
          <w:tcPr>
            <w:tcW w:w="7360" w:type="dxa"/>
            <w:vAlign w:val="center"/>
          </w:tcPr>
          <w:p>
            <w:pPr>
              <w:spacing w:before="10" w:after="10" w:line="240" w:lineRule="auto"/>
              <w:jc w:val="left"/>
              <w:rPr>
                <w:rFonts w:ascii="Arial" w:hAnsi="Arial"/>
                <w:color w:val="000000"/>
                <w:sz w:val="16"/>
              </w:rPr>
            </w:pPr>
            <w:r>
              <w:rPr>
                <w:rFonts w:ascii="Arial" w:hAnsi="Arial"/>
                <w:color w:val="000000"/>
                <w:sz w:val="16"/>
              </w:rPr>
              <w:t xml:space="preserve">CoStar - Adams County - Industrial</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7.00%</w:t>
            </w:r>
          </w:p>
        </w:tc>
      </w:tr>
      <w:tr>
        <w:trPr>
          <w:cantSplit/>
        </w:trPr>
        <w:tc>
          <w:tcPr>
            <w:tcW w:w="7360" w:type="dxa"/>
            <w:vAlign w:val="center"/>
          </w:tcPr>
          <w:p>
            <w:pPr>
              <w:spacing w:before="10" w:after="10" w:line="240" w:lineRule="auto"/>
              <w:jc w:val="left"/>
              <w:rPr>
                <w:rFonts w:ascii="Arial" w:hAnsi="Arial"/>
                <w:color w:val="000000"/>
                <w:sz w:val="16"/>
              </w:rPr>
            </w:pPr>
            <w:r>
              <w:rPr>
                <w:rFonts w:ascii="Arial" w:hAnsi="Arial"/>
                <w:color w:val="000000"/>
                <w:sz w:val="16"/>
              </w:rPr>
              <w:t xml:space="preserve">Range</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4.30% to 7.00%</w:t>
            </w:r>
          </w:p>
        </w:tc>
      </w:tr>
      <w:tr>
        <w:trPr>
          <w:cantSplit/>
        </w:trPr>
        <w:tc>
          <w:tcPr>
            <w:tcW w:w="736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Concluded Overall Vacancy Rate</w:t>
            </w:r>
          </w:p>
        </w:tc>
        <w:tc>
          <w:tcPr>
            <w:tcW w:w="20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5.00%</w:t>
            </w:r>
          </w:p>
        </w:tc>
      </w:tr>
    </w:tbl>
    <w:p/>
    <w:tbl>
      <w:tblPr>
        <w:tblW w:w="9360" w:type="dxa"/>
        <w:jc w:val="center"/>
        <w:tblBorders>
          <w:top w:val="single" w:sz="4" w:color="BFBFBF"/>
          <w:left w:val="none" w:sz="0" w:color="auto"/>
          <w:bottom w:val="single" w:sz="4" w:color="BFBFBF"/>
          <w:right w:val="none" w:sz="0" w:color="auto"/>
          <w:insideH w:val="single" w:sz="4" w:color="D9D9D9"/>
          <w:insideV w:val="none" w:sz="0" w:color="auto"/>
        </w:tblBorders>
        <w:tblLayout w:type="fixed"/>
        <w:tblCellMar>
          <w:top w:w="0" w:type="dxa"/>
          <w:left w:w="72" w:type="dxa"/>
          <w:bottom w:w="0" w:type="dxa"/>
          <w:right w:w="72" w:type="dxa"/>
        </w:tblCellMar>
      </w:tblPr>
      <w:tblGrid>
        <w:gridCol w:w="5360"/>
        <w:gridCol w:w="2000"/>
        <w:gridCol w:w="2000"/>
      </w:tblGrid>
      <w:tr>
        <w:trPr>
          <w:cantSplit/>
        </w:trPr>
        <w:tc>
          <w:tcPr>
            <w:tcW w:w="9360" w:type="dxa"/>
            <w:gridSpan w:val="3"/>
            <w:shd w:val="clear" w:color="auto" w:fill="1E5631"/>
            <w:vAlign w:val="center"/>
          </w:tcPr>
          <w:p>
            <w:pPr>
              <w:spacing w:before="10" w:after="10" w:line="240" w:lineRule="auto"/>
              <w:jc w:val="center"/>
              <w:rPr>
                <w:rFonts w:ascii="Arial" w:hAnsi="Arial"/>
                <w:b/>
                <w:color w:val="FFFFFF"/>
                <w:sz w:val="18"/>
              </w:rPr>
            </w:pPr>
            <w:r>
              <w:rPr>
                <w:rFonts w:ascii="Arial" w:hAnsi="Arial"/>
                <w:b/>
                <w:color w:val="FFFFFF"/>
                <w:sz w:val="18"/>
              </w:rPr>
              <w:t xml:space="preserve">EXPENSES IN TIME OF VACANCY</w:t>
            </w:r>
          </w:p>
        </w:tc>
      </w:tr>
      <w:tr>
        <w:trPr>
          <w:cantSplit/>
        </w:trPr>
        <w:tc>
          <w:tcPr>
            <w:tcW w:w="5360" w:type="dxa"/>
            <w:shd w:val="clear" w:color="auto" w:fill="808080"/>
            <w:vAlign w:val="center"/>
          </w:tcPr>
          <w:p>
            <w:pPr>
              <w:spacing w:before="10" w:after="10" w:line="240" w:lineRule="auto"/>
              <w:jc w:val="left"/>
              <w:rPr>
                <w:rFonts w:ascii="Arial" w:hAnsi="Arial"/>
                <w:b/>
                <w:color w:val="FFFFFF"/>
                <w:sz w:val="16"/>
              </w:rPr>
            </w:pPr>
            <w:r>
              <w:rPr>
                <w:rFonts w:ascii="Arial" w:hAnsi="Arial"/>
                <w:b/>
                <w:color w:val="FFFFFF"/>
                <w:sz w:val="16"/>
              </w:rPr>
              <w:t xml:space="preserve">Expense</w:t>
            </w:r>
          </w:p>
        </w:tc>
        <w:tc>
          <w:tcPr>
            <w:tcW w:w="2000" w:type="dxa"/>
            <w:shd w:val="clear" w:color="auto" w:fill="808080"/>
            <w:vAlign w:val="center"/>
          </w:tcPr>
          <w:p>
            <w:pPr>
              <w:spacing w:before="10" w:after="10" w:line="240" w:lineRule="auto"/>
              <w:jc w:val="right"/>
              <w:rPr>
                <w:rFonts w:ascii="Arial" w:hAnsi="Arial"/>
                <w:b/>
                <w:color w:val="FFFFFF"/>
                <w:sz w:val="16"/>
              </w:rPr>
            </w:pPr>
            <w:r>
              <w:rPr>
                <w:rFonts w:ascii="Arial" w:hAnsi="Arial"/>
                <w:b/>
                <w:color w:val="FFFFFF"/>
                <w:sz w:val="16"/>
              </w:rPr>
              <w:t xml:space="preserve">PSF</w:t>
            </w:r>
          </w:p>
        </w:tc>
        <w:tc>
          <w:tcPr>
            <w:tcW w:w="2000" w:type="dxa"/>
            <w:shd w:val="clear" w:color="auto" w:fill="808080"/>
            <w:vAlign w:val="center"/>
          </w:tcPr>
          <w:p>
            <w:pPr>
              <w:spacing w:before="10" w:after="10" w:line="240" w:lineRule="auto"/>
              <w:jc w:val="right"/>
              <w:rPr>
                <w:rFonts w:ascii="Arial" w:hAnsi="Arial"/>
                <w:b/>
                <w:color w:val="FFFFFF"/>
                <w:sz w:val="16"/>
              </w:rPr>
            </w:pPr>
            <w:r>
              <w:rPr>
                <w:rFonts w:ascii="Arial" w:hAnsi="Arial"/>
                <w:b/>
                <w:color w:val="FFFFFF"/>
                <w:sz w:val="16"/>
              </w:rPr>
              <w:t xml:space="preserve">Total</w:t>
            </w:r>
          </w:p>
        </w:tc>
      </w:tr>
      <w:tr>
        <w:trPr>
          <w:cantSplit/>
        </w:trPr>
        <w:tc>
          <w:tcPr>
            <w:tcW w:w="5360" w:type="dxa"/>
            <w:vAlign w:val="center"/>
          </w:tcPr>
          <w:p>
            <w:pPr>
              <w:spacing w:before="10" w:after="10" w:line="240" w:lineRule="auto"/>
              <w:jc w:val="left"/>
              <w:rPr>
                <w:rFonts w:ascii="Arial" w:hAnsi="Arial"/>
                <w:color w:val="000000"/>
                <w:sz w:val="16"/>
              </w:rPr>
            </w:pPr>
            <w:r>
              <w:rPr>
                <w:rFonts w:ascii="Arial" w:hAnsi="Arial"/>
                <w:color w:val="000000"/>
                <w:sz w:val="16"/>
              </w:rPr>
              <w:t xml:space="preserve">Real Estate Taxes</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$0.71</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$250,000</w:t>
            </w:r>
          </w:p>
        </w:tc>
      </w:tr>
      <w:tr>
        <w:trPr>
          <w:cantSplit/>
        </w:trPr>
        <w:tc>
          <w:tcPr>
            <w:tcW w:w="5360" w:type="dxa"/>
            <w:vAlign w:val="center"/>
          </w:tcPr>
          <w:p>
            <w:pPr>
              <w:spacing w:before="10" w:after="10" w:line="240" w:lineRule="auto"/>
              <w:jc w:val="left"/>
              <w:rPr>
                <w:rFonts w:ascii="Arial" w:hAnsi="Arial"/>
                <w:color w:val="000000"/>
                <w:sz w:val="16"/>
              </w:rPr>
            </w:pPr>
            <w:r>
              <w:rPr>
                <w:rFonts w:ascii="Arial" w:hAnsi="Arial"/>
                <w:color w:val="000000"/>
                <w:sz w:val="16"/>
              </w:rPr>
              <w:t xml:space="preserve">Insurance</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$1.00</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$352,240</w:t>
            </w:r>
          </w:p>
        </w:tc>
      </w:tr>
      <w:tr>
        <w:trPr>
          <w:cantSplit/>
        </w:trPr>
        <w:tc>
          <w:tcPr>
            <w:tcW w:w="5360" w:type="dxa"/>
            <w:vAlign w:val="center"/>
          </w:tcPr>
          <w:p>
            <w:pPr>
              <w:spacing w:before="10" w:after="10" w:line="240" w:lineRule="auto"/>
              <w:jc w:val="left"/>
              <w:rPr>
                <w:rFonts w:ascii="Arial" w:hAnsi="Arial"/>
                <w:color w:val="000000"/>
                <w:sz w:val="16"/>
              </w:rPr>
            </w:pPr>
            <w:r>
              <w:rPr>
                <w:rFonts w:ascii="Arial" w:hAnsi="Arial"/>
                <w:color w:val="000000"/>
                <w:sz w:val="16"/>
              </w:rPr>
              <w:t xml:space="preserve">Utilities</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$1.75</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$616,420</w:t>
            </w:r>
          </w:p>
        </w:tc>
      </w:tr>
      <w:tr>
        <w:trPr>
          <w:cantSplit/>
        </w:trPr>
        <w:tc>
          <w:tcPr>
            <w:tcW w:w="5360" w:type="dxa"/>
            <w:vAlign w:val="center"/>
          </w:tcPr>
          <w:p>
            <w:pPr>
              <w:spacing w:before="10" w:after="10" w:line="240" w:lineRule="auto"/>
              <w:jc w:val="left"/>
              <w:rPr>
                <w:rFonts w:ascii="Arial" w:hAnsi="Arial"/>
                <w:color w:val="000000"/>
                <w:sz w:val="16"/>
              </w:rPr>
            </w:pPr>
            <w:r>
              <w:rPr>
                <w:rFonts w:ascii="Arial" w:hAnsi="Arial"/>
                <w:color w:val="000000"/>
                <w:sz w:val="16"/>
              </w:rPr>
              <w:t xml:space="preserve">CAM Repairs and Maintenance</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$2.50</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$880,600</w:t>
            </w:r>
          </w:p>
        </w:tc>
      </w:tr>
      <w:tr>
        <w:trPr>
          <w:cantSplit/>
        </w:trPr>
        <w:tc>
          <w:tcPr>
            <w:tcW w:w="5360" w:type="dxa"/>
            <w:vAlign w:val="center"/>
          </w:tcPr>
          <w:p>
            <w:pPr>
              <w:spacing w:before="10" w:after="10" w:line="240" w:lineRule="auto"/>
              <w:jc w:val="left"/>
              <w:rPr>
                <w:rFonts w:ascii="Arial" w:hAnsi="Arial"/>
                <w:color w:val="000000"/>
                <w:sz w:val="16"/>
              </w:rPr>
            </w:pPr>
            <w:r>
              <w:rPr>
                <w:rFonts w:ascii="Arial" w:hAnsi="Arial"/>
                <w:color w:val="000000"/>
                <w:sz w:val="16"/>
              </w:rPr>
              <w:t xml:space="preserve">Management</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$0.23</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$80,311</w:t>
            </w:r>
          </w:p>
        </w:tc>
      </w:tr>
      <w:tr>
        <w:trPr>
          <w:cantSplit/>
        </w:trPr>
        <w:tc>
          <w:tcPr>
            <w:tcW w:w="536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Total</w:t>
            </w:r>
          </w:p>
        </w:tc>
        <w:tc>
          <w:tcPr>
            <w:tcW w:w="20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$6.19</w:t>
            </w:r>
          </w:p>
        </w:tc>
        <w:tc>
          <w:tcPr>
            <w:tcW w:w="20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$2,179,571</w:t>
            </w:r>
          </w:p>
        </w:tc>
      </w:tr>
      <w:tr>
        <w:trPr>
          <w:cantSplit/>
        </w:trPr>
        <w:tc>
          <w:tcPr>
            <w:tcW w:w="5360" w:type="dxa"/>
            <w:vAlign w:val="center"/>
          </w:tcPr>
          <w:p>
            <w:pPr>
              <w:spacing w:before="10" w:after="10" w:line="240" w:lineRule="auto"/>
              <w:jc w:val="left"/>
              <w:rPr>
                <w:rFonts w:ascii="Arial" w:hAnsi="Arial"/>
                <w:color w:val="000000"/>
                <w:sz w:val="16"/>
              </w:rPr>
            </w:pPr>
            <w:r>
              <w:rPr>
                <w:rFonts w:ascii="Arial" w:hAnsi="Arial"/>
                <w:color w:val="000000"/>
                <w:sz w:val="16"/>
              </w:rPr>
              <w:t xml:space="preserve">Multiplied by Vacancy Factor of  6.00%</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$0.37</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$130,774</w:t>
            </w:r>
          </w:p>
        </w:tc>
      </w:tr>
      <w:tr>
        <w:trPr>
          <w:cantSplit/>
        </w:trPr>
        <w:tc>
          <w:tcPr>
            <w:tcW w:w="536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Divided by EGI</w:t>
            </w:r>
          </w:p>
        </w:tc>
        <w:tc>
          <w:tcPr>
            <w:tcW w:w="20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
            </w:r>
          </w:p>
        </w:tc>
        <w:tc>
          <w:tcPr>
            <w:tcW w:w="20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4.89%</w:t>
            </w:r>
          </w:p>
        </w:tc>
      </w:tr>
    </w:tbl>
    <w:p/>
    <w:tbl>
      <w:tblPr>
        <w:tblW w:w="9360" w:type="dxa"/>
        <w:jc w:val="center"/>
        <w:tblBorders>
          <w:top w:val="single" w:sz="4" w:color="BFBFBF"/>
          <w:left w:val="none" w:sz="0" w:color="auto"/>
          <w:bottom w:val="single" w:sz="4" w:color="BFBFBF"/>
          <w:right w:val="none" w:sz="0" w:color="auto"/>
          <w:insideH w:val="single" w:sz="4" w:color="D9D9D9"/>
          <w:insideV w:val="none" w:sz="0" w:color="auto"/>
        </w:tblBorders>
        <w:tblLayout w:type="fixed"/>
        <w:tblCellMar>
          <w:top w:w="0" w:type="dxa"/>
          <w:left w:w="72" w:type="dxa"/>
          <w:bottom w:w="0" w:type="dxa"/>
          <w:right w:w="72" w:type="dxa"/>
        </w:tblCellMar>
      </w:tblPr>
      <w:tblGrid>
        <w:gridCol w:w="4060"/>
        <w:gridCol w:w="1900"/>
        <w:gridCol w:w="1900"/>
        <w:gridCol w:w="1500"/>
      </w:tblGrid>
      <w:tr>
        <w:trPr>
          <w:cantSplit/>
        </w:trPr>
        <w:tc>
          <w:tcPr>
            <w:tcW w:w="9360" w:type="dxa"/>
            <w:gridSpan w:val="4"/>
            <w:shd w:val="clear" w:color="auto" w:fill="1E5631"/>
            <w:vAlign w:val="center"/>
          </w:tcPr>
          <w:p>
            <w:pPr>
              <w:spacing w:before="10" w:after="10" w:line="240" w:lineRule="auto"/>
              <w:jc w:val="center"/>
              <w:rPr>
                <w:rFonts w:ascii="Arial" w:hAnsi="Arial"/>
                <w:b/>
                <w:color w:val="FFFFFF"/>
                <w:sz w:val="18"/>
              </w:rPr>
            </w:pPr>
            <w:r>
              <w:rPr>
                <w:rFonts w:ascii="Arial" w:hAnsi="Arial"/>
                <w:b/>
                <w:color w:val="FFFFFF"/>
                <w:sz w:val="18"/>
              </w:rPr>
              <w:t xml:space="preserve">PRO FORMA OPERATING STATEMENT</w:t>
            </w:r>
          </w:p>
        </w:tc>
      </w:tr>
      <w:tr>
        <w:trPr>
          <w:cantSplit/>
        </w:trPr>
        <w:tc>
          <w:tcPr>
            <w:tcW w:w="4060" w:type="dxa"/>
            <w:shd w:val="clear" w:color="auto" w:fill="808080"/>
            <w:vAlign w:val="center"/>
          </w:tcPr>
          <w:p>
            <w:pPr>
              <w:spacing w:before="10" w:after="10" w:line="240" w:lineRule="auto"/>
              <w:jc w:val="left"/>
              <w:rPr>
                <w:rFonts w:ascii="Arial" w:hAnsi="Arial"/>
                <w:b/>
                <w:color w:val="FFFFFF"/>
                <w:sz w:val="16"/>
              </w:rPr>
            </w:pPr>
            <w:r>
              <w:rPr>
                <w:rFonts w:ascii="Arial" w:hAnsi="Arial"/>
                <w:b/>
                <w:color w:val="FFFFFF"/>
                <w:sz w:val="16"/>
              </w:rPr>
              <w:t xml:space="preserve">Category</w:t>
            </w:r>
          </w:p>
        </w:tc>
        <w:tc>
          <w:tcPr>
            <w:tcW w:w="1900" w:type="dxa"/>
            <w:shd w:val="clear" w:color="auto" w:fill="808080"/>
            <w:vAlign w:val="center"/>
          </w:tcPr>
          <w:p>
            <w:pPr>
              <w:spacing w:before="10" w:after="10" w:line="240" w:lineRule="auto"/>
              <w:jc w:val="right"/>
              <w:rPr>
                <w:rFonts w:ascii="Arial" w:hAnsi="Arial"/>
                <w:b/>
                <w:color w:val="FFFFFF"/>
                <w:sz w:val="16"/>
              </w:rPr>
            </w:pPr>
            <w:r>
              <w:rPr>
                <w:rFonts w:ascii="Arial" w:hAnsi="Arial"/>
                <w:b/>
                <w:color w:val="FFFFFF"/>
                <w:sz w:val="16"/>
              </w:rPr>
              <w:t xml:space="preserve">Projected Expenses</w:t>
            </w:r>
          </w:p>
        </w:tc>
        <w:tc>
          <w:tcPr>
            <w:tcW w:w="1900" w:type="dxa"/>
            <w:shd w:val="clear" w:color="auto" w:fill="808080"/>
            <w:vAlign w:val="center"/>
          </w:tcPr>
          <w:p>
            <w:pPr>
              <w:spacing w:before="10" w:after="10" w:line="240" w:lineRule="auto"/>
              <w:jc w:val="right"/>
              <w:rPr>
                <w:rFonts w:ascii="Arial" w:hAnsi="Arial"/>
                <w:b/>
                <w:color w:val="FFFFFF"/>
                <w:sz w:val="16"/>
              </w:rPr>
            </w:pPr>
            <w:r>
              <w:rPr>
                <w:rFonts w:ascii="Arial" w:hAnsi="Arial"/>
                <w:b/>
                <w:color w:val="FFFFFF"/>
                <w:sz w:val="16"/>
              </w:rPr>
              <w:t xml:space="preserve">Projected Income</w:t>
            </w:r>
          </w:p>
        </w:tc>
        <w:tc>
          <w:tcPr>
            <w:tcW w:w="1500" w:type="dxa"/>
            <w:shd w:val="clear" w:color="auto" w:fill="808080"/>
            <w:vAlign w:val="center"/>
          </w:tcPr>
          <w:p>
            <w:pPr>
              <w:spacing w:before="10" w:after="10" w:line="240" w:lineRule="auto"/>
              <w:jc w:val="right"/>
              <w:rPr>
                <w:rFonts w:ascii="Arial" w:hAnsi="Arial"/>
                <w:b/>
                <w:color w:val="FFFFFF"/>
                <w:sz w:val="16"/>
              </w:rPr>
            </w:pPr>
            <w:r>
              <w:rPr>
                <w:rFonts w:ascii="Arial" w:hAnsi="Arial"/>
                <w:b/>
                <w:color w:val="FFFFFF"/>
                <w:sz w:val="16"/>
              </w:rPr>
              <w:t xml:space="preserve">PSF</w:t>
            </w:r>
          </w:p>
        </w:tc>
      </w:tr>
      <w:tr>
        <w:trPr>
          <w:cantSplit/>
        </w:trPr>
        <w:tc>
          <w:tcPr>
            <w:tcW w:w="4060" w:type="dxa"/>
            <w:vAlign w:val="center"/>
          </w:tcPr>
          <w:p>
            <w:pPr>
              <w:spacing w:before="10" w:after="10" w:line="240" w:lineRule="auto"/>
              <w:jc w:val="left"/>
              <w:rPr>
                <w:rFonts w:ascii="Arial" w:hAnsi="Arial"/>
                <w:color w:val="000000"/>
                <w:sz w:val="16"/>
              </w:rPr>
            </w:pPr>
            <w:r>
              <w:rPr>
                <w:rFonts w:ascii="Arial" w:hAnsi="Arial"/>
                <w:color w:val="000000"/>
                <w:sz w:val="16"/>
              </w:rPr>
              <w:t xml:space="preserve">Potential Gross Rental Income (PGRI)</w:t>
            </w:r>
          </w:p>
        </w:tc>
        <w:tc>
          <w:tcPr>
            <w:tcW w:w="1900" w:type="dxa"/>
            <w:vAlign w:val="center"/>
          </w:tcPr>
          <w:p>
            <w:pPr>
              <w:spacing w:before="10" w:after="10" w:line="240" w:lineRule="auto"/>
              <w:jc w:val="right"/>
              <w:rPr>
                <w:rFonts w:ascii="Arial" w:hAnsi="Arial"/>
                <w:color w:val="000000"/>
                <w:sz w:val="16"/>
              </w:rPr>
            </w:pPr>
            <w:r>
              <w:rPr>
                <w:rFonts w:ascii="Arial" w:hAnsi="Arial"/>
                <w:color w:val="000000"/>
                <w:sz w:val="16"/>
              </w:rPr>
              <w:t xml:space="preserve"/>
            </w:r>
          </w:p>
        </w:tc>
        <w:tc>
          <w:tcPr>
            <w:tcW w:w="1900" w:type="dxa"/>
            <w:vAlign w:val="center"/>
          </w:tcPr>
          <w:p>
            <w:pPr>
              <w:spacing w:before="10" w:after="10" w:line="240" w:lineRule="auto"/>
              <w:jc w:val="right"/>
              <w:rPr>
                <w:rFonts w:ascii="Arial" w:hAnsi="Arial"/>
                <w:color w:val="000000"/>
                <w:sz w:val="16"/>
              </w:rPr>
            </w:pPr>
            <w:r>
              <w:rPr>
                <w:rFonts w:ascii="Arial" w:hAnsi="Arial"/>
                <w:color w:val="000000"/>
                <w:sz w:val="16"/>
              </w:rPr>
              <w:t xml:space="preserve">$2,817,920</w:t>
            </w:r>
          </w:p>
        </w:tc>
        <w:tc>
          <w:tcPr>
            <w:tcW w:w="1500" w:type="dxa"/>
            <w:vAlign w:val="center"/>
          </w:tcPr>
          <w:p>
            <w:pPr>
              <w:spacing w:before="10" w:after="10" w:line="240" w:lineRule="auto"/>
              <w:jc w:val="right"/>
              <w:rPr>
                <w:rFonts w:ascii="Arial" w:hAnsi="Arial"/>
                <w:color w:val="000000"/>
                <w:sz w:val="16"/>
              </w:rPr>
            </w:pPr>
            <w:r>
              <w:rPr>
                <w:rFonts w:ascii="Arial" w:hAnsi="Arial"/>
                <w:color w:val="000000"/>
                <w:sz w:val="16"/>
              </w:rPr>
              <w:t xml:space="preserve">$8.00</w:t>
            </w:r>
          </w:p>
        </w:tc>
      </w:tr>
      <w:tr>
        <w:trPr>
          <w:cantSplit/>
        </w:trPr>
        <w:tc>
          <w:tcPr>
            <w:tcW w:w="4060" w:type="dxa"/>
            <w:vAlign w:val="center"/>
          </w:tcPr>
          <w:p>
            <w:pPr>
              <w:spacing w:before="10" w:after="10" w:line="240" w:lineRule="auto"/>
              <w:jc w:val="left"/>
              <w:rPr>
                <w:rFonts w:ascii="Arial" w:hAnsi="Arial"/>
                <w:color w:val="000000"/>
                <w:sz w:val="16"/>
              </w:rPr>
            </w:pPr>
            <w:r>
              <w:rPr>
                <w:rFonts w:ascii="Arial" w:hAnsi="Arial"/>
                <w:color w:val="000000"/>
                <w:sz w:val="16"/>
              </w:rPr>
              <w:t xml:space="preserve">Plus:  Other Income</w:t>
            </w:r>
          </w:p>
        </w:tc>
        <w:tc>
          <w:tcPr>
            <w:tcW w:w="1900" w:type="dxa"/>
            <w:vAlign w:val="center"/>
          </w:tcPr>
          <w:p>
            <w:pPr>
              <w:spacing w:before="10" w:after="10" w:line="240" w:lineRule="auto"/>
              <w:jc w:val="right"/>
              <w:rPr>
                <w:rFonts w:ascii="Arial" w:hAnsi="Arial"/>
                <w:color w:val="000000"/>
                <w:sz w:val="16"/>
              </w:rPr>
            </w:pPr>
            <w:r>
              <w:rPr>
                <w:rFonts w:ascii="Arial" w:hAnsi="Arial"/>
                <w:color w:val="000000"/>
                <w:sz w:val="16"/>
              </w:rPr>
              <w:t xml:space="preserve"/>
            </w:r>
          </w:p>
        </w:tc>
        <w:tc>
          <w:tcPr>
            <w:tcW w:w="1900" w:type="dxa"/>
            <w:vAlign w:val="center"/>
          </w:tcPr>
          <w:p>
            <w:pPr>
              <w:spacing w:before="10" w:after="10" w:line="240" w:lineRule="auto"/>
              <w:jc w:val="right"/>
              <w:rPr>
                <w:rFonts w:ascii="Arial" w:hAnsi="Arial"/>
                <w:color w:val="000000"/>
                <w:sz w:val="16"/>
              </w:rPr>
            </w:pPr>
            <w:r>
              <w:rPr>
                <w:rFonts w:ascii="Arial" w:hAnsi="Arial"/>
                <w:color w:val="000000"/>
                <w:sz w:val="16"/>
              </w:rPr>
              <w:t xml:space="preserve">$0</w:t>
            </w:r>
          </w:p>
        </w:tc>
        <w:tc>
          <w:tcPr>
            <w:tcW w:w="1500"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r>
      <w:tr>
        <w:trPr>
          <w:cantSplit/>
        </w:trPr>
        <w:tc>
          <w:tcPr>
            <w:tcW w:w="4060" w:type="dxa"/>
            <w:vAlign w:val="center"/>
          </w:tcPr>
          <w:p>
            <w:pPr>
              <w:spacing w:before="10" w:after="10" w:line="240" w:lineRule="auto"/>
              <w:jc w:val="left"/>
              <w:rPr>
                <w:rFonts w:ascii="Arial" w:hAnsi="Arial"/>
                <w:color w:val="000000"/>
                <w:sz w:val="16"/>
              </w:rPr>
            </w:pPr>
            <w:r>
              <w:rPr>
                <w:rFonts w:ascii="Arial" w:hAnsi="Arial"/>
                <w:color w:val="000000"/>
                <w:sz w:val="16"/>
              </w:rPr>
              <w:t xml:space="preserve">Plus:  Pass-Through Income</w:t>
            </w:r>
          </w:p>
        </w:tc>
        <w:tc>
          <w:tcPr>
            <w:tcW w:w="1900" w:type="dxa"/>
            <w:vAlign w:val="center"/>
          </w:tcPr>
          <w:p>
            <w:pPr>
              <w:spacing w:before="10" w:after="10" w:line="240" w:lineRule="auto"/>
              <w:jc w:val="right"/>
              <w:rPr>
                <w:rFonts w:ascii="Arial" w:hAnsi="Arial"/>
                <w:color w:val="000000"/>
                <w:sz w:val="16"/>
              </w:rPr>
            </w:pPr>
            <w:r>
              <w:rPr>
                <w:rFonts w:ascii="Arial" w:hAnsi="Arial"/>
                <w:color w:val="000000"/>
                <w:sz w:val="16"/>
              </w:rPr>
              <w:t xml:space="preserve"/>
            </w:r>
          </w:p>
        </w:tc>
        <w:tc>
          <w:tcPr>
            <w:tcW w:w="1900" w:type="dxa"/>
            <w:vAlign w:val="center"/>
          </w:tcPr>
          <w:p>
            <w:pPr>
              <w:spacing w:before="10" w:after="10" w:line="240" w:lineRule="auto"/>
              <w:jc w:val="right"/>
              <w:rPr>
                <w:rFonts w:ascii="Arial" w:hAnsi="Arial"/>
                <w:color w:val="000000"/>
                <w:sz w:val="16"/>
              </w:rPr>
            </w:pPr>
            <w:r>
              <w:rPr>
                <w:rFonts w:ascii="Arial" w:hAnsi="Arial"/>
                <w:color w:val="000000"/>
                <w:sz w:val="16"/>
              </w:rPr>
              <w:t xml:space="preserve">$0</w:t>
            </w:r>
          </w:p>
        </w:tc>
        <w:tc>
          <w:tcPr>
            <w:tcW w:w="1500" w:type="dxa"/>
            <w:vAlign w:val="center"/>
          </w:tcPr>
          <w:p>
            <w:pPr>
              <w:spacing w:before="10" w:after="10" w:line="240" w:lineRule="auto"/>
              <w:jc w:val="right"/>
              <w:rPr>
                <w:rFonts w:ascii="Arial" w:hAnsi="Arial"/>
                <w:color w:val="000000"/>
                <w:sz w:val="16"/>
              </w:rPr>
            </w:pPr>
            <w:r>
              <w:rPr>
                <w:rFonts w:ascii="Arial" w:hAnsi="Arial"/>
                <w:color w:val="000000"/>
                <w:sz w:val="16"/>
              </w:rPr>
              <w:t xml:space="preserve">$0.00</w:t>
            </w:r>
          </w:p>
        </w:tc>
      </w:tr>
      <w:tr>
        <w:trPr>
          <w:cantSplit/>
        </w:trPr>
        <w:tc>
          <w:tcPr>
            <w:tcW w:w="406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Total Potential Gross Rental Income</w:t>
            </w:r>
          </w:p>
        </w:tc>
        <w:tc>
          <w:tcPr>
            <w:tcW w:w="19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
            </w:r>
          </w:p>
        </w:tc>
        <w:tc>
          <w:tcPr>
            <w:tcW w:w="19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$2,817,920</w:t>
            </w:r>
          </w:p>
        </w:tc>
        <w:tc>
          <w:tcPr>
            <w:tcW w:w="15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$8.00</w:t>
            </w:r>
          </w:p>
        </w:tc>
      </w:tr>
      <w:tr>
        <w:trPr>
          <w:cantSplit/>
        </w:trPr>
        <w:tc>
          <w:tcPr>
            <w:tcW w:w="4060" w:type="dxa"/>
            <w:vAlign w:val="center"/>
          </w:tcPr>
          <w:p>
            <w:pPr>
              <w:spacing w:before="10" w:after="10" w:line="240" w:lineRule="auto"/>
              <w:jc w:val="left"/>
              <w:rPr>
                <w:rFonts w:ascii="Arial" w:hAnsi="Arial"/>
                <w:color w:val="000000"/>
                <w:sz w:val="16"/>
              </w:rPr>
            </w:pPr>
            <w:r>
              <w:rPr>
                <w:rFonts w:ascii="Arial" w:hAnsi="Arial"/>
                <w:color w:val="000000"/>
                <w:sz w:val="16"/>
              </w:rPr>
              <w:t xml:space="preserve">Less: Market Vacancy  (5.00%)</w:t>
            </w:r>
          </w:p>
        </w:tc>
        <w:tc>
          <w:tcPr>
            <w:tcW w:w="1900" w:type="dxa"/>
            <w:vAlign w:val="center"/>
          </w:tcPr>
          <w:p>
            <w:pPr>
              <w:spacing w:before="10" w:after="10" w:line="240" w:lineRule="auto"/>
              <w:jc w:val="right"/>
              <w:rPr>
                <w:rFonts w:ascii="Arial" w:hAnsi="Arial"/>
                <w:color w:val="000000"/>
                <w:sz w:val="16"/>
              </w:rPr>
            </w:pPr>
            <w:r>
              <w:rPr>
                <w:rFonts w:ascii="Arial" w:hAnsi="Arial"/>
                <w:color w:val="000000"/>
                <w:sz w:val="16"/>
              </w:rPr>
              <w:t xml:space="preserve">($140,896)</w:t>
            </w:r>
          </w:p>
        </w:tc>
        <w:tc>
          <w:tcPr>
            <w:tcW w:w="1900" w:type="dxa"/>
            <w:vAlign w:val="center"/>
          </w:tcPr>
          <w:p>
            <w:pPr>
              <w:spacing w:before="10" w:after="10" w:line="240" w:lineRule="auto"/>
              <w:jc w:val="right"/>
              <w:rPr>
                <w:rFonts w:ascii="Arial" w:hAnsi="Arial"/>
                <w:color w:val="000000"/>
                <w:sz w:val="16"/>
              </w:rPr>
            </w:pPr>
            <w:r>
              <w:rPr>
                <w:rFonts w:ascii="Arial" w:hAnsi="Arial"/>
                <w:color w:val="000000"/>
                <w:sz w:val="16"/>
              </w:rPr>
              <w:t xml:space="preserve"/>
            </w:r>
          </w:p>
        </w:tc>
        <w:tc>
          <w:tcPr>
            <w:tcW w:w="1500" w:type="dxa"/>
            <w:vAlign w:val="center"/>
          </w:tcPr>
          <w:p>
            <w:pPr>
              <w:spacing w:before="10" w:after="10" w:line="240" w:lineRule="auto"/>
              <w:jc w:val="right"/>
              <w:rPr>
                <w:rFonts w:ascii="Arial" w:hAnsi="Arial"/>
                <w:color w:val="000000"/>
                <w:sz w:val="16"/>
              </w:rPr>
            </w:pPr>
            <w:r>
              <w:rPr>
                <w:rFonts w:ascii="Arial" w:hAnsi="Arial"/>
                <w:color w:val="000000"/>
                <w:sz w:val="16"/>
              </w:rPr>
              <w:t xml:space="preserve">($0.40)</w:t>
            </w:r>
          </w:p>
        </w:tc>
      </w:tr>
      <w:tr>
        <w:trPr>
          <w:cantSplit/>
        </w:trPr>
        <w:tc>
          <w:tcPr>
            <w:tcW w:w="406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Effective Gross Income (EGI)</w:t>
            </w:r>
          </w:p>
        </w:tc>
        <w:tc>
          <w:tcPr>
            <w:tcW w:w="19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
            </w:r>
          </w:p>
        </w:tc>
        <w:tc>
          <w:tcPr>
            <w:tcW w:w="19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$2,677,024</w:t>
            </w:r>
          </w:p>
        </w:tc>
        <w:tc>
          <w:tcPr>
            <w:tcW w:w="15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$7.60</w:t>
            </w:r>
          </w:p>
        </w:tc>
      </w:tr>
      <w:tr>
        <w:trPr>
          <w:cantSplit/>
        </w:trPr>
        <w:tc>
          <w:tcPr>
            <w:tcW w:w="9360" w:type="dxa"/>
            <w:gridSpan w:val="4"/>
            <w:shd w:val="clear" w:color="auto" w:fill="808080"/>
            <w:vAlign w:val="center"/>
          </w:tcPr>
          <w:p>
            <w:pPr>
              <w:spacing w:before="10" w:after="10" w:line="240" w:lineRule="auto"/>
              <w:jc w:val="left"/>
              <w:rPr>
                <w:rFonts w:ascii="Arial" w:hAnsi="Arial"/>
                <w:b/>
                <w:color w:val="FFFFFF"/>
                <w:sz w:val="16"/>
              </w:rPr>
            </w:pPr>
            <w:r>
              <w:rPr>
                <w:rFonts w:ascii="Arial" w:hAnsi="Arial"/>
                <w:b/>
                <w:color w:val="FFFFFF"/>
                <w:sz w:val="16"/>
              </w:rPr>
              <w:t xml:space="preserve">Fixed Expenses</w:t>
            </w:r>
          </w:p>
        </w:tc>
      </w:tr>
      <w:tr>
        <w:trPr>
          <w:cantSplit/>
        </w:trPr>
        <w:tc>
          <w:tcPr>
            <w:tcW w:w="4060" w:type="dxa"/>
            <w:vAlign w:val="center"/>
          </w:tcPr>
          <w:p>
            <w:pPr>
              <w:spacing w:before="10" w:after="10" w:line="240" w:lineRule="auto"/>
              <w:jc w:val="left"/>
              <w:rPr>
                <w:rFonts w:ascii="Arial" w:hAnsi="Arial"/>
                <w:color w:val="000000"/>
                <w:sz w:val="16"/>
              </w:rPr>
            </w:pPr>
            <w:r>
              <w:rPr>
                <w:rFonts w:ascii="Arial" w:hAnsi="Arial"/>
                <w:color w:val="000000"/>
                <w:sz w:val="16"/>
              </w:rPr>
              <w:t xml:space="preserve">Owner's Expenses  (2.00%)</w:t>
            </w:r>
          </w:p>
        </w:tc>
        <w:tc>
          <w:tcPr>
            <w:tcW w:w="1900" w:type="dxa"/>
            <w:vAlign w:val="center"/>
          </w:tcPr>
          <w:p>
            <w:pPr>
              <w:spacing w:before="10" w:after="10" w:line="240" w:lineRule="auto"/>
              <w:jc w:val="right"/>
              <w:rPr>
                <w:rFonts w:ascii="Arial" w:hAnsi="Arial"/>
                <w:color w:val="000000"/>
                <w:sz w:val="16"/>
              </w:rPr>
            </w:pPr>
            <w:r>
              <w:rPr>
                <w:rFonts w:ascii="Arial" w:hAnsi="Arial"/>
                <w:color w:val="000000"/>
                <w:sz w:val="16"/>
              </w:rPr>
              <w:t xml:space="preserve">($53,540)</w:t>
            </w:r>
          </w:p>
        </w:tc>
        <w:tc>
          <w:tcPr>
            <w:tcW w:w="1900" w:type="dxa"/>
            <w:vAlign w:val="center"/>
          </w:tcPr>
          <w:p>
            <w:pPr>
              <w:spacing w:before="10" w:after="10" w:line="240" w:lineRule="auto"/>
              <w:jc w:val="right"/>
              <w:rPr>
                <w:rFonts w:ascii="Arial" w:hAnsi="Arial"/>
                <w:color w:val="000000"/>
                <w:sz w:val="16"/>
              </w:rPr>
            </w:pPr>
            <w:r>
              <w:rPr>
                <w:rFonts w:ascii="Arial" w:hAnsi="Arial"/>
                <w:color w:val="000000"/>
                <w:sz w:val="16"/>
              </w:rPr>
              <w:t xml:space="preserve"/>
            </w:r>
          </w:p>
        </w:tc>
        <w:tc>
          <w:tcPr>
            <w:tcW w:w="1500" w:type="dxa"/>
            <w:vAlign w:val="center"/>
          </w:tcPr>
          <w:p>
            <w:pPr>
              <w:spacing w:before="10" w:after="10" w:line="240" w:lineRule="auto"/>
              <w:jc w:val="right"/>
              <w:rPr>
                <w:rFonts w:ascii="Arial" w:hAnsi="Arial"/>
                <w:color w:val="000000"/>
                <w:sz w:val="16"/>
              </w:rPr>
            </w:pPr>
            <w:r>
              <w:rPr>
                <w:rFonts w:ascii="Arial" w:hAnsi="Arial"/>
                <w:color w:val="000000"/>
                <w:sz w:val="16"/>
              </w:rPr>
              <w:t xml:space="preserve">($0.15)</w:t>
            </w:r>
          </w:p>
        </w:tc>
      </w:tr>
      <w:tr>
        <w:trPr>
          <w:cantSplit/>
        </w:trPr>
        <w:tc>
          <w:tcPr>
            <w:tcW w:w="4060" w:type="dxa"/>
            <w:vAlign w:val="center"/>
          </w:tcPr>
          <w:p>
            <w:pPr>
              <w:spacing w:before="10" w:after="10" w:line="240" w:lineRule="auto"/>
              <w:jc w:val="left"/>
              <w:rPr>
                <w:rFonts w:ascii="Arial" w:hAnsi="Arial"/>
                <w:color w:val="000000"/>
                <w:sz w:val="16"/>
              </w:rPr>
            </w:pPr>
            <w:r>
              <w:rPr>
                <w:rFonts w:ascii="Arial" w:hAnsi="Arial"/>
                <w:color w:val="000000"/>
                <w:sz w:val="16"/>
              </w:rPr>
              <w:t xml:space="preserve">Operating Expense Recovery Loss During Vacancy  (4.89%)</w:t>
            </w:r>
          </w:p>
        </w:tc>
        <w:tc>
          <w:tcPr>
            <w:tcW w:w="1900" w:type="dxa"/>
            <w:vAlign w:val="center"/>
          </w:tcPr>
          <w:p>
            <w:pPr>
              <w:spacing w:before="10" w:after="10" w:line="240" w:lineRule="auto"/>
              <w:jc w:val="right"/>
              <w:rPr>
                <w:rFonts w:ascii="Arial" w:hAnsi="Arial"/>
                <w:color w:val="000000"/>
                <w:sz w:val="16"/>
              </w:rPr>
            </w:pPr>
            <w:r>
              <w:rPr>
                <w:rFonts w:ascii="Arial" w:hAnsi="Arial"/>
                <w:color w:val="000000"/>
                <w:sz w:val="16"/>
              </w:rPr>
              <w:t xml:space="preserve">($130,774)</w:t>
            </w:r>
          </w:p>
        </w:tc>
        <w:tc>
          <w:tcPr>
            <w:tcW w:w="1900" w:type="dxa"/>
            <w:vAlign w:val="center"/>
          </w:tcPr>
          <w:p>
            <w:pPr>
              <w:spacing w:before="10" w:after="10" w:line="240" w:lineRule="auto"/>
              <w:jc w:val="right"/>
              <w:rPr>
                <w:rFonts w:ascii="Arial" w:hAnsi="Arial"/>
                <w:color w:val="000000"/>
                <w:sz w:val="16"/>
              </w:rPr>
            </w:pPr>
            <w:r>
              <w:rPr>
                <w:rFonts w:ascii="Arial" w:hAnsi="Arial"/>
                <w:color w:val="000000"/>
                <w:sz w:val="16"/>
              </w:rPr>
              <w:t xml:space="preserve"/>
            </w:r>
          </w:p>
        </w:tc>
        <w:tc>
          <w:tcPr>
            <w:tcW w:w="1500" w:type="dxa"/>
            <w:vAlign w:val="center"/>
          </w:tcPr>
          <w:p>
            <w:pPr>
              <w:spacing w:before="10" w:after="10" w:line="240" w:lineRule="auto"/>
              <w:jc w:val="right"/>
              <w:rPr>
                <w:rFonts w:ascii="Arial" w:hAnsi="Arial"/>
                <w:color w:val="000000"/>
                <w:sz w:val="16"/>
              </w:rPr>
            </w:pPr>
            <w:r>
              <w:rPr>
                <w:rFonts w:ascii="Arial" w:hAnsi="Arial"/>
                <w:color w:val="000000"/>
                <w:sz w:val="16"/>
              </w:rPr>
              <w:t xml:space="preserve">($0.37)</w:t>
            </w:r>
          </w:p>
        </w:tc>
      </w:tr>
      <w:tr>
        <w:trPr>
          <w:cantSplit/>
        </w:trPr>
        <w:tc>
          <w:tcPr>
            <w:tcW w:w="406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Total Expenses</w:t>
            </w:r>
          </w:p>
        </w:tc>
        <w:tc>
          <w:tcPr>
            <w:tcW w:w="19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($184,315)</w:t>
            </w:r>
          </w:p>
        </w:tc>
        <w:tc>
          <w:tcPr>
            <w:tcW w:w="19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
            </w:r>
          </w:p>
        </w:tc>
        <w:tc>
          <w:tcPr>
            <w:tcW w:w="15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($0.52)</w:t>
            </w:r>
          </w:p>
        </w:tc>
      </w:tr>
      <w:tr>
        <w:trPr>
          <w:cantSplit/>
        </w:trPr>
        <w:tc>
          <w:tcPr>
            <w:tcW w:w="406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Net Operating Income</w:t>
            </w:r>
          </w:p>
        </w:tc>
        <w:tc>
          <w:tcPr>
            <w:tcW w:w="19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
            </w:r>
          </w:p>
        </w:tc>
        <w:tc>
          <w:tcPr>
            <w:tcW w:w="19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$2,492,709</w:t>
            </w:r>
          </w:p>
        </w:tc>
        <w:tc>
          <w:tcPr>
            <w:tcW w:w="15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$7.08</w:t>
            </w:r>
          </w:p>
        </w:tc>
      </w:tr>
    </w:tbl>
    <w:p>
      <w:r>
        <w:br w:type="page"/>
      </w:r>
    </w:p>
    <w:tbl>
      <w:tblPr>
        <w:tblW w:w="9360" w:type="dxa"/>
        <w:jc w:val="center"/>
        <w:tblBorders>
          <w:top w:val="single" w:sz="4" w:color="BFBFBF"/>
          <w:left w:val="none" w:sz="0" w:color="auto"/>
          <w:bottom w:val="single" w:sz="4" w:color="BFBFBF"/>
          <w:right w:val="none" w:sz="0" w:color="auto"/>
          <w:insideH w:val="single" w:sz="4" w:color="D9D9D9"/>
          <w:insideV w:val="none" w:sz="0" w:color="auto"/>
        </w:tblBorders>
        <w:tblLayout w:type="fixed"/>
        <w:tblCellMar>
          <w:top w:w="0" w:type="dxa"/>
          <w:left w:w="72" w:type="dxa"/>
          <w:bottom w:w="0" w:type="dxa"/>
          <w:right w:w="72" w:type="dxa"/>
        </w:tblCellMar>
      </w:tblPr>
      <w:tblGrid>
        <w:gridCol w:w="5360"/>
        <w:gridCol w:w="2000"/>
        <w:gridCol w:w="2000"/>
      </w:tblGrid>
      <w:tr>
        <w:trPr>
          <w:cantSplit/>
        </w:trPr>
        <w:tc>
          <w:tcPr>
            <w:tcW w:w="9360" w:type="dxa"/>
            <w:gridSpan w:val="3"/>
            <w:shd w:val="clear" w:color="auto" w:fill="1E5631"/>
            <w:vAlign w:val="center"/>
          </w:tcPr>
          <w:p>
            <w:pPr>
              <w:spacing w:before="10" w:after="10" w:line="240" w:lineRule="auto"/>
              <w:jc w:val="center"/>
              <w:rPr>
                <w:rFonts w:ascii="Arial" w:hAnsi="Arial"/>
                <w:b/>
                <w:color w:val="FFFFFF"/>
                <w:sz w:val="18"/>
              </w:rPr>
            </w:pPr>
            <w:r>
              <w:rPr>
                <w:rFonts w:ascii="Arial" w:hAnsi="Arial"/>
                <w:b/>
                <w:color w:val="FFFFFF"/>
                <w:sz w:val="18"/>
              </w:rPr>
              <w:t xml:space="preserve">THIRD PARTY SURVEYS - CAPITALIZATION RATES</w:t>
            </w:r>
          </w:p>
        </w:tc>
      </w:tr>
      <w:tr>
        <w:trPr>
          <w:cantSplit/>
        </w:trPr>
        <w:tc>
          <w:tcPr>
            <w:tcW w:w="5360" w:type="dxa"/>
            <w:shd w:val="clear" w:color="auto" w:fill="808080"/>
            <w:vAlign w:val="center"/>
          </w:tcPr>
          <w:p>
            <w:pPr>
              <w:spacing w:before="10" w:after="10" w:line="240" w:lineRule="auto"/>
              <w:jc w:val="left"/>
              <w:rPr>
                <w:rFonts w:ascii="Arial" w:hAnsi="Arial"/>
                <w:b/>
                <w:color w:val="FFFFFF"/>
                <w:sz w:val="16"/>
              </w:rPr>
            </w:pPr>
            <w:r>
              <w:rPr>
                <w:rFonts w:ascii="Arial" w:hAnsi="Arial"/>
                <w:b/>
                <w:color w:val="FFFFFF"/>
                <w:sz w:val="16"/>
              </w:rPr>
              <w:t xml:space="preserve">Category</w:t>
            </w:r>
          </w:p>
        </w:tc>
        <w:tc>
          <w:tcPr>
            <w:tcW w:w="2000" w:type="dxa"/>
            <w:shd w:val="clear" w:color="auto" w:fill="808080"/>
            <w:vAlign w:val="center"/>
          </w:tcPr>
          <w:p>
            <w:pPr>
              <w:spacing w:before="10" w:after="10" w:line="240" w:lineRule="auto"/>
              <w:jc w:val="right"/>
              <w:rPr>
                <w:rFonts w:ascii="Arial" w:hAnsi="Arial"/>
                <w:b/>
                <w:color w:val="FFFFFF"/>
                <w:sz w:val="16"/>
              </w:rPr>
            </w:pPr>
            <w:r>
              <w:rPr>
                <w:rFonts w:ascii="Arial" w:hAnsi="Arial"/>
                <w:b/>
                <w:color w:val="FFFFFF"/>
                <w:sz w:val="16"/>
              </w:rPr>
              <w:t xml:space="preserve">CoStar</w:t>
            </w:r>
          </w:p>
        </w:tc>
        <w:tc>
          <w:tcPr>
            <w:tcW w:w="2000" w:type="dxa"/>
            <w:shd w:val="clear" w:color="auto" w:fill="808080"/>
            <w:vAlign w:val="center"/>
          </w:tcPr>
          <w:p>
            <w:pPr>
              <w:spacing w:before="10" w:after="10" w:line="240" w:lineRule="auto"/>
              <w:jc w:val="right"/>
              <w:rPr>
                <w:rFonts w:ascii="Arial" w:hAnsi="Arial"/>
                <w:b/>
                <w:color w:val="FFFFFF"/>
                <w:sz w:val="16"/>
              </w:rPr>
            </w:pPr>
            <w:r>
              <w:rPr>
                <w:rFonts w:ascii="Arial" w:hAnsi="Arial"/>
                <w:b/>
                <w:color w:val="FFFFFF"/>
                <w:sz w:val="16"/>
              </w:rPr>
              <w:t xml:space="preserve">CoStar</w:t>
            </w:r>
          </w:p>
        </w:tc>
      </w:tr>
      <w:tr>
        <w:trPr>
          <w:cantSplit/>
        </w:trPr>
        <w:tc>
          <w:tcPr>
            <w:tcW w:w="5360" w:type="dxa"/>
            <w:vAlign w:val="center"/>
          </w:tcPr>
          <w:p>
            <w:pPr>
              <w:spacing w:before="10" w:after="10" w:line="240" w:lineRule="auto"/>
              <w:jc w:val="left"/>
              <w:rPr>
                <w:rFonts w:ascii="Arial" w:hAnsi="Arial"/>
                <w:color w:val="000000"/>
                <w:sz w:val="16"/>
              </w:rPr>
            </w:pPr>
            <w:r>
              <w:rPr>
                <w:rFonts w:ascii="Arial" w:hAnsi="Arial"/>
                <w:color w:val="000000"/>
                <w:sz w:val="16"/>
              </w:rPr>
              <w:t xml:space="preserve">Range Average</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4.0% - 12.0%</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4.0% - 11.0%</w:t>
            </w:r>
          </w:p>
        </w:tc>
      </w:tr>
      <w:tr>
        <w:trPr>
          <w:cantSplit/>
        </w:trPr>
        <w:tc>
          <w:tcPr>
            <w:tcW w:w="5360" w:type="dxa"/>
            <w:vAlign w:val="center"/>
          </w:tcPr>
          <w:p>
            <w:pPr>
              <w:spacing w:before="10" w:after="10" w:line="240" w:lineRule="auto"/>
              <w:jc w:val="left"/>
              <w:rPr>
                <w:rFonts w:ascii="Arial" w:hAnsi="Arial"/>
                <w:color w:val="000000"/>
                <w:sz w:val="16"/>
              </w:rPr>
            </w:pPr>
            <w:r>
              <w:rPr>
                <w:rFonts w:ascii="Arial" w:hAnsi="Arial"/>
                <w:color w:val="000000"/>
                <w:sz w:val="16"/>
              </w:rPr>
              <w:t xml:space="preserve">Average</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7.00%</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6.80%</w:t>
            </w:r>
          </w:p>
        </w:tc>
      </w:tr>
      <w:tr>
        <w:trPr>
          <w:cantSplit/>
        </w:trPr>
        <w:tc>
          <w:tcPr>
            <w:tcW w:w="536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Capitalization Rate Conclusion</w:t>
            </w:r>
          </w:p>
        </w:tc>
        <w:tc>
          <w:tcPr>
            <w:tcW w:w="4000" w:type="dxa"/>
            <w:gridSpan w:val="2"/>
            <w:shd w:val="clear" w:color="auto" w:fill="EDEDED"/>
            <w:vAlign w:val="center"/>
          </w:tcPr>
          <w:p>
            <w:pPr>
              <w:spacing w:before="10" w:after="10" w:line="240" w:lineRule="auto"/>
              <w:jc w:val="center"/>
              <w:rPr>
                <w:rFonts w:ascii="Arial" w:hAnsi="Arial"/>
                <w:b/>
                <w:color w:val="000000"/>
                <w:sz w:val="16"/>
              </w:rPr>
            </w:pPr>
            <w:r>
              <w:rPr>
                <w:rFonts w:ascii="Arial" w:hAnsi="Arial"/>
                <w:b/>
                <w:color w:val="000000"/>
                <w:sz w:val="16"/>
              </w:rPr>
              <w:t xml:space="preserve">7.00%</w:t>
            </w:r>
          </w:p>
        </w:tc>
      </w:tr>
    </w:tbl>
    <w:p/>
    <w:tbl>
      <w:tblPr>
        <w:tblW w:w="9360" w:type="dxa"/>
        <w:jc w:val="center"/>
        <w:tblBorders>
          <w:top w:val="single" w:sz="4" w:color="BFBFBF"/>
          <w:left w:val="none" w:sz="0" w:color="auto"/>
          <w:bottom w:val="single" w:sz="4" w:color="BFBFBF"/>
          <w:right w:val="none" w:sz="0" w:color="auto"/>
          <w:insideH w:val="single" w:sz="4" w:color="D9D9D9"/>
          <w:insideV w:val="none" w:sz="0" w:color="auto"/>
        </w:tblBorders>
        <w:tblLayout w:type="fixed"/>
        <w:tblCellMar>
          <w:top w:w="0" w:type="dxa"/>
          <w:left w:w="72" w:type="dxa"/>
          <w:bottom w:w="0" w:type="dxa"/>
          <w:right w:w="72" w:type="dxa"/>
        </w:tblCellMar>
      </w:tblPr>
      <w:tblGrid>
        <w:gridCol w:w="5360"/>
        <w:gridCol w:w="2000"/>
        <w:gridCol w:w="2000"/>
      </w:tblGrid>
      <w:tr>
        <w:trPr>
          <w:cantSplit/>
        </w:trPr>
        <w:tc>
          <w:tcPr>
            <w:tcW w:w="9360" w:type="dxa"/>
            <w:gridSpan w:val="3"/>
            <w:shd w:val="clear" w:color="auto" w:fill="1E5631"/>
            <w:vAlign w:val="center"/>
          </w:tcPr>
          <w:p>
            <w:pPr>
              <w:spacing w:before="10" w:after="10" w:line="240" w:lineRule="auto"/>
              <w:jc w:val="center"/>
              <w:rPr>
                <w:rFonts w:ascii="Arial" w:hAnsi="Arial"/>
                <w:b/>
                <w:color w:val="FFFFFF"/>
                <w:sz w:val="18"/>
              </w:rPr>
            </w:pPr>
            <w:r>
              <w:rPr>
                <w:rFonts w:ascii="Arial" w:hAnsi="Arial"/>
                <w:b/>
                <w:color w:val="FFFFFF"/>
                <w:sz w:val="18"/>
              </w:rPr>
              <w:t xml:space="preserve">DIRECT CAPITALIZATION METHOD VALUE CONCLUSION</w:t>
            </w:r>
          </w:p>
        </w:tc>
      </w:tr>
      <w:tr>
        <w:trPr>
          <w:cantSplit/>
        </w:trPr>
        <w:tc>
          <w:tcPr>
            <w:tcW w:w="536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Net Operating Income (NOI)</w:t>
            </w:r>
          </w:p>
        </w:tc>
        <w:tc>
          <w:tcPr>
            <w:tcW w:w="20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$2,492,709</w:t>
            </w:r>
          </w:p>
        </w:tc>
        <w:tc>
          <w:tcPr>
            <w:tcW w:w="20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$7.08</w:t>
            </w:r>
          </w:p>
        </w:tc>
      </w:tr>
      <w:tr>
        <w:trPr>
          <w:cantSplit/>
        </w:trPr>
        <w:tc>
          <w:tcPr>
            <w:tcW w:w="5360" w:type="dxa"/>
            <w:shd w:val="clear" w:color="auto" w:fill="808080"/>
            <w:vAlign w:val="center"/>
          </w:tcPr>
          <w:p>
            <w:pPr>
              <w:spacing w:before="10" w:after="10" w:line="240" w:lineRule="auto"/>
              <w:jc w:val="left"/>
              <w:rPr>
                <w:rFonts w:ascii="Arial" w:hAnsi="Arial"/>
                <w:b/>
                <w:color w:val="FFFFFF"/>
                <w:sz w:val="16"/>
              </w:rPr>
            </w:pPr>
            <w:r>
              <w:rPr>
                <w:rFonts w:ascii="Arial" w:hAnsi="Arial"/>
                <w:b/>
                <w:color w:val="FFFFFF"/>
                <w:sz w:val="16"/>
              </w:rPr>
              <w:t xml:space="preserve">Sensitivity Analysis (0.25% OAR Spread)</w:t>
            </w:r>
          </w:p>
        </w:tc>
        <w:tc>
          <w:tcPr>
            <w:tcW w:w="2000" w:type="dxa"/>
            <w:shd w:val="clear" w:color="auto" w:fill="808080"/>
            <w:vAlign w:val="center"/>
          </w:tcPr>
          <w:p>
            <w:pPr>
              <w:spacing w:before="10" w:after="10" w:line="240" w:lineRule="auto"/>
              <w:jc w:val="left"/>
              <w:rPr>
                <w:rFonts w:ascii="Arial" w:hAnsi="Arial"/>
                <w:b/>
                <w:color w:val="FFFFFF"/>
                <w:sz w:val="16"/>
              </w:rPr>
            </w:pPr>
            <w:r>
              <w:rPr>
                <w:rFonts w:ascii="Arial" w:hAnsi="Arial"/>
                <w:b/>
                <w:color w:val="FFFFFF"/>
                <w:sz w:val="16"/>
              </w:rPr>
              <w:t xml:space="preserve">Value</w:t>
            </w:r>
          </w:p>
        </w:tc>
        <w:tc>
          <w:tcPr>
            <w:tcW w:w="2000" w:type="dxa"/>
            <w:shd w:val="clear" w:color="auto" w:fill="808080"/>
            <w:vAlign w:val="center"/>
          </w:tcPr>
          <w:p>
            <w:pPr>
              <w:spacing w:before="10" w:after="10" w:line="240" w:lineRule="auto"/>
              <w:jc w:val="left"/>
              <w:rPr>
                <w:rFonts w:ascii="Arial" w:hAnsi="Arial"/>
                <w:b/>
                <w:color w:val="FFFFFF"/>
                <w:sz w:val="16"/>
              </w:rPr>
            </w:pPr>
            <w:r>
              <w:rPr>
                <w:rFonts w:ascii="Arial" w:hAnsi="Arial"/>
                <w:b/>
                <w:color w:val="FFFFFF"/>
                <w:sz w:val="16"/>
              </w:rPr>
              <w:t xml:space="preserve">$/SF</w:t>
            </w:r>
          </w:p>
        </w:tc>
      </w:tr>
      <w:tr>
        <w:trPr>
          <w:cantSplit/>
        </w:trPr>
        <w:tc>
          <w:tcPr>
            <w:tcW w:w="5360" w:type="dxa"/>
            <w:vAlign w:val="center"/>
          </w:tcPr>
          <w:p>
            <w:pPr>
              <w:spacing w:before="10" w:after="10" w:line="240" w:lineRule="auto"/>
              <w:jc w:val="left"/>
              <w:rPr>
                <w:rFonts w:ascii="Arial" w:hAnsi="Arial"/>
                <w:color w:val="000000"/>
                <w:sz w:val="16"/>
              </w:rPr>
            </w:pPr>
            <w:r>
              <w:rPr>
                <w:rFonts w:ascii="Arial" w:hAnsi="Arial"/>
                <w:color w:val="000000"/>
                <w:sz w:val="16"/>
              </w:rPr>
              <w:t xml:space="preserve">Based on Low-Range of 6.75%</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$36,929,026</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$104.84</w:t>
            </w:r>
          </w:p>
        </w:tc>
      </w:tr>
      <w:tr>
        <w:trPr>
          <w:cantSplit/>
        </w:trPr>
        <w:tc>
          <w:tcPr>
            <w:tcW w:w="5360" w:type="dxa"/>
            <w:vAlign w:val="center"/>
          </w:tcPr>
          <w:p>
            <w:pPr>
              <w:spacing w:before="10" w:after="10" w:line="240" w:lineRule="auto"/>
              <w:jc w:val="left"/>
              <w:rPr>
                <w:rFonts w:ascii="Arial" w:hAnsi="Arial"/>
                <w:color w:val="000000"/>
                <w:sz w:val="16"/>
              </w:rPr>
            </w:pPr>
            <w:r>
              <w:rPr>
                <w:rFonts w:ascii="Arial" w:hAnsi="Arial"/>
                <w:color w:val="000000"/>
                <w:sz w:val="16"/>
              </w:rPr>
              <w:t xml:space="preserve">Based on Most Probable Range of 7.00%</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$35,610,133</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$101.10</w:t>
            </w:r>
          </w:p>
        </w:tc>
      </w:tr>
      <w:tr>
        <w:trPr>
          <w:cantSplit/>
        </w:trPr>
        <w:tc>
          <w:tcPr>
            <w:tcW w:w="5360" w:type="dxa"/>
            <w:vAlign w:val="center"/>
          </w:tcPr>
          <w:p>
            <w:pPr>
              <w:spacing w:before="10" w:after="10" w:line="240" w:lineRule="auto"/>
              <w:jc w:val="left"/>
              <w:rPr>
                <w:rFonts w:ascii="Arial" w:hAnsi="Arial"/>
                <w:color w:val="000000"/>
                <w:sz w:val="16"/>
              </w:rPr>
            </w:pPr>
            <w:r>
              <w:rPr>
                <w:rFonts w:ascii="Arial" w:hAnsi="Arial"/>
                <w:color w:val="000000"/>
                <w:sz w:val="16"/>
              </w:rPr>
              <w:t xml:space="preserve">Based on High-Range of 7.25%</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$34,382,197</w:t>
            </w:r>
          </w:p>
        </w:tc>
        <w:tc>
          <w:tcPr>
            <w:tcW w:w="2000" w:type="dxa"/>
            <w:vAlign w:val="center"/>
          </w:tcPr>
          <w:p>
            <w:pPr>
              <w:spacing w:before="10" w:after="10" w:line="240" w:lineRule="auto"/>
              <w:jc w:val="right"/>
              <w:rPr>
                <w:rFonts w:ascii="Arial" w:hAnsi="Arial"/>
                <w:color w:val="000000"/>
                <w:sz w:val="16"/>
              </w:rPr>
            </w:pPr>
            <w:r>
              <w:rPr>
                <w:rFonts w:ascii="Arial" w:hAnsi="Arial"/>
                <w:color w:val="000000"/>
                <w:sz w:val="16"/>
              </w:rPr>
              <w:t xml:space="preserve">$97.61</w:t>
            </w:r>
          </w:p>
        </w:tc>
      </w:tr>
      <w:tr>
        <w:trPr>
          <w:cantSplit/>
        </w:trPr>
        <w:tc>
          <w:tcPr>
            <w:tcW w:w="536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Reconciled Value</w:t>
            </w:r>
          </w:p>
        </w:tc>
        <w:tc>
          <w:tcPr>
            <w:tcW w:w="20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$35,610,133</w:t>
            </w:r>
          </w:p>
        </w:tc>
        <w:tc>
          <w:tcPr>
            <w:tcW w:w="20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$101.10</w:t>
            </w:r>
          </w:p>
        </w:tc>
      </w:tr>
      <w:tr>
        <w:trPr>
          <w:cantSplit/>
        </w:trPr>
        <w:tc>
          <w:tcPr>
            <w:tcW w:w="536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Rounded to nearest  $10,000</w:t>
            </w:r>
          </w:p>
        </w:tc>
        <w:tc>
          <w:tcPr>
            <w:tcW w:w="20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$35,610,000</w:t>
            </w:r>
          </w:p>
        </w:tc>
        <w:tc>
          <w:tcPr>
            <w:tcW w:w="2000" w:type="dxa"/>
            <w:shd w:val="clear" w:color="auto" w:fill="EDEDED"/>
            <w:vAlign w:val="center"/>
          </w:tcPr>
          <w:p>
            <w:pPr>
              <w:spacing w:before="10" w:after="10" w:line="240" w:lineRule="auto"/>
              <w:jc w:val="right"/>
              <w:rPr>
                <w:rFonts w:ascii="Arial" w:hAnsi="Arial"/>
                <w:b/>
                <w:color w:val="000000"/>
                <w:sz w:val="16"/>
              </w:rPr>
            </w:pPr>
            <w:r>
              <w:rPr>
                <w:rFonts w:ascii="Arial" w:hAnsi="Arial"/>
                <w:b/>
                <w:color w:val="000000"/>
                <w:sz w:val="16"/>
              </w:rPr>
              <w:t xml:space="preserve">$101.10</w:t>
            </w:r>
          </w:p>
        </w:tc>
      </w:tr>
    </w:tbl>
    <w:p/>
    <w:p w14:paraId="6FB5F107" w14:textId="77777777" w:rsidR="00E3622D" w:rsidRDefault="00C063D0" w:rsidP="00C063D0">
      <w:pPr>
        <w:jc w:val="both"/>
      </w:pPr>
      <w:r w:rsidRPr="00A32ACD">
        <w:t xml:space="preserve">Market rent of $8.00 per square foot per year, stabilized vacancy and collection loss of 5.00%, and an overall capitalization rate of 7.00% produce a net operating income of $2,492,709, or $7.08 per square foot. Direct capitalization of that net operating income indicates a value of $35,610,000 rounded, or $101.10 per square foot of gross building area.</w:t>
      </w:r>
    </w:p>
    <w:p w14:paraId="2ABE42C4" w14:textId="3D358EFF" w:rsidR="008524CB" w:rsidRDefault="008524CB" w:rsidP="000267A5">
      <w:pPr>
        <w:jc w:val="center"/>
        <w:rPr>
          <w:sz w:val="20"/>
          <w:szCs w:val="20"/>
        </w:rPr>
      </w:pPr>
    </w:p>
    <w:bookmarkEnd w:id="5"/>
    <w:p w14:paraId="0CAC3C01" w14:textId="353151C2" w:rsidR="008524CB" w:rsidRDefault="008524CB" w:rsidP="00670825">
      <w:pPr>
        <w:rPr>
          <w:noProof/>
        </w:rPr>
      </w:pPr>
    </w:p>
    <w:p w14:paraId="1BFCC759" w14:textId="77777777" w:rsidR="00C22D9C" w:rsidRDefault="00C22D9C">
      <w:pPr>
        <w:rPr>
          <w:b/>
          <w:bCs/>
          <w:sz w:val="32"/>
          <w:szCs w:val="32"/>
        </w:rPr>
      </w:pPr>
      <w:r>
        <w:rPr>
          <w:b/>
          <w:bCs/>
          <w:sz w:val="32"/>
          <w:szCs w:val="32"/>
        </w:rPr>
        <w:br w:type="page"/>
      </w:r>
    </w:p>
    <w:p w14:paraId="6B0F05A7" w14:textId="4ABBA6DA" w:rsidR="00580428" w:rsidRPr="001B16D5" w:rsidRDefault="00580428" w:rsidP="001B16D5">
      <w:pPr>
        <w:spacing w:before="120"/>
        <w:rPr>
          <w:b/>
          <w:bCs/>
          <w:sz w:val="32"/>
          <w:szCs w:val="32"/>
        </w:rPr>
      </w:pPr>
      <w:r w:rsidRPr="001B16D5">
        <w:rPr>
          <w:b/>
          <w:bCs/>
          <w:sz w:val="32"/>
          <w:szCs w:val="32"/>
        </w:rPr>
        <w:lastRenderedPageBreak/>
        <w:t>Reconciliation of Value</w:t>
      </w:r>
    </w:p>
    <w:p w14:paraId="2D9D3900" w14:textId="4BA4B395" w:rsidR="00B04D17" w:rsidRPr="00EE5664" w:rsidRDefault="00B04D17" w:rsidP="00B04D17">
      <w:pPr>
        <w:jc w:val="both"/>
        <w:rPr>
          <w:bCs/>
          <w:iCs/>
        </w:rPr>
      </w:pPr>
      <w:r w:rsidRPr="00EE5664">
        <w:t xml:space="preserve">The Cost Approach was developed for this assignment. The subject improvements were constructed in 2020, giving an effective age of 5 years against a 45-year typical life, so accrued depreciation could be estimated from the published Marshall Valuation Service percent-good tables without undue reliance on appraiser judgment. The approach indicates $33,880,000, or $96.18 per square foot of gross building area. It is reported in support of the analysis but is given the least weight, because the depreciated-cost estimate rests on a land value drawn from a limited set of land sales and on an entrepreneurial profit allowance that cannot be observed directly in this market.</w:t>
      </w:r>
      <w:proofErr w:type="gramStart"/>
      <w:proofErr w:type="gramEnd"/>
    </w:p>
    <w:p w14:paraId="62EC2AE6" w14:textId="529CBF33" w:rsidR="00580428" w:rsidRPr="00EE5664" w:rsidRDefault="00B43ADC" w:rsidP="00580428">
      <w:pPr>
        <w:jc w:val="both"/>
      </w:pPr>
      <w:r w:rsidRPr="00EE5664">
        <w:t xml:space="preserve">The Sales Comparison Approach is primarily used by owner-users in making purchase decisions. It is the secondary approach used by investors. In this particular instance 4 closed sales of comparable mega warehouse and distribution facilities in the subject's competitive market area were available and confirmed, and the Sales Comparison Approach is considered the most reliable indication of market value for assessment purposes.</w:t>
      </w:r>
      <w:proofErr w:type="gramStart"/>
      <w:proofErr w:type="gramEnd"/>
    </w:p>
    <w:p w14:paraId="3126BF04" w14:textId="77777777" w:rsidR="00EC02A8" w:rsidRDefault="00922197" w:rsidP="00580428">
      <w:pPr>
        <w:jc w:val="both"/>
      </w:pPr>
      <w:r w:rsidRPr="00EE5664">
        <w:t xml:space="preserve">Data was readily available from several sources for the development of appropriate market rental rates, vacancy, expenses and capitalization rates. Since a valuation of the Fee Simple estate of the subject is statutorily required for ad valorem analysis, we apply market-based rates and income analysis to the subject's real property rather than the terms of any lease in place. The Income Capitalization Approach indicates $35,610,000, or $101.10 per square foot.</w:t>
      </w:r>
      <w:proofErr w:type="gramStart"/>
      <w:proofErr w:type="gramEnd"/>
    </w:p>
    <w:p w14:paraId="312EAEC4" w14:textId="30CBCAEA" w:rsidR="00580428" w:rsidRPr="00B04D17" w:rsidRDefault="00EC02A8" w:rsidP="00580428">
      <w:pPr>
        <w:jc w:val="both"/>
      </w:pPr>
      <w:r>
        <w:t xml:space="preserve">The Sales Comparison and Income Capitalization approaches produced indications within 1.1% of one another, at $100.00 and $101.10 per square foot respectively, which supports both analyses. Primary reliance is placed on the Sales Comparison Approach, and a value of $35,225,000, or $100.00 per square foot of gross building area, is concluded as of June 30, 2025. That conclusion is $1,862,937, or 5.02%, below the Assessor's assigned actual value of $37,087,937.</w:t>
      </w:r>
      <w:proofErr w:type="gramStart"/>
      <w:proofErr w:type="gramEnd"/>
      <w:proofErr w:type="gramStart"/>
      <w:proofErr w:type="gramEnd"/>
    </w:p>
    <w:p w14:paraId="3A81414B" w14:textId="0ED73457" w:rsidR="001B16D5" w:rsidRPr="00FA7E50" w:rsidRDefault="001B16D5" w:rsidP="00FA7E50">
      <w:pPr>
        <w:rPr>
          <w:b/>
          <w:bCs/>
          <w:sz w:val="32"/>
          <w:szCs w:val="32"/>
        </w:rPr>
      </w:pPr>
      <w:r w:rsidRPr="001B16D5">
        <w:rPr>
          <w:b/>
          <w:bCs/>
          <w:sz w:val="32"/>
          <w:szCs w:val="32"/>
        </w:rPr>
        <w:t>Final Value Indication</w:t>
      </w:r>
    </w:p>
    <w:tbl>
      <w:tblPr>
        <w:tblW w:w="9360" w:type="dxa"/>
        <w:jc w:val="center"/>
        <w:tblBorders>
          <w:top w:val="single" w:sz="4" w:color="BFBFBF"/>
          <w:left w:val="none" w:sz="0" w:color="auto"/>
          <w:bottom w:val="single" w:sz="4" w:color="BFBFBF"/>
          <w:right w:val="none" w:sz="0" w:color="auto"/>
          <w:insideH w:val="single" w:sz="4" w:color="D9D9D9"/>
          <w:insideV w:val="none" w:sz="0" w:color="auto"/>
        </w:tblBorders>
        <w:tblLayout w:type="fixed"/>
        <w:tblCellMar>
          <w:top w:w="0" w:type="dxa"/>
          <w:left w:w="72" w:type="dxa"/>
          <w:bottom w:w="0" w:type="dxa"/>
          <w:right w:w="72" w:type="dxa"/>
        </w:tblCellMar>
      </w:tblPr>
      <w:tblGrid>
        <w:gridCol w:w="3760"/>
        <w:gridCol w:w="2400"/>
        <w:gridCol w:w="3200"/>
      </w:tblGrid>
      <w:tr>
        <w:trPr>
          <w:cantSplit/>
        </w:trPr>
        <w:tc>
          <w:tcPr>
            <w:tcW w:w="9360" w:type="dxa"/>
            <w:gridSpan w:val="3"/>
            <w:shd w:val="clear" w:color="auto" w:fill="1E5631"/>
            <w:vAlign w:val="center"/>
          </w:tcPr>
          <w:p>
            <w:pPr>
              <w:spacing w:before="10" w:after="10" w:line="240" w:lineRule="auto"/>
              <w:jc w:val="center"/>
              <w:rPr>
                <w:rFonts w:ascii="Arial" w:hAnsi="Arial"/>
                <w:b/>
                <w:color w:val="FFFFFF"/>
                <w:sz w:val="18"/>
              </w:rPr>
            </w:pPr>
            <w:r>
              <w:rPr>
                <w:rFonts w:ascii="Arial" w:hAnsi="Arial"/>
                <w:b/>
                <w:color w:val="FFFFFF"/>
                <w:sz w:val="18"/>
              </w:rPr>
              <w:t xml:space="preserve">VALUE INDICATIONS</w:t>
            </w:r>
          </w:p>
        </w:tc>
      </w:tr>
      <w:tr>
        <w:trPr>
          <w:cantSplit/>
        </w:trPr>
        <w:tc>
          <w:tcPr>
            <w:tcW w:w="9360" w:type="dxa"/>
            <w:gridSpan w:val="3"/>
            <w:shd w:val="clear" w:color="auto" w:fill="808080"/>
            <w:vAlign w:val="center"/>
          </w:tcPr>
          <w:p>
            <w:pPr>
              <w:spacing w:before="10" w:after="10" w:line="240" w:lineRule="auto"/>
              <w:jc w:val="left"/>
              <w:rPr>
                <w:rFonts w:ascii="Arial" w:hAnsi="Arial"/>
                <w:b/>
                <w:color w:val="FFFFFF"/>
                <w:sz w:val="16"/>
              </w:rPr>
            </w:pPr>
            <w:r>
              <w:rPr>
                <w:rFonts w:ascii="Arial" w:hAnsi="Arial"/>
                <w:b/>
                <w:color w:val="FFFFFF"/>
                <w:sz w:val="16"/>
              </w:rPr>
              <w:t xml:space="preserve">As Is - Retrospective Market Value - Fee Simple Estate</w:t>
            </w:r>
          </w:p>
        </w:tc>
      </w:tr>
      <w:tr>
        <w:trPr>
          <w:cantSplit/>
        </w:trPr>
        <w:tc>
          <w:tcPr>
            <w:tcW w:w="3760" w:type="dxa"/>
            <w:vAlign w:val="center"/>
          </w:tcPr>
          <w:p>
            <w:pPr>
              <w:spacing w:before="10" w:after="10" w:line="240" w:lineRule="auto"/>
              <w:jc w:val="left"/>
              <w:rPr>
                <w:rFonts w:ascii="Arial" w:hAnsi="Arial"/>
                <w:b/>
                <w:color w:val="000000"/>
                <w:sz w:val="16"/>
              </w:rPr>
            </w:pPr>
            <w:r>
              <w:rPr>
                <w:rFonts w:ascii="Arial" w:hAnsi="Arial"/>
                <w:b/>
                <w:color w:val="000000"/>
                <w:sz w:val="16"/>
              </w:rPr>
              <w:t xml:space="preserve">Cost Approach</w:t>
            </w:r>
          </w:p>
        </w:tc>
        <w:tc>
          <w:tcPr>
            <w:tcW w:w="2400" w:type="dxa"/>
            <w:vAlign w:val="center"/>
          </w:tcPr>
          <w:p>
            <w:pPr>
              <w:spacing w:before="10" w:after="10" w:line="240" w:lineRule="auto"/>
              <w:jc w:val="left"/>
              <w:rPr>
                <w:rFonts w:ascii="Arial" w:hAnsi="Arial"/>
                <w:b/>
                <w:color w:val="000000"/>
                <w:sz w:val="16"/>
              </w:rPr>
            </w:pPr>
            <w:r>
              <w:rPr>
                <w:rFonts w:ascii="Arial" w:hAnsi="Arial"/>
                <w:b/>
                <w:color w:val="000000"/>
                <w:sz w:val="16"/>
              </w:rPr>
              <w:t xml:space="preserve">$33,880,000</w:t>
            </w:r>
          </w:p>
        </w:tc>
        <w:tc>
          <w:tcPr>
            <w:tcW w:w="3200" w:type="dxa"/>
            <w:vAlign w:val="center"/>
          </w:tcPr>
          <w:p>
            <w:pPr>
              <w:spacing w:before="10" w:after="10" w:line="240" w:lineRule="auto"/>
              <w:jc w:val="left"/>
              <w:rPr>
                <w:rFonts w:ascii="Arial" w:hAnsi="Arial"/>
                <w:b/>
                <w:color w:val="000000"/>
                <w:sz w:val="16"/>
              </w:rPr>
            </w:pPr>
            <w:r>
              <w:rPr>
                <w:rFonts w:ascii="Arial" w:hAnsi="Arial"/>
                <w:b/>
                <w:color w:val="000000"/>
                <w:sz w:val="16"/>
              </w:rPr>
              <w:t xml:space="preserve">$96.18 Per Square Foot GBA</w:t>
            </w:r>
          </w:p>
        </w:tc>
      </w:tr>
      <w:tr>
        <w:trPr>
          <w:cantSplit/>
        </w:trPr>
        <w:tc>
          <w:tcPr>
            <w:tcW w:w="3760" w:type="dxa"/>
            <w:vAlign w:val="center"/>
          </w:tcPr>
          <w:p>
            <w:pPr>
              <w:spacing w:before="10" w:after="10" w:line="240" w:lineRule="auto"/>
              <w:jc w:val="left"/>
              <w:rPr>
                <w:rFonts w:ascii="Arial" w:hAnsi="Arial"/>
                <w:b/>
                <w:color w:val="000000"/>
                <w:sz w:val="16"/>
              </w:rPr>
            </w:pPr>
            <w:r>
              <w:rPr>
                <w:rFonts w:ascii="Arial" w:hAnsi="Arial"/>
                <w:b/>
                <w:color w:val="000000"/>
                <w:sz w:val="16"/>
              </w:rPr>
              <w:t xml:space="preserve">Sales Comparison Approach</w:t>
            </w:r>
          </w:p>
        </w:tc>
        <w:tc>
          <w:tcPr>
            <w:tcW w:w="2400" w:type="dxa"/>
            <w:vAlign w:val="center"/>
          </w:tcPr>
          <w:p>
            <w:pPr>
              <w:spacing w:before="10" w:after="10" w:line="240" w:lineRule="auto"/>
              <w:jc w:val="left"/>
              <w:rPr>
                <w:rFonts w:ascii="Arial" w:hAnsi="Arial"/>
                <w:b/>
                <w:color w:val="000000"/>
                <w:sz w:val="16"/>
              </w:rPr>
            </w:pPr>
            <w:r>
              <w:rPr>
                <w:rFonts w:ascii="Arial" w:hAnsi="Arial"/>
                <w:b/>
                <w:color w:val="000000"/>
                <w:sz w:val="16"/>
              </w:rPr>
              <w:t xml:space="preserve">$35,225,000</w:t>
            </w:r>
          </w:p>
        </w:tc>
        <w:tc>
          <w:tcPr>
            <w:tcW w:w="3200" w:type="dxa"/>
            <w:vAlign w:val="center"/>
          </w:tcPr>
          <w:p>
            <w:pPr>
              <w:spacing w:before="10" w:after="10" w:line="240" w:lineRule="auto"/>
              <w:jc w:val="left"/>
              <w:rPr>
                <w:rFonts w:ascii="Arial" w:hAnsi="Arial"/>
                <w:b/>
                <w:color w:val="000000"/>
                <w:sz w:val="16"/>
              </w:rPr>
            </w:pPr>
            <w:r>
              <w:rPr>
                <w:rFonts w:ascii="Arial" w:hAnsi="Arial"/>
                <w:b/>
                <w:color w:val="000000"/>
                <w:sz w:val="16"/>
              </w:rPr>
              <w:t xml:space="preserve">$100.00 Per Square Foot GBA</w:t>
            </w:r>
          </w:p>
        </w:tc>
      </w:tr>
      <w:tr>
        <w:trPr>
          <w:cantSplit/>
        </w:trPr>
        <w:tc>
          <w:tcPr>
            <w:tcW w:w="3760" w:type="dxa"/>
            <w:vAlign w:val="center"/>
          </w:tcPr>
          <w:p>
            <w:pPr>
              <w:spacing w:before="10" w:after="10" w:line="240" w:lineRule="auto"/>
              <w:jc w:val="left"/>
              <w:rPr>
                <w:rFonts w:ascii="Arial" w:hAnsi="Arial"/>
                <w:b/>
                <w:color w:val="000000"/>
                <w:sz w:val="16"/>
              </w:rPr>
            </w:pPr>
            <w:r>
              <w:rPr>
                <w:rFonts w:ascii="Arial" w:hAnsi="Arial"/>
                <w:b/>
                <w:color w:val="000000"/>
                <w:sz w:val="16"/>
              </w:rPr>
              <w:t xml:space="preserve">Income Capitalization Approach</w:t>
            </w:r>
          </w:p>
        </w:tc>
        <w:tc>
          <w:tcPr>
            <w:tcW w:w="2400" w:type="dxa"/>
            <w:vAlign w:val="center"/>
          </w:tcPr>
          <w:p>
            <w:pPr>
              <w:spacing w:before="10" w:after="10" w:line="240" w:lineRule="auto"/>
              <w:jc w:val="left"/>
              <w:rPr>
                <w:rFonts w:ascii="Arial" w:hAnsi="Arial"/>
                <w:color w:val="000000"/>
                <w:sz w:val="16"/>
              </w:rPr>
            </w:pPr>
            <w:r>
              <w:rPr>
                <w:rFonts w:ascii="Arial" w:hAnsi="Arial"/>
                <w:color w:val="000000"/>
                <w:sz w:val="16"/>
              </w:rPr>
              <w:t xml:space="preserve"/>
            </w:r>
          </w:p>
        </w:tc>
        <w:tc>
          <w:tcPr>
            <w:tcW w:w="3200" w:type="dxa"/>
            <w:vAlign w:val="center"/>
          </w:tcPr>
          <w:p>
            <w:pPr>
              <w:spacing w:before="10" w:after="10" w:line="240" w:lineRule="auto"/>
              <w:jc w:val="left"/>
              <w:rPr>
                <w:rFonts w:ascii="Arial" w:hAnsi="Arial"/>
                <w:color w:val="000000"/>
                <w:sz w:val="16"/>
              </w:rPr>
            </w:pPr>
            <w:r>
              <w:rPr>
                <w:rFonts w:ascii="Arial" w:hAnsi="Arial"/>
                <w:color w:val="000000"/>
                <w:sz w:val="16"/>
              </w:rPr>
              <w:t xml:space="preserve"/>
            </w:r>
          </w:p>
        </w:tc>
      </w:tr>
      <w:tr>
        <w:trPr>
          <w:cantSplit/>
        </w:trPr>
        <w:tc>
          <w:tcPr>
            <w:tcW w:w="3760" w:type="dxa"/>
            <w:vAlign w:val="center"/>
          </w:tcPr>
          <w:p>
            <w:pPr>
              <w:spacing w:before="10" w:after="10" w:line="240" w:lineRule="auto"/>
              <w:ind w:left="220"/>
              <w:jc w:val="left"/>
              <w:rPr>
                <w:rFonts w:ascii="Arial" w:hAnsi="Arial"/>
                <w:b/>
                <w:color w:val="000000"/>
                <w:sz w:val="16"/>
              </w:rPr>
            </w:pPr>
            <w:r>
              <w:rPr>
                <w:rFonts w:ascii="Arial" w:hAnsi="Arial"/>
                <w:b/>
                <w:color w:val="000000"/>
                <w:sz w:val="16"/>
              </w:rPr>
              <w:t xml:space="preserve">Direct Capitalization</w:t>
            </w:r>
          </w:p>
        </w:tc>
        <w:tc>
          <w:tcPr>
            <w:tcW w:w="2400" w:type="dxa"/>
            <w:vAlign w:val="center"/>
          </w:tcPr>
          <w:p>
            <w:pPr>
              <w:spacing w:before="10" w:after="10" w:line="240" w:lineRule="auto"/>
              <w:jc w:val="left"/>
              <w:rPr>
                <w:rFonts w:ascii="Arial" w:hAnsi="Arial"/>
                <w:b/>
                <w:color w:val="000000"/>
                <w:sz w:val="16"/>
              </w:rPr>
            </w:pPr>
            <w:r>
              <w:rPr>
                <w:rFonts w:ascii="Arial" w:hAnsi="Arial"/>
                <w:b/>
                <w:color w:val="000000"/>
                <w:sz w:val="16"/>
              </w:rPr>
              <w:t xml:space="preserve">$35,610,000</w:t>
            </w:r>
          </w:p>
        </w:tc>
        <w:tc>
          <w:tcPr>
            <w:tcW w:w="3200" w:type="dxa"/>
            <w:vAlign w:val="center"/>
          </w:tcPr>
          <w:p>
            <w:pPr>
              <w:spacing w:before="10" w:after="10" w:line="240" w:lineRule="auto"/>
              <w:jc w:val="left"/>
              <w:rPr>
                <w:rFonts w:ascii="Arial" w:hAnsi="Arial"/>
                <w:b/>
                <w:color w:val="000000"/>
                <w:sz w:val="16"/>
              </w:rPr>
            </w:pPr>
            <w:r>
              <w:rPr>
                <w:rFonts w:ascii="Arial" w:hAnsi="Arial"/>
                <w:b/>
                <w:color w:val="000000"/>
                <w:sz w:val="16"/>
              </w:rPr>
              <w:t xml:space="preserve">$101.10 Per Square Foot GBA</w:t>
            </w:r>
          </w:p>
        </w:tc>
      </w:tr>
      <w:tr>
        <w:trPr>
          <w:cantSplit/>
        </w:trPr>
        <w:tc>
          <w:tcPr>
            <w:tcW w:w="376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Approach Reliance</w:t>
            </w:r>
          </w:p>
        </w:tc>
        <w:tc>
          <w:tcPr>
            <w:tcW w:w="5600" w:type="dxa"/>
            <w:gridSpan w:val="2"/>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Sales Comparison Approach</w:t>
            </w:r>
          </w:p>
        </w:tc>
      </w:tr>
      <w:tr>
        <w:trPr>
          <w:cantSplit/>
        </w:trPr>
        <w:tc>
          <w:tcPr>
            <w:tcW w:w="376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Value Conclusion</w:t>
            </w:r>
          </w:p>
        </w:tc>
        <w:tc>
          <w:tcPr>
            <w:tcW w:w="240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$35,225,000</w:t>
            </w:r>
          </w:p>
        </w:tc>
        <w:tc>
          <w:tcPr>
            <w:tcW w:w="3200" w:type="dxa"/>
            <w:shd w:val="clear" w:color="auto" w:fill="EDEDED"/>
            <w:vAlign w:val="center"/>
          </w:tcPr>
          <w:p>
            <w:pPr>
              <w:spacing w:before="10" w:after="10" w:line="240" w:lineRule="auto"/>
              <w:jc w:val="left"/>
              <w:rPr>
                <w:rFonts w:ascii="Arial" w:hAnsi="Arial"/>
                <w:b/>
                <w:color w:val="000000"/>
                <w:sz w:val="16"/>
              </w:rPr>
            </w:pPr>
            <w:r>
              <w:rPr>
                <w:rFonts w:ascii="Arial" w:hAnsi="Arial"/>
                <w:b/>
                <w:color w:val="000000"/>
                <w:sz w:val="16"/>
              </w:rPr>
              <w:t xml:space="preserve">$100.00 Per Square Foot GBA</w:t>
            </w:r>
          </w:p>
        </w:tc>
      </w:tr>
    </w:tbl>
    <w:p w14:paraId="52C94D5B" w14:textId="58C0F748" w:rsidR="00AF20B7" w:rsidRDefault="00AF20B7" w:rsidP="000267A5">
      <w:pPr>
        <w:jc w:val="center"/>
      </w:pPr>
    </w:p>
    <w:p w14:paraId="7D22CED1" w14:textId="27466EF5" w:rsidR="008524CB" w:rsidRDefault="008524CB" w:rsidP="000267A5">
      <w:pPr>
        <w:jc w:val="center"/>
      </w:pPr>
    </w:p>
    <w:p w14:paraId="4A258995" w14:textId="541B7097" w:rsidR="0023632C" w:rsidRDefault="0023632C" w:rsidP="000267A5">
      <w:pPr>
        <w:jc w:val="center"/>
      </w:pPr>
    </w:p>
    <w:p w14:paraId="1EBC42BA" w14:textId="77777777" w:rsidR="001B16D5" w:rsidRDefault="001B16D5" w:rsidP="00580428">
      <w:pPr>
        <w:jc w:val="both"/>
      </w:pPr>
    </w:p>
    <w:p w14:paraId="2DE5BFEE" w14:textId="60A6F7C6" w:rsidR="00B439CA" w:rsidRDefault="00B439CA"/>
    <w:p w14:paraId="0445BA43" w14:textId="77777777" w:rsidR="00C063D0" w:rsidRPr="00A32ACD" w:rsidRDefault="00C063D0" w:rsidP="00C063D0">
      <w:pPr>
        <w:keepNext/>
        <w:keepLines/>
        <w:spacing w:before="40" w:after="0"/>
        <w:jc w:val="both"/>
        <w:outlineLvl w:val="1"/>
        <w:rPr>
          <w:rFonts w:cstheme="majorBidi"/>
          <w:b/>
          <w:sz w:val="26"/>
          <w:szCs w:val="26"/>
        </w:rPr>
      </w:pPr>
      <w:r w:rsidRPr="00A32ACD">
        <w:rPr>
          <w:rFonts w:cstheme="majorBidi"/>
          <w:b/>
          <w:sz w:val="26"/>
          <w:szCs w:val="26"/>
        </w:rPr>
        <w:t xml:space="preserve">Subject Sketch</w:t>
      </w:r>
    </w:p>
    <w:tbl>
      <w:tblPr>
        <w:tblW w:w="9360" w:type="dxa"/>
        <w:jc w:val="center"/>
        <w:tblBorders>
          <w:top w:val="dashed" w:sz="6" w:color="A6A6A6"/>
          <w:left w:val="dashed" w:sz="6" w:color="A6A6A6"/>
          <w:bottom w:val="dashed" w:sz="6" w:color="A6A6A6"/>
          <w:right w:val="dashed" w:sz="6" w:color="A6A6A6"/>
        </w:tblBorders>
        <w:tblLayout w:type="fixed"/>
      </w:tblPr>
      <w:tblGrid>
        <w:gridCol w:w="9360"/>
      </w:tblGrid>
      <w:tr>
        <w:trPr>
          <w:trHeight w:val="5200"/>
        </w:trPr>
        <w:tc>
          <w:tcPr>
            <w:tcW w:w="9360" w:type="dxa"/>
            <w:vAlign w:val="center"/>
          </w:tcPr>
          <w:p>
            <w:pPr>
              <w:spacing w:before="10" w:after="10" w:line="240" w:lineRule="auto"/>
              <w:jc w:val="center"/>
              <w:rPr>
                <w:rFonts w:ascii="Arial" w:hAnsi="Arial"/>
                <w:i/>
                <w:color w:val="808080"/>
                <w:sz w:val="18"/>
              </w:rPr>
            </w:pPr>
            <w:r>
              <w:rPr>
                <w:rFonts w:ascii="Arial" w:hAnsi="Arial"/>
                <w:i/>
                <w:color w:val="808080"/>
                <w:sz w:val="18"/>
              </w:rPr>
              <w:t xml:space="preserve">[ Insert subject building sketch / floor plan - 22600 Interstate 76 ]</w:t>
            </w:r>
          </w:p>
        </w:tc>
      </w:tr>
    </w:tbl>
    <w:p w14:paraId="0D270110" w14:textId="200DFAF8" w:rsidR="009B7C55" w:rsidRDefault="009B7C55" w:rsidP="00670825">
      <w:pPr>
        <w:rPr>
          <w:b/>
          <w:bCs/>
          <w:sz w:val="32"/>
          <w:szCs w:val="32"/>
        </w:rPr>
      </w:pPr>
    </w:p>
    <w:sectPr w:rsidR="009B7C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43074" w14:textId="77777777" w:rsidR="009F17A5" w:rsidRDefault="009F17A5" w:rsidP="000A518B">
      <w:pPr>
        <w:spacing w:after="0" w:line="240" w:lineRule="auto"/>
      </w:pPr>
      <w:r>
        <w:separator/>
      </w:r>
    </w:p>
  </w:endnote>
  <w:endnote w:type="continuationSeparator" w:id="0">
    <w:p w14:paraId="4DA91C07" w14:textId="77777777" w:rsidR="009F17A5" w:rsidRDefault="009F17A5" w:rsidP="000A5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7716300"/>
      <w:docPartObj>
        <w:docPartGallery w:val="Page Numbers (Bottom of Page)"/>
        <w:docPartUnique/>
      </w:docPartObj>
    </w:sdtPr>
    <w:sdtEndPr>
      <w:rPr>
        <w:color w:val="7F7F7F" w:themeColor="background1" w:themeShade="7F"/>
        <w:spacing w:val="60"/>
      </w:rPr>
    </w:sdtEndPr>
    <w:sdtContent>
      <w:p w14:paraId="69C21725" w14:textId="29D2B3F1" w:rsidR="009B6DD7" w:rsidRDefault="009B6DD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3810FA6" w14:textId="77777777" w:rsidR="009B6DD7" w:rsidRDefault="009B6D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F6052" w14:textId="77777777" w:rsidR="009F17A5" w:rsidRDefault="009F17A5" w:rsidP="000A518B">
      <w:pPr>
        <w:spacing w:after="0" w:line="240" w:lineRule="auto"/>
      </w:pPr>
      <w:r>
        <w:separator/>
      </w:r>
    </w:p>
  </w:footnote>
  <w:footnote w:type="continuationSeparator" w:id="0">
    <w:p w14:paraId="4B1D36BD" w14:textId="77777777" w:rsidR="009F17A5" w:rsidRDefault="009F17A5" w:rsidP="000A51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34D88" w14:textId="4C0A5D95" w:rsidR="000A518B" w:rsidRDefault="000A518B">
    <w:pPr>
      <w:pStyle w:val="Header"/>
    </w:pPr>
    <w:r>
      <w:rPr>
        <w:noProof/>
      </w:rPr>
      <w:drawing>
        <wp:inline distT="0" distB="0" distL="0" distR="0" wp14:anchorId="44B50C53" wp14:editId="293808B8">
          <wp:extent cx="800100" cy="981075"/>
          <wp:effectExtent l="0" t="0" r="0" b="9525"/>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18B"/>
    <w:rsid w:val="000011A0"/>
    <w:rsid w:val="000267A5"/>
    <w:rsid w:val="00033F33"/>
    <w:rsid w:val="000547A8"/>
    <w:rsid w:val="000929FE"/>
    <w:rsid w:val="000A2AB7"/>
    <w:rsid w:val="000A4BA9"/>
    <w:rsid w:val="000A518B"/>
    <w:rsid w:val="000A58F3"/>
    <w:rsid w:val="000F7620"/>
    <w:rsid w:val="001032AD"/>
    <w:rsid w:val="00143D77"/>
    <w:rsid w:val="00175DBB"/>
    <w:rsid w:val="0018241D"/>
    <w:rsid w:val="0018654F"/>
    <w:rsid w:val="0018750C"/>
    <w:rsid w:val="0019027D"/>
    <w:rsid w:val="001A3F7E"/>
    <w:rsid w:val="001B16D5"/>
    <w:rsid w:val="001B180C"/>
    <w:rsid w:val="001E274E"/>
    <w:rsid w:val="001F32B6"/>
    <w:rsid w:val="00201792"/>
    <w:rsid w:val="002207AD"/>
    <w:rsid w:val="0023632C"/>
    <w:rsid w:val="002A31F9"/>
    <w:rsid w:val="002B2DA2"/>
    <w:rsid w:val="002E0C7B"/>
    <w:rsid w:val="003155F3"/>
    <w:rsid w:val="00334E9B"/>
    <w:rsid w:val="00352B81"/>
    <w:rsid w:val="00364F14"/>
    <w:rsid w:val="00394B5E"/>
    <w:rsid w:val="003B0EDA"/>
    <w:rsid w:val="003D69FE"/>
    <w:rsid w:val="003E5416"/>
    <w:rsid w:val="003F63FE"/>
    <w:rsid w:val="004122F7"/>
    <w:rsid w:val="004143A3"/>
    <w:rsid w:val="0041445A"/>
    <w:rsid w:val="00415B8E"/>
    <w:rsid w:val="00417E62"/>
    <w:rsid w:val="004415E1"/>
    <w:rsid w:val="0044797D"/>
    <w:rsid w:val="00457E00"/>
    <w:rsid w:val="004731B0"/>
    <w:rsid w:val="00474E48"/>
    <w:rsid w:val="004F292F"/>
    <w:rsid w:val="00515113"/>
    <w:rsid w:val="00524981"/>
    <w:rsid w:val="005264D9"/>
    <w:rsid w:val="00535622"/>
    <w:rsid w:val="0053563B"/>
    <w:rsid w:val="0054077F"/>
    <w:rsid w:val="005508BC"/>
    <w:rsid w:val="00560F03"/>
    <w:rsid w:val="00580428"/>
    <w:rsid w:val="005E2500"/>
    <w:rsid w:val="006032CF"/>
    <w:rsid w:val="006138D7"/>
    <w:rsid w:val="00622F40"/>
    <w:rsid w:val="00630070"/>
    <w:rsid w:val="00670825"/>
    <w:rsid w:val="00680D19"/>
    <w:rsid w:val="00683378"/>
    <w:rsid w:val="006A6A4E"/>
    <w:rsid w:val="006B7692"/>
    <w:rsid w:val="006C1617"/>
    <w:rsid w:val="006C22DC"/>
    <w:rsid w:val="006C48B3"/>
    <w:rsid w:val="006F1F32"/>
    <w:rsid w:val="0074010A"/>
    <w:rsid w:val="00741A1C"/>
    <w:rsid w:val="0074677F"/>
    <w:rsid w:val="00750358"/>
    <w:rsid w:val="007541CA"/>
    <w:rsid w:val="007879FB"/>
    <w:rsid w:val="00790607"/>
    <w:rsid w:val="007A3C70"/>
    <w:rsid w:val="007C7D46"/>
    <w:rsid w:val="007D6A38"/>
    <w:rsid w:val="007F2A9E"/>
    <w:rsid w:val="007F4CFE"/>
    <w:rsid w:val="008048F6"/>
    <w:rsid w:val="0081315F"/>
    <w:rsid w:val="00833A82"/>
    <w:rsid w:val="008371A9"/>
    <w:rsid w:val="008514BF"/>
    <w:rsid w:val="008524CB"/>
    <w:rsid w:val="00853BD7"/>
    <w:rsid w:val="00861374"/>
    <w:rsid w:val="0087517D"/>
    <w:rsid w:val="008971A6"/>
    <w:rsid w:val="008B7632"/>
    <w:rsid w:val="008C0A71"/>
    <w:rsid w:val="008C4C53"/>
    <w:rsid w:val="008E5EAE"/>
    <w:rsid w:val="008F2292"/>
    <w:rsid w:val="008F7D93"/>
    <w:rsid w:val="00902465"/>
    <w:rsid w:val="00905562"/>
    <w:rsid w:val="00922197"/>
    <w:rsid w:val="009441FA"/>
    <w:rsid w:val="00946E4C"/>
    <w:rsid w:val="00970056"/>
    <w:rsid w:val="00990E1F"/>
    <w:rsid w:val="009927FD"/>
    <w:rsid w:val="00994159"/>
    <w:rsid w:val="009B188A"/>
    <w:rsid w:val="009B3051"/>
    <w:rsid w:val="009B6DD7"/>
    <w:rsid w:val="009B7C55"/>
    <w:rsid w:val="009C6133"/>
    <w:rsid w:val="009E5D40"/>
    <w:rsid w:val="009E60EC"/>
    <w:rsid w:val="009F17A5"/>
    <w:rsid w:val="00A10039"/>
    <w:rsid w:val="00A13B6F"/>
    <w:rsid w:val="00A42982"/>
    <w:rsid w:val="00A667A7"/>
    <w:rsid w:val="00A7444C"/>
    <w:rsid w:val="00A76D8B"/>
    <w:rsid w:val="00A83616"/>
    <w:rsid w:val="00A87A23"/>
    <w:rsid w:val="00A95C6E"/>
    <w:rsid w:val="00A96989"/>
    <w:rsid w:val="00A97D60"/>
    <w:rsid w:val="00AC2952"/>
    <w:rsid w:val="00AC38AE"/>
    <w:rsid w:val="00AF20B7"/>
    <w:rsid w:val="00AF567D"/>
    <w:rsid w:val="00AF57E8"/>
    <w:rsid w:val="00B0076C"/>
    <w:rsid w:val="00B04D17"/>
    <w:rsid w:val="00B32688"/>
    <w:rsid w:val="00B439CA"/>
    <w:rsid w:val="00B43ADC"/>
    <w:rsid w:val="00B87CB3"/>
    <w:rsid w:val="00BB3C14"/>
    <w:rsid w:val="00BC1E03"/>
    <w:rsid w:val="00BE5267"/>
    <w:rsid w:val="00BE566D"/>
    <w:rsid w:val="00BF0BA5"/>
    <w:rsid w:val="00C01275"/>
    <w:rsid w:val="00C063D0"/>
    <w:rsid w:val="00C22D9C"/>
    <w:rsid w:val="00C32146"/>
    <w:rsid w:val="00C42BE0"/>
    <w:rsid w:val="00C441DF"/>
    <w:rsid w:val="00C75486"/>
    <w:rsid w:val="00C97300"/>
    <w:rsid w:val="00CA233C"/>
    <w:rsid w:val="00CA3EC3"/>
    <w:rsid w:val="00CC022F"/>
    <w:rsid w:val="00D12833"/>
    <w:rsid w:val="00D33E9B"/>
    <w:rsid w:val="00D4053B"/>
    <w:rsid w:val="00D438D5"/>
    <w:rsid w:val="00D7478D"/>
    <w:rsid w:val="00D91FF3"/>
    <w:rsid w:val="00E20259"/>
    <w:rsid w:val="00E208F9"/>
    <w:rsid w:val="00E3389A"/>
    <w:rsid w:val="00E3622D"/>
    <w:rsid w:val="00E41E33"/>
    <w:rsid w:val="00E46CB4"/>
    <w:rsid w:val="00E54099"/>
    <w:rsid w:val="00E75A2D"/>
    <w:rsid w:val="00E92A86"/>
    <w:rsid w:val="00EC02A8"/>
    <w:rsid w:val="00ED2594"/>
    <w:rsid w:val="00EE5664"/>
    <w:rsid w:val="00F23FB0"/>
    <w:rsid w:val="00F3302A"/>
    <w:rsid w:val="00F415D3"/>
    <w:rsid w:val="00F42A60"/>
    <w:rsid w:val="00F46EFF"/>
    <w:rsid w:val="00F55077"/>
    <w:rsid w:val="00F81D4E"/>
    <w:rsid w:val="00FA6933"/>
    <w:rsid w:val="00FA7E50"/>
    <w:rsid w:val="00FC1354"/>
    <w:rsid w:val="00FC519F"/>
    <w:rsid w:val="00FC5DDF"/>
    <w:rsid w:val="00FF1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97E78"/>
  <w15:chartTrackingRefBased/>
  <w15:docId w15:val="{6B421D71-9C4E-4AFB-A281-EAA67AAF3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5804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1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18B"/>
  </w:style>
  <w:style w:type="paragraph" w:styleId="Footer">
    <w:name w:val="footer"/>
    <w:basedOn w:val="Normal"/>
    <w:link w:val="FooterChar"/>
    <w:uiPriority w:val="99"/>
    <w:unhideWhenUsed/>
    <w:rsid w:val="000A51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18B"/>
  </w:style>
  <w:style w:type="character" w:customStyle="1" w:styleId="Heading2Char">
    <w:name w:val="Heading 2 Char"/>
    <w:basedOn w:val="DefaultParagraphFont"/>
    <w:link w:val="Heading2"/>
    <w:uiPriority w:val="9"/>
    <w:rsid w:val="00580428"/>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B43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E52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1078">
      <w:bodyDiv w:val="1"/>
      <w:marLeft w:val="0"/>
      <w:marRight w:val="0"/>
      <w:marTop w:val="0"/>
      <w:marBottom w:val="0"/>
      <w:divBdr>
        <w:top w:val="none" w:sz="0" w:space="0" w:color="auto"/>
        <w:left w:val="none" w:sz="0" w:space="0" w:color="auto"/>
        <w:bottom w:val="none" w:sz="0" w:space="0" w:color="auto"/>
        <w:right w:val="none" w:sz="0" w:space="0" w:color="auto"/>
      </w:divBdr>
    </w:div>
    <w:div w:id="49698560">
      <w:bodyDiv w:val="1"/>
      <w:marLeft w:val="0"/>
      <w:marRight w:val="0"/>
      <w:marTop w:val="0"/>
      <w:marBottom w:val="0"/>
      <w:divBdr>
        <w:top w:val="none" w:sz="0" w:space="0" w:color="auto"/>
        <w:left w:val="none" w:sz="0" w:space="0" w:color="auto"/>
        <w:bottom w:val="none" w:sz="0" w:space="0" w:color="auto"/>
        <w:right w:val="none" w:sz="0" w:space="0" w:color="auto"/>
      </w:divBdr>
    </w:div>
    <w:div w:id="148061049">
      <w:bodyDiv w:val="1"/>
      <w:marLeft w:val="0"/>
      <w:marRight w:val="0"/>
      <w:marTop w:val="0"/>
      <w:marBottom w:val="0"/>
      <w:divBdr>
        <w:top w:val="none" w:sz="0" w:space="0" w:color="auto"/>
        <w:left w:val="none" w:sz="0" w:space="0" w:color="auto"/>
        <w:bottom w:val="none" w:sz="0" w:space="0" w:color="auto"/>
        <w:right w:val="none" w:sz="0" w:space="0" w:color="auto"/>
      </w:divBdr>
    </w:div>
    <w:div w:id="154497425">
      <w:bodyDiv w:val="1"/>
      <w:marLeft w:val="0"/>
      <w:marRight w:val="0"/>
      <w:marTop w:val="0"/>
      <w:marBottom w:val="0"/>
      <w:divBdr>
        <w:top w:val="none" w:sz="0" w:space="0" w:color="auto"/>
        <w:left w:val="none" w:sz="0" w:space="0" w:color="auto"/>
        <w:bottom w:val="none" w:sz="0" w:space="0" w:color="auto"/>
        <w:right w:val="none" w:sz="0" w:space="0" w:color="auto"/>
      </w:divBdr>
    </w:div>
    <w:div w:id="357237782">
      <w:bodyDiv w:val="1"/>
      <w:marLeft w:val="0"/>
      <w:marRight w:val="0"/>
      <w:marTop w:val="0"/>
      <w:marBottom w:val="0"/>
      <w:divBdr>
        <w:top w:val="none" w:sz="0" w:space="0" w:color="auto"/>
        <w:left w:val="none" w:sz="0" w:space="0" w:color="auto"/>
        <w:bottom w:val="none" w:sz="0" w:space="0" w:color="auto"/>
        <w:right w:val="none" w:sz="0" w:space="0" w:color="auto"/>
      </w:divBdr>
    </w:div>
    <w:div w:id="406419662">
      <w:bodyDiv w:val="1"/>
      <w:marLeft w:val="0"/>
      <w:marRight w:val="0"/>
      <w:marTop w:val="0"/>
      <w:marBottom w:val="0"/>
      <w:divBdr>
        <w:top w:val="none" w:sz="0" w:space="0" w:color="auto"/>
        <w:left w:val="none" w:sz="0" w:space="0" w:color="auto"/>
        <w:bottom w:val="none" w:sz="0" w:space="0" w:color="auto"/>
        <w:right w:val="none" w:sz="0" w:space="0" w:color="auto"/>
      </w:divBdr>
    </w:div>
    <w:div w:id="446700815">
      <w:bodyDiv w:val="1"/>
      <w:marLeft w:val="0"/>
      <w:marRight w:val="0"/>
      <w:marTop w:val="0"/>
      <w:marBottom w:val="0"/>
      <w:divBdr>
        <w:top w:val="none" w:sz="0" w:space="0" w:color="auto"/>
        <w:left w:val="none" w:sz="0" w:space="0" w:color="auto"/>
        <w:bottom w:val="none" w:sz="0" w:space="0" w:color="auto"/>
        <w:right w:val="none" w:sz="0" w:space="0" w:color="auto"/>
      </w:divBdr>
    </w:div>
    <w:div w:id="475999436">
      <w:bodyDiv w:val="1"/>
      <w:marLeft w:val="0"/>
      <w:marRight w:val="0"/>
      <w:marTop w:val="0"/>
      <w:marBottom w:val="0"/>
      <w:divBdr>
        <w:top w:val="none" w:sz="0" w:space="0" w:color="auto"/>
        <w:left w:val="none" w:sz="0" w:space="0" w:color="auto"/>
        <w:bottom w:val="none" w:sz="0" w:space="0" w:color="auto"/>
        <w:right w:val="none" w:sz="0" w:space="0" w:color="auto"/>
      </w:divBdr>
    </w:div>
    <w:div w:id="483401508">
      <w:bodyDiv w:val="1"/>
      <w:marLeft w:val="0"/>
      <w:marRight w:val="0"/>
      <w:marTop w:val="0"/>
      <w:marBottom w:val="0"/>
      <w:divBdr>
        <w:top w:val="none" w:sz="0" w:space="0" w:color="auto"/>
        <w:left w:val="none" w:sz="0" w:space="0" w:color="auto"/>
        <w:bottom w:val="none" w:sz="0" w:space="0" w:color="auto"/>
        <w:right w:val="none" w:sz="0" w:space="0" w:color="auto"/>
      </w:divBdr>
    </w:div>
    <w:div w:id="521674342">
      <w:bodyDiv w:val="1"/>
      <w:marLeft w:val="0"/>
      <w:marRight w:val="0"/>
      <w:marTop w:val="0"/>
      <w:marBottom w:val="0"/>
      <w:divBdr>
        <w:top w:val="none" w:sz="0" w:space="0" w:color="auto"/>
        <w:left w:val="none" w:sz="0" w:space="0" w:color="auto"/>
        <w:bottom w:val="none" w:sz="0" w:space="0" w:color="auto"/>
        <w:right w:val="none" w:sz="0" w:space="0" w:color="auto"/>
      </w:divBdr>
    </w:div>
    <w:div w:id="566960311">
      <w:bodyDiv w:val="1"/>
      <w:marLeft w:val="0"/>
      <w:marRight w:val="0"/>
      <w:marTop w:val="0"/>
      <w:marBottom w:val="0"/>
      <w:divBdr>
        <w:top w:val="none" w:sz="0" w:space="0" w:color="auto"/>
        <w:left w:val="none" w:sz="0" w:space="0" w:color="auto"/>
        <w:bottom w:val="none" w:sz="0" w:space="0" w:color="auto"/>
        <w:right w:val="none" w:sz="0" w:space="0" w:color="auto"/>
      </w:divBdr>
    </w:div>
    <w:div w:id="628899230">
      <w:bodyDiv w:val="1"/>
      <w:marLeft w:val="0"/>
      <w:marRight w:val="0"/>
      <w:marTop w:val="0"/>
      <w:marBottom w:val="0"/>
      <w:divBdr>
        <w:top w:val="none" w:sz="0" w:space="0" w:color="auto"/>
        <w:left w:val="none" w:sz="0" w:space="0" w:color="auto"/>
        <w:bottom w:val="none" w:sz="0" w:space="0" w:color="auto"/>
        <w:right w:val="none" w:sz="0" w:space="0" w:color="auto"/>
      </w:divBdr>
    </w:div>
    <w:div w:id="642395962">
      <w:bodyDiv w:val="1"/>
      <w:marLeft w:val="0"/>
      <w:marRight w:val="0"/>
      <w:marTop w:val="0"/>
      <w:marBottom w:val="0"/>
      <w:divBdr>
        <w:top w:val="none" w:sz="0" w:space="0" w:color="auto"/>
        <w:left w:val="none" w:sz="0" w:space="0" w:color="auto"/>
        <w:bottom w:val="none" w:sz="0" w:space="0" w:color="auto"/>
        <w:right w:val="none" w:sz="0" w:space="0" w:color="auto"/>
      </w:divBdr>
    </w:div>
    <w:div w:id="787285655">
      <w:bodyDiv w:val="1"/>
      <w:marLeft w:val="0"/>
      <w:marRight w:val="0"/>
      <w:marTop w:val="0"/>
      <w:marBottom w:val="0"/>
      <w:divBdr>
        <w:top w:val="none" w:sz="0" w:space="0" w:color="auto"/>
        <w:left w:val="none" w:sz="0" w:space="0" w:color="auto"/>
        <w:bottom w:val="none" w:sz="0" w:space="0" w:color="auto"/>
        <w:right w:val="none" w:sz="0" w:space="0" w:color="auto"/>
      </w:divBdr>
    </w:div>
    <w:div w:id="813110123">
      <w:bodyDiv w:val="1"/>
      <w:marLeft w:val="0"/>
      <w:marRight w:val="0"/>
      <w:marTop w:val="0"/>
      <w:marBottom w:val="0"/>
      <w:divBdr>
        <w:top w:val="none" w:sz="0" w:space="0" w:color="auto"/>
        <w:left w:val="none" w:sz="0" w:space="0" w:color="auto"/>
        <w:bottom w:val="none" w:sz="0" w:space="0" w:color="auto"/>
        <w:right w:val="none" w:sz="0" w:space="0" w:color="auto"/>
      </w:divBdr>
    </w:div>
    <w:div w:id="859047567">
      <w:bodyDiv w:val="1"/>
      <w:marLeft w:val="0"/>
      <w:marRight w:val="0"/>
      <w:marTop w:val="0"/>
      <w:marBottom w:val="0"/>
      <w:divBdr>
        <w:top w:val="none" w:sz="0" w:space="0" w:color="auto"/>
        <w:left w:val="none" w:sz="0" w:space="0" w:color="auto"/>
        <w:bottom w:val="none" w:sz="0" w:space="0" w:color="auto"/>
        <w:right w:val="none" w:sz="0" w:space="0" w:color="auto"/>
      </w:divBdr>
    </w:div>
    <w:div w:id="866522918">
      <w:bodyDiv w:val="1"/>
      <w:marLeft w:val="0"/>
      <w:marRight w:val="0"/>
      <w:marTop w:val="0"/>
      <w:marBottom w:val="0"/>
      <w:divBdr>
        <w:top w:val="none" w:sz="0" w:space="0" w:color="auto"/>
        <w:left w:val="none" w:sz="0" w:space="0" w:color="auto"/>
        <w:bottom w:val="none" w:sz="0" w:space="0" w:color="auto"/>
        <w:right w:val="none" w:sz="0" w:space="0" w:color="auto"/>
      </w:divBdr>
    </w:div>
    <w:div w:id="947926098">
      <w:bodyDiv w:val="1"/>
      <w:marLeft w:val="0"/>
      <w:marRight w:val="0"/>
      <w:marTop w:val="0"/>
      <w:marBottom w:val="0"/>
      <w:divBdr>
        <w:top w:val="none" w:sz="0" w:space="0" w:color="auto"/>
        <w:left w:val="none" w:sz="0" w:space="0" w:color="auto"/>
        <w:bottom w:val="none" w:sz="0" w:space="0" w:color="auto"/>
        <w:right w:val="none" w:sz="0" w:space="0" w:color="auto"/>
      </w:divBdr>
    </w:div>
    <w:div w:id="1065639914">
      <w:bodyDiv w:val="1"/>
      <w:marLeft w:val="0"/>
      <w:marRight w:val="0"/>
      <w:marTop w:val="0"/>
      <w:marBottom w:val="0"/>
      <w:divBdr>
        <w:top w:val="none" w:sz="0" w:space="0" w:color="auto"/>
        <w:left w:val="none" w:sz="0" w:space="0" w:color="auto"/>
        <w:bottom w:val="none" w:sz="0" w:space="0" w:color="auto"/>
        <w:right w:val="none" w:sz="0" w:space="0" w:color="auto"/>
      </w:divBdr>
    </w:div>
    <w:div w:id="1146242208">
      <w:bodyDiv w:val="1"/>
      <w:marLeft w:val="0"/>
      <w:marRight w:val="0"/>
      <w:marTop w:val="0"/>
      <w:marBottom w:val="0"/>
      <w:divBdr>
        <w:top w:val="none" w:sz="0" w:space="0" w:color="auto"/>
        <w:left w:val="none" w:sz="0" w:space="0" w:color="auto"/>
        <w:bottom w:val="none" w:sz="0" w:space="0" w:color="auto"/>
        <w:right w:val="none" w:sz="0" w:space="0" w:color="auto"/>
      </w:divBdr>
    </w:div>
    <w:div w:id="1172641995">
      <w:bodyDiv w:val="1"/>
      <w:marLeft w:val="0"/>
      <w:marRight w:val="0"/>
      <w:marTop w:val="0"/>
      <w:marBottom w:val="0"/>
      <w:divBdr>
        <w:top w:val="none" w:sz="0" w:space="0" w:color="auto"/>
        <w:left w:val="none" w:sz="0" w:space="0" w:color="auto"/>
        <w:bottom w:val="none" w:sz="0" w:space="0" w:color="auto"/>
        <w:right w:val="none" w:sz="0" w:space="0" w:color="auto"/>
      </w:divBdr>
    </w:div>
    <w:div w:id="1220092550">
      <w:bodyDiv w:val="1"/>
      <w:marLeft w:val="0"/>
      <w:marRight w:val="0"/>
      <w:marTop w:val="0"/>
      <w:marBottom w:val="0"/>
      <w:divBdr>
        <w:top w:val="none" w:sz="0" w:space="0" w:color="auto"/>
        <w:left w:val="none" w:sz="0" w:space="0" w:color="auto"/>
        <w:bottom w:val="none" w:sz="0" w:space="0" w:color="auto"/>
        <w:right w:val="none" w:sz="0" w:space="0" w:color="auto"/>
      </w:divBdr>
    </w:div>
    <w:div w:id="1221206889">
      <w:bodyDiv w:val="1"/>
      <w:marLeft w:val="0"/>
      <w:marRight w:val="0"/>
      <w:marTop w:val="0"/>
      <w:marBottom w:val="0"/>
      <w:divBdr>
        <w:top w:val="none" w:sz="0" w:space="0" w:color="auto"/>
        <w:left w:val="none" w:sz="0" w:space="0" w:color="auto"/>
        <w:bottom w:val="none" w:sz="0" w:space="0" w:color="auto"/>
        <w:right w:val="none" w:sz="0" w:space="0" w:color="auto"/>
      </w:divBdr>
    </w:div>
    <w:div w:id="1281259153">
      <w:bodyDiv w:val="1"/>
      <w:marLeft w:val="0"/>
      <w:marRight w:val="0"/>
      <w:marTop w:val="0"/>
      <w:marBottom w:val="0"/>
      <w:divBdr>
        <w:top w:val="none" w:sz="0" w:space="0" w:color="auto"/>
        <w:left w:val="none" w:sz="0" w:space="0" w:color="auto"/>
        <w:bottom w:val="none" w:sz="0" w:space="0" w:color="auto"/>
        <w:right w:val="none" w:sz="0" w:space="0" w:color="auto"/>
      </w:divBdr>
    </w:div>
    <w:div w:id="1321351650">
      <w:bodyDiv w:val="1"/>
      <w:marLeft w:val="0"/>
      <w:marRight w:val="0"/>
      <w:marTop w:val="0"/>
      <w:marBottom w:val="0"/>
      <w:divBdr>
        <w:top w:val="none" w:sz="0" w:space="0" w:color="auto"/>
        <w:left w:val="none" w:sz="0" w:space="0" w:color="auto"/>
        <w:bottom w:val="none" w:sz="0" w:space="0" w:color="auto"/>
        <w:right w:val="none" w:sz="0" w:space="0" w:color="auto"/>
      </w:divBdr>
    </w:div>
    <w:div w:id="1448306894">
      <w:bodyDiv w:val="1"/>
      <w:marLeft w:val="0"/>
      <w:marRight w:val="0"/>
      <w:marTop w:val="0"/>
      <w:marBottom w:val="0"/>
      <w:divBdr>
        <w:top w:val="none" w:sz="0" w:space="0" w:color="auto"/>
        <w:left w:val="none" w:sz="0" w:space="0" w:color="auto"/>
        <w:bottom w:val="none" w:sz="0" w:space="0" w:color="auto"/>
        <w:right w:val="none" w:sz="0" w:space="0" w:color="auto"/>
      </w:divBdr>
    </w:div>
    <w:div w:id="1585335155">
      <w:bodyDiv w:val="1"/>
      <w:marLeft w:val="0"/>
      <w:marRight w:val="0"/>
      <w:marTop w:val="0"/>
      <w:marBottom w:val="0"/>
      <w:divBdr>
        <w:top w:val="none" w:sz="0" w:space="0" w:color="auto"/>
        <w:left w:val="none" w:sz="0" w:space="0" w:color="auto"/>
        <w:bottom w:val="none" w:sz="0" w:space="0" w:color="auto"/>
        <w:right w:val="none" w:sz="0" w:space="0" w:color="auto"/>
      </w:divBdr>
    </w:div>
    <w:div w:id="1704357907">
      <w:bodyDiv w:val="1"/>
      <w:marLeft w:val="0"/>
      <w:marRight w:val="0"/>
      <w:marTop w:val="0"/>
      <w:marBottom w:val="0"/>
      <w:divBdr>
        <w:top w:val="none" w:sz="0" w:space="0" w:color="auto"/>
        <w:left w:val="none" w:sz="0" w:space="0" w:color="auto"/>
        <w:bottom w:val="none" w:sz="0" w:space="0" w:color="auto"/>
        <w:right w:val="none" w:sz="0" w:space="0" w:color="auto"/>
      </w:divBdr>
    </w:div>
    <w:div w:id="1855150095">
      <w:bodyDiv w:val="1"/>
      <w:marLeft w:val="0"/>
      <w:marRight w:val="0"/>
      <w:marTop w:val="0"/>
      <w:marBottom w:val="0"/>
      <w:divBdr>
        <w:top w:val="none" w:sz="0" w:space="0" w:color="auto"/>
        <w:left w:val="none" w:sz="0" w:space="0" w:color="auto"/>
        <w:bottom w:val="none" w:sz="0" w:space="0" w:color="auto"/>
        <w:right w:val="none" w:sz="0" w:space="0" w:color="auto"/>
      </w:divBdr>
    </w:div>
    <w:div w:id="1897468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theme" Target="theme/theme1.xml"/><Relationship Id="rId10" Type="http://schemas.openxmlformats.org/officeDocument/2006/relationships/image" Target="media/image4.emf"/><Relationship Id="rId19" Type="http://schemas.openxmlformats.org/officeDocument/2006/relationships/image" Target="media/image12.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078C9-6111-4DC0-ACF5-7EC5FB796B5C}">
  <ds:schemaRefs>
    <ds:schemaRef ds:uri="http://schemas.openxmlformats.org/officeDocument/2006/bibliography"/>
  </ds:schemaRefs>
</ds:datastoreItem>
</file>

<file path=docMetadata/LabelInfo.xml><?xml version="1.0" encoding="utf-8"?>
<clbl:labelList xmlns:clbl="http://schemas.microsoft.com/office/2020/mipLabelMetadata">
  <clbl:label id="{4c74477d-0aa9-4e15-887a-2bd6c4cd4f3b}" enabled="0" method="" siteId="{4c74477d-0aa9-4e15-887a-2bd6c4cd4f3b}"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14</Pages>
  <Words>883</Words>
  <Characters>5035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Batchelder</dc:creator>
  <cp:keywords/>
  <dc:description/>
  <cp:lastModifiedBy>Shaquille Carter</cp:lastModifiedBy>
  <cp:revision>2</cp:revision>
  <cp:lastPrinted>2023-09-07T16:35:00Z</cp:lastPrinted>
  <dcterms:created xsi:type="dcterms:W3CDTF">2026-08-10T16:11:00Z</dcterms:created>
  <dcterms:modified xsi:type="dcterms:W3CDTF">2026-08-10T16:11:00Z</dcterms:modified>
</cp:coreProperties>
</file>