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</w:pPr>
      <w:r>
        <w:rPr>
          <w:b/>
          <w:color w:val="1F3B57"/>
          <w:sz w:val="40"/>
        </w:rPr>
        <w:t>IT Risk Register</w:t>
      </w:r>
    </w:p>
    <w:p>
      <w:pPr>
        <w:spacing w:after="80"/>
      </w:pPr>
      <w:r>
        <w:rPr>
          <w:color w:val="333333"/>
          <w:sz w:val="22"/>
        </w:rPr>
        <w:t>Simulated Healthcare Organization — Access, Compliance &amp; Third-Party Risk</w:t>
      </w:r>
    </w:p>
    <w:p>
      <w:pPr>
        <w:spacing w:after="200"/>
        <w:pBdr>
          <w:bottom w:val="single" w:sz="12" w:space="1" w:color="1F3B57"/>
        </w:pBdr>
      </w:pPr>
      <w:r>
        <w:rPr>
          <w:i/>
          <w:color w:val="777777"/>
          <w:sz w:val="18"/>
        </w:rPr>
        <w:t>Shaquille Jackson  |  Self-directed GRC portfolio project  |  github.com/shaquillej</w:t>
      </w:r>
    </w:p>
    <w:p>
      <w:pPr>
        <w:spacing w:before="240" w:after="80"/>
      </w:pPr>
      <w:r>
        <w:rPr>
          <w:b/>
          <w:color w:val="1F3B57"/>
          <w:sz w:val="26"/>
        </w:rPr>
        <w:t>Purpose &amp; Scope</w:t>
      </w:r>
    </w:p>
    <w:p>
      <w:pPr>
        <w:spacing w:after="120"/>
      </w:pPr>
      <w:r>
        <w:rPr>
          <w:b w:val="0"/>
          <w:i w:val="0"/>
          <w:sz w:val="20"/>
        </w:rPr>
        <w:t>This risk register applies standard risk-assessment methodology (likelihood x impact scoring, documented treatment plans, ownership, and review cadence) to the same simulated healthcare organization used across this portfolio's Okta IAM, HIPAA audit, and ServiceNow projects. It is a self-directed exercise built to demonstrate risk register construction and maintenance, not a record of a real employer's actual risk environment. Two entries (R-04, R-07) intentionally correspond to findings already surfaced by the HIPAA-Aligned User Access Review &amp; Compliance Audit project, to show the register and the audit produce consistent severity ratings independently.</w:t>
      </w:r>
    </w:p>
    <w:p>
      <w:pPr>
        <w:spacing w:before="240" w:after="80"/>
      </w:pPr>
      <w:r>
        <w:rPr>
          <w:b/>
          <w:color w:val="1F3B57"/>
          <w:sz w:val="26"/>
        </w:rPr>
        <w:t>Methodology</w:t>
      </w:r>
    </w:p>
    <w:p>
      <w:pPr>
        <w:spacing w:after="120"/>
      </w:pPr>
      <w:r>
        <w:rPr>
          <w:b w:val="0"/>
          <w:i w:val="0"/>
          <w:sz w:val="20"/>
        </w:rPr>
        <w:t>Each risk is scored on Likelihood (1-5) and Impact (1-5); Risk Score = Likelihood x Impact. Bands: 1-6 = Low, 7-14 = Medium, 15-25 = High. Every risk has a named owner role, a documented treatment plan (mitigate, transfer, accept, or avoid), a current status, and a review cadence.</w:t>
      </w:r>
    </w:p>
    <w:p>
      <w:pPr>
        <w:spacing w:before="240" w:after="80"/>
      </w:pPr>
      <w:r>
        <w:rPr>
          <w:b/>
          <w:color w:val="1F3B57"/>
          <w:sz w:val="26"/>
        </w:rPr>
        <w:t>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576"/>
            <w:shd w:fill="1F3B57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880"/>
            <w:shd w:fill="1F3B57"/>
          </w:tcPr>
          <w:p>
            <w:r/>
            <w:r>
              <w:rPr>
                <w:b/>
                <w:color w:val="FFFFFF"/>
                <w:sz w:val="16"/>
              </w:rPr>
              <w:t>Risk Description</w:t>
            </w:r>
          </w:p>
        </w:tc>
        <w:tc>
          <w:tcPr>
            <w:tcW w:type="dxa" w:w="1368"/>
            <w:shd w:fill="1F3B57"/>
          </w:tcPr>
          <w:p>
            <w:r/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432"/>
            <w:shd w:fill="1F3B57"/>
          </w:tcPr>
          <w:p>
            <w:r/>
            <w:r>
              <w:rPr>
                <w:b/>
                <w:color w:val="FFFFFF"/>
                <w:sz w:val="16"/>
              </w:rPr>
              <w:t>L</w:t>
            </w:r>
          </w:p>
        </w:tc>
        <w:tc>
          <w:tcPr>
            <w:tcW w:type="dxa" w:w="432"/>
            <w:shd w:fill="1F3B57"/>
          </w:tcPr>
          <w:p>
            <w:r/>
            <w:r>
              <w:rPr>
                <w:b/>
                <w:color w:val="FFFFFF"/>
                <w:sz w:val="16"/>
              </w:rPr>
              <w:t>I</w:t>
            </w:r>
          </w:p>
        </w:tc>
        <w:tc>
          <w:tcPr>
            <w:tcW w:type="dxa" w:w="648"/>
            <w:shd w:fill="1F3B57"/>
          </w:tcPr>
          <w:p>
            <w:r/>
            <w:r>
              <w:rPr>
                <w:b/>
                <w:color w:val="FFFFFF"/>
                <w:sz w:val="16"/>
              </w:rPr>
              <w:t>Score</w:t>
            </w:r>
          </w:p>
        </w:tc>
        <w:tc>
          <w:tcPr>
            <w:tcW w:type="dxa" w:w="792"/>
            <w:shd w:fill="1F3B57"/>
          </w:tcPr>
          <w:p>
            <w:r/>
            <w:r>
              <w:rPr>
                <w:b/>
                <w:color w:val="FFFFFF"/>
                <w:sz w:val="16"/>
              </w:rPr>
              <w:t>Band</w:t>
            </w:r>
          </w:p>
        </w:tc>
        <w:tc>
          <w:tcPr>
            <w:tcW w:type="dxa" w:w="2232"/>
            <w:shd w:fill="1F3B57"/>
          </w:tcPr>
          <w:p>
            <w:r/>
            <w:r>
              <w:rPr>
                <w:b/>
                <w:color w:val="FFFFFF"/>
                <w:sz w:val="16"/>
              </w:rPr>
              <w:t>Existing Controls</w:t>
            </w:r>
          </w:p>
        </w:tc>
        <w:tc>
          <w:tcPr>
            <w:tcW w:type="dxa" w:w="3024"/>
            <w:shd w:fill="1F3B57"/>
          </w:tcPr>
          <w:p>
            <w:r/>
            <w:r>
              <w:rPr>
                <w:b/>
                <w:color w:val="FFFFFF"/>
                <w:sz w:val="16"/>
              </w:rPr>
              <w:t>Treatment Plan</w:t>
            </w:r>
          </w:p>
        </w:tc>
        <w:tc>
          <w:tcPr>
            <w:tcW w:type="dxa" w:w="1440"/>
            <w:shd w:fill="1F3B57"/>
          </w:tcPr>
          <w:p>
            <w:r/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008"/>
            <w:shd w:fill="1F3B57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R-01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Excessive/orphaned access retained after a role change or offboarding event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Access Control</w:t>
            </w:r>
          </w:p>
        </w:tc>
        <w:tc>
          <w:tcPr>
            <w:tcW w:type="dxa" w:w="432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432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792"/>
            <w:shd w:fill="F4CCCC"/>
          </w:tcPr>
          <w:p>
            <w:r/>
            <w:r>
              <w:rPr>
                <w:sz w:val="16"/>
              </w:rPr>
              <w:t>High</w:t>
            </w:r>
          </w:p>
        </w:tc>
        <w:tc>
          <w:tcPr>
            <w:tcW w:type="dxa" w:w="2232"/>
          </w:tcPr>
          <w:p>
            <w:r/>
            <w:r>
              <w:rPr>
                <w:sz w:val="16"/>
              </w:rPr>
              <w:t>Quarterly UAR process (Okta project)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Automate an offboarding trigger tied to role-change status; move to monthly UAR for high-sensitivity groups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IAM Analyst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Mitigating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R-02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Shared/generic accounts used in place of individually attributable accounts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Access Control</w:t>
            </w:r>
          </w:p>
        </w:tc>
        <w:tc>
          <w:tcPr>
            <w:tcW w:type="dxa" w:w="432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432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792"/>
            <w:shd w:fill="FFE8B3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2232"/>
          </w:tcPr>
          <w:p>
            <w:r/>
            <w:r>
              <w:rPr>
                <w:sz w:val="16"/>
              </w:rPr>
              <w:t>RBAC role design discourages shared accounts by default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Add a periodic account-ownership check to the UAR checklist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IAM Analyst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Open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R-03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Quarterly User Access Review missed or completed incompletely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Governance</w:t>
            </w:r>
          </w:p>
        </w:tc>
        <w:tc>
          <w:tcPr>
            <w:tcW w:type="dxa" w:w="432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432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792"/>
            <w:shd w:fill="D9EAD3"/>
          </w:tcPr>
          <w:p>
            <w:r/>
            <w:r>
              <w:rPr>
                <w:sz w:val="16"/>
              </w:rPr>
              <w:t>Low</w:t>
            </w:r>
          </w:p>
        </w:tc>
        <w:tc>
          <w:tcPr>
            <w:tcW w:type="dxa" w:w="2232"/>
          </w:tcPr>
          <w:p>
            <w:r/>
            <w:r>
              <w:rPr>
                <w:sz w:val="16"/>
              </w:rPr>
              <w:t>Documented UAR package and process exist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Calendar-driven review reminders; named backup reviewer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IAM Analyst / Compliance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Mitigated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R-04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Vendor/sub-processor handles data with no documented data protection agreement on file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Third-Party / Vendor</w:t>
            </w:r>
          </w:p>
        </w:tc>
        <w:tc>
          <w:tcPr>
            <w:tcW w:type="dxa" w:w="432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432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792"/>
            <w:shd w:fill="F4CCCC"/>
          </w:tcPr>
          <w:p>
            <w:r/>
            <w:r>
              <w:rPr>
                <w:sz w:val="16"/>
              </w:rPr>
              <w:t>High</w:t>
            </w:r>
          </w:p>
        </w:tc>
        <w:tc>
          <w:tcPr>
            <w:tcW w:type="dxa" w:w="2232"/>
          </w:tcPr>
          <w:p>
            <w:r/>
            <w:r>
              <w:rPr>
                <w:sz w:val="16"/>
              </w:rPr>
              <w:t>None formalized prior to this exercise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Require a signed DPA and sub-processor disclosure before onboarding (see Vendor Risk Review)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GRC / Procurement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Open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R-05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Vendor-managed application component runs an outdated version between patch cycles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Technical / Operational</w:t>
            </w:r>
          </w:p>
        </w:tc>
        <w:tc>
          <w:tcPr>
            <w:tcW w:type="dxa" w:w="432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432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792"/>
            <w:shd w:fill="D9EAD3"/>
          </w:tcPr>
          <w:p>
            <w:r/>
            <w:r>
              <w:rPr>
                <w:sz w:val="16"/>
              </w:rPr>
              <w:t>Low</w:t>
            </w:r>
          </w:p>
        </w:tc>
        <w:tc>
          <w:tcPr>
            <w:tcW w:type="dxa" w:w="2232"/>
          </w:tcPr>
          <w:p>
            <w:r/>
            <w:r>
              <w:rPr>
                <w:sz w:val="16"/>
              </w:rPr>
              <w:t>Vendor-managed SaaS patch cadence (contractual, not internally controlled)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Track vendor release notes; confirm patch SLA is stated in the vendor contract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IT / Vendor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Open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R-06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MFA / step-up authentication not enforced consistently across all access tiers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Access Control</w:t>
            </w:r>
          </w:p>
        </w:tc>
        <w:tc>
          <w:tcPr>
            <w:tcW w:type="dxa" w:w="432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432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792"/>
            <w:shd w:fill="FFE8B3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2232"/>
          </w:tcPr>
          <w:p>
            <w:r/>
            <w:r>
              <w:rPr>
                <w:sz w:val="16"/>
              </w:rPr>
              <w:t>Tiered MFA sign-on policy already enforces step-up for higher-sensitivity groups (Okta project)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Extend step-up MFA to remaining lower-tier groups on a phased basis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IAM Analyst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Mitigating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R-07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Role definitions grant broader access than the HIPAA minimum-necessary standard requires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Compliance</w:t>
            </w:r>
          </w:p>
        </w:tc>
        <w:tc>
          <w:tcPr>
            <w:tcW w:type="dxa" w:w="432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432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792"/>
            <w:shd w:fill="F4CCCC"/>
          </w:tcPr>
          <w:p>
            <w:r/>
            <w:r>
              <w:rPr>
                <w:sz w:val="16"/>
              </w:rPr>
              <w:t>High</w:t>
            </w:r>
          </w:p>
        </w:tc>
        <w:tc>
          <w:tcPr>
            <w:tcW w:type="dxa" w:w="2232"/>
          </w:tcPr>
          <w:p>
            <w:r/>
            <w:r>
              <w:rPr>
                <w:sz w:val="16"/>
              </w:rPr>
              <w:t>HIPAA-aligned access review checklist already flagged this as a High finding (audit project)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Remediation plan from the HIPAA audit tracked to closure; re-scope the 2 flagged roles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Compliance / IAM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In Progress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R-08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No formal incident response / breach notification runbook exists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Governance</w:t>
            </w:r>
          </w:p>
        </w:tc>
        <w:tc>
          <w:tcPr>
            <w:tcW w:type="dxa" w:w="432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432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792"/>
            <w:shd w:fill="FFE8B3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2232"/>
          </w:tcPr>
          <w:p>
            <w:r/>
            <w:r>
              <w:rPr>
                <w:sz w:val="16"/>
              </w:rPr>
              <w:t>None documented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Draft an incident response runbook using the Application Support Playbook's escalation matrix as a starting structure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GRC / IT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Open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R-09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Support-ticket and access-log data retention/disposal schedule is undocumented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Data Governance</w:t>
            </w:r>
          </w:p>
        </w:tc>
        <w:tc>
          <w:tcPr>
            <w:tcW w:type="dxa" w:w="432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432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792"/>
            <w:shd w:fill="D9EAD3"/>
          </w:tcPr>
          <w:p>
            <w:r/>
            <w:r>
              <w:rPr>
                <w:sz w:val="16"/>
              </w:rPr>
              <w:t>Low</w:t>
            </w:r>
          </w:p>
        </w:tc>
        <w:tc>
          <w:tcPr>
            <w:tcW w:type="dxa" w:w="2232"/>
          </w:tcPr>
          <w:p>
            <w:r/>
            <w:r>
              <w:rPr>
                <w:sz w:val="16"/>
              </w:rPr>
              <w:t>Default ServiceNow retention settings, not formally reviewed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Document a retention schedule aligned to HIPAA recordkeeping expectations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IT / Compliance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Open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R-10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New SaaS vendors can be onboarded without a documented risk assessment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Third-Party / Vendor</w:t>
            </w:r>
          </w:p>
        </w:tc>
        <w:tc>
          <w:tcPr>
            <w:tcW w:type="dxa" w:w="432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432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792"/>
            <w:shd w:fill="FFE8B3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2232"/>
          </w:tcPr>
          <w:p>
            <w:r/>
            <w:r>
              <w:rPr>
                <w:sz w:val="16"/>
              </w:rPr>
              <w:t>None formalized prior to this exercise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Apply the Vendor &amp; Third-Party Risk Review methodology to every new vendor before onboarding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GRC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Mitigated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1F3B57"/>
          <w:sz w:val="26"/>
        </w:rPr>
        <w:t>Summary</w:t>
      </w:r>
    </w:p>
    <w:p>
      <w:pPr>
        <w:spacing w:after="120"/>
      </w:pPr>
      <w:r>
        <w:rPr>
          <w:b w:val="0"/>
          <w:i w:val="0"/>
          <w:sz w:val="20"/>
        </w:rPr>
        <w:t>3 High, 4 Medium, 3 Low. Access control and third-party/vendor risk account for the majority of High-severity entries — consistent with where the HIPAA audit project independently found its highest-severity findings. Highest-priority open items: a documented vendor DPA/onboarding requirement (R-04) and closing the 2 over-broad role definitions already identified by the HIPAA audit (R-07).</w:t>
      </w:r>
    </w:p>
    <w:p>
      <w:pPr>
        <w:spacing w:after="120"/>
      </w:pPr>
      <w:r>
        <w:rPr>
          <w:b w:val="0"/>
          <w:i w:val="0"/>
          <w:sz w:val="20"/>
        </w:rPr>
        <w:t>Review cadence: full register reviewed quarterly alongside the User Access Review cycle; individual risks re-scored immediately if a related control changes (e.g., a new vendor onboarded, a role redefined).</w:t>
      </w:r>
    </w:p>
    <w:sectPr w:rsidR="00FC693F" w:rsidRPr="0006063C" w:rsidSect="00034616">
      <w:pgSz w:w="15840" w:h="12240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