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r>
    </w:p>
    <w:p>
      <w:pPr>
        <w:pStyle w:val="Title"/>
        <w:jc w:val="center"/>
      </w:pPr>
      <w:r>
        <w:t>Trainer Implementation Guide:</w:t>
        <w:br/>
        <w:t>Insurance Customer Segmentation</w:t>
      </w:r>
    </w:p>
    <w:p>
      <w:pPr>
        <w:jc w:val="center"/>
      </w:pPr>
      <w:r>
        <w:br/>
        <w:t>Comprehensive 9+ Page Instructor Manual - UNIT 4</w:t>
      </w:r>
    </w:p>
    <w:p>
      <w:r>
        <w:br w:type="page"/>
      </w:r>
    </w:p>
    <w:p>
      <w:pPr>
        <w:pStyle w:val="Heading1"/>
      </w:pPr>
      <w:r>
        <w:t>1. Introduction to Unsupervised Learning</w:t>
      </w:r>
    </w:p>
    <w:p>
      <w:r>
        <w:t>Welcome to Unit 4: Insurance Customer Segmentation. Unlike previous units where students predicted specific outcomes (premiums or risk labels), this unit introduces unsupervised learning. The goal here is to discover hidden patterns within the customer base without relying on historical labels.</w:t>
      </w:r>
    </w:p>
    <w:p>
      <w:pPr>
        <w:pStyle w:val="Heading2"/>
      </w:pPr>
      <w:r>
        <w:t>1.1 The Business Value of Segmentation</w:t>
      </w:r>
    </w:p>
    <w:p>
      <w:r>
        <w:t>Why do insurance companies segment their customers?</w:t>
      </w:r>
    </w:p>
    <w:p>
      <w:pPr>
        <w:pStyle w:val="ListBullet"/>
      </w:pPr>
      <w:r>
        <w:t>- Targeted Marketing: A 'one-size-fits-all' marketing campaign is inefficient. Segmenting allows companies to offer sports car insurance to thrill-seekers and comprehensive family plans to minivan owners.</w:t>
      </w:r>
    </w:p>
    <w:p>
      <w:pPr>
        <w:pStyle w:val="ListBullet"/>
      </w:pPr>
      <w:r>
        <w:t>- Risk Pooling Optimization: Identifying natural groupings of high-risk behaviors helps actuaries design better risk pools.</w:t>
      </w:r>
    </w:p>
    <w:p>
      <w:pPr>
        <w:pStyle w:val="ListBullet"/>
      </w:pPr>
      <w:r>
        <w:t>- Product Development: Discovering an underserved cluster (e.g., young professionals with high disposable income but low claim rates) can drive the creation of new insurance products.</w:t>
      </w:r>
    </w:p>
    <w:p>
      <w:r>
        <w:t>Teaching Tip: Ask students to imagine walking into a room of 1,000 strangers and having to group them into 4 distinct tables based purely on their attributes (age, car type, income) without knowing who has crashed a car before. This is the essence of clustering.</w:t>
      </w:r>
    </w:p>
    <w:p>
      <w:r>
        <w:br w:type="page"/>
      </w:r>
    </w:p>
    <w:p>
      <w:pPr>
        <w:pStyle w:val="Heading1"/>
      </w:pPr>
      <w:r>
        <w:t>2. Building the Models: K-Means</w:t>
      </w:r>
    </w:p>
    <w:p>
      <w:pPr>
        <w:pStyle w:val="Heading2"/>
      </w:pPr>
      <w:r>
        <w:t>2.1 Mathematical Intuition for K-Means</w:t>
      </w:r>
    </w:p>
    <w:p>
      <w:r>
        <w:t>K-Means is often the first clustering algorithm students learn because of its intuitive geometric approach. Explain the process step-by-step:</w:t>
      </w:r>
    </w:p>
    <w:p>
      <w:pPr>
        <w:pStyle w:val="ListBullet"/>
      </w:pPr>
      <w:r>
        <w:t>1. Initialization: Randomly drop 'K' centroids into the data space.</w:t>
      </w:r>
    </w:p>
    <w:p>
      <w:pPr>
        <w:pStyle w:val="ListBullet"/>
      </w:pPr>
      <w:r>
        <w:t>2. Assignment: Assign each customer to the nearest centroid (usually calculating Euclidean distance).</w:t>
      </w:r>
    </w:p>
    <w:p>
      <w:pPr>
        <w:pStyle w:val="ListBullet"/>
      </w:pPr>
      <w:r>
        <w:t>3. Update: Move the centroid to the mathematical mean of all customers assigned to it.</w:t>
      </w:r>
    </w:p>
    <w:p>
      <w:pPr>
        <w:pStyle w:val="ListBullet"/>
      </w:pPr>
      <w:r>
        <w:t>4. Iterate: Repeat until the centroids stop moving (convergence).</w:t>
      </w:r>
    </w:p>
    <w:p>
      <w:pPr>
        <w:pStyle w:val="Heading2"/>
      </w:pPr>
      <w:r>
        <w:t>2.2 Finding the Optimal "K"</w:t>
      </w:r>
    </w:p>
    <w:p>
      <w:r>
        <w:t>Students will immediately ask, 'How do we know what K should be?' Teach these two critical methods:</w:t>
      </w:r>
    </w:p>
    <w:p>
      <w:pPr>
        <w:pStyle w:val="ListBullet"/>
      </w:pPr>
      <w:r>
        <w:t>- The Elbow Method: Plot Within-Cluster Sum of Squares (WCSS) against K. Look for the 'elbow' or 'kink' where adding more clusters yields diminishing returns.</w:t>
      </w:r>
    </w:p>
    <w:p>
      <w:pPr>
        <w:pStyle w:val="ListBullet"/>
      </w:pPr>
      <w:r>
        <w:t>- Silhouette Score: Measures how similar an object is to its own cluster compared to other clusters. Values range from -1 to 1. A higher score means better-defined clusters.</w:t>
      </w:r>
    </w:p>
    <w:p>
      <w:r>
        <w:br w:type="page"/>
      </w:r>
    </w:p>
    <w:p>
      <w:pPr>
        <w:pStyle w:val="Heading1"/>
      </w:pPr>
      <w:r>
        <w:t>3. Building the Models: Hierarchical Clustering</w:t>
      </w:r>
    </w:p>
    <w:p>
      <w:r>
        <w:t>While K-Means requires you to guess 'K' beforehand, Hierarchical Clustering builds a tree-like structure (Dendrogram) that allows the business to choose the number of clusters after the fact.</w:t>
      </w:r>
    </w:p>
    <w:p>
      <w:pPr>
        <w:pStyle w:val="Heading2"/>
      </w:pPr>
      <w:r>
        <w:t>3.1 Agglomerative Approach</w:t>
      </w:r>
    </w:p>
    <w:p>
      <w:r>
        <w:t xml:space="preserve">Explain the 'Bottom-Up' approach. </w:t>
        <w:br/>
        <w:t>Analogy: Imagine every customer is their own isolated island. Find the two closest islands and build a bridge between them, making them one territory. Repeat this process until all islands are connected into one giant continent.</w:t>
      </w:r>
    </w:p>
    <w:p>
      <w:pPr>
        <w:pStyle w:val="Heading2"/>
      </w:pPr>
      <w:r>
        <w:t>3.2 Linkage Criteria</w:t>
      </w:r>
    </w:p>
    <w:p>
      <w:r>
        <w:t>How do we measure distance between two clusters? Teach the variations:</w:t>
      </w:r>
    </w:p>
    <w:p>
      <w:pPr>
        <w:pStyle w:val="ListBullet"/>
      </w:pPr>
      <w:r>
        <w:t>- Single Linkage: Distance between the closest points of two clusters (tends to create long, straggly clusters).</w:t>
      </w:r>
    </w:p>
    <w:p>
      <w:pPr>
        <w:pStyle w:val="ListBullet"/>
      </w:pPr>
      <w:r>
        <w:t>- Complete Linkage: Distance between the furthest points.</w:t>
      </w:r>
    </w:p>
    <w:p>
      <w:pPr>
        <w:pStyle w:val="ListBullet"/>
      </w:pPr>
      <w:r>
        <w:t>- Ward’s Method: Minimizes the variance within clusters. This is generally the most robust and preferred method for business data.</w:t>
      </w:r>
    </w:p>
    <w:p>
      <w:r>
        <w:t>Teaching Tip: Spend ample time teaching students how to read a Dendrogram. Show them how to draw a horizontal 'cut line' across the longest vertical branches to determine the optimal number of clusters.</w:t>
      </w:r>
    </w:p>
    <w:p>
      <w:r>
        <w:br w:type="page"/>
      </w:r>
    </w:p>
    <w:p>
      <w:pPr>
        <w:pStyle w:val="Heading1"/>
      </w:pPr>
      <w:r>
        <w:t>4. Dimensionality Reduction: PCA</w:t>
      </w:r>
    </w:p>
    <w:p>
      <w:pPr>
        <w:pStyle w:val="Heading2"/>
      </w:pPr>
      <w:r>
        <w:t>4.1 The Curse of Dimensionality</w:t>
      </w:r>
    </w:p>
    <w:p>
      <w:r>
        <w:t>Insurance datasets often have dozens of columns. Explain that distance metrics (like Euclidean distance in K-Means) lose their meaning in high-dimensional space. PCA is required to reduce noise, speed up training, and allow for 2D/3D visualization.</w:t>
      </w:r>
    </w:p>
    <w:p>
      <w:pPr>
        <w:pStyle w:val="Heading2"/>
      </w:pPr>
      <w:r>
        <w:t>4.2 How PCA Works</w:t>
      </w:r>
    </w:p>
    <w:p>
      <w:r>
        <w:t>Analogy: Imagine trying to take a photograph of a 3D teapot. If you take the photo from the top, it looks like a circle. If you take it from the side, you capture the handle, spout, and body. PCA is the mathematical process of finding the 'best angle' to photograph high-dimensional data so you preserve the maximum amount of information (variance).</w:t>
      </w:r>
    </w:p>
    <w:p>
      <w:r>
        <w:t>Key Concepts to Teach:</w:t>
      </w:r>
    </w:p>
    <w:p>
      <w:pPr>
        <w:pStyle w:val="ListBullet"/>
      </w:pPr>
      <w:r>
        <w:t>- Feature Scaling: PCA is hyper-sensitive to scale. If 'Income' is in the tens of thousands and 'Age' is in the tens, Income will dominate the components. StandardScaler is mandatory.</w:t>
      </w:r>
    </w:p>
    <w:p>
      <w:pPr>
        <w:pStyle w:val="ListBullet"/>
      </w:pPr>
      <w:r>
        <w:t>- Explained Variance Ratio: How much information is retained? Teach students to aim for components that cumulatively explain 80-90% of the variance.</w:t>
      </w:r>
    </w:p>
    <w:p>
      <w:r>
        <w:br w:type="page"/>
      </w:r>
    </w:p>
    <w:p>
      <w:pPr>
        <w:pStyle w:val="Heading1"/>
      </w:pPr>
      <w:r>
        <w:t>5. Analysis Phase</w:t>
      </w:r>
    </w:p>
    <w:p>
      <w:r>
        <w:t>Once the clusters are built, the real data science work begins. The algorithm just outputs labels (0, 1, 2, 3). The analyst must figure out what these numbers mean.</w:t>
      </w:r>
    </w:p>
    <w:p>
      <w:pPr>
        <w:pStyle w:val="Heading2"/>
      </w:pPr>
      <w:r>
        <w:t>5.1 Analyzing Claim Behavior</w:t>
      </w:r>
    </w:p>
    <w:p>
      <w:r>
        <w:t>Instruct students to group the original dataset by the new cluster labels and calculate the mean/median for claim-related features.</w:t>
      </w:r>
    </w:p>
    <w:p>
      <w:pPr>
        <w:pStyle w:val="ListBullet"/>
      </w:pPr>
      <w:r>
        <w:t>- Are clusters distinct in their claim frequency? (How often they crash).</w:t>
      </w:r>
    </w:p>
    <w:p>
      <w:pPr>
        <w:pStyle w:val="ListBullet"/>
      </w:pPr>
      <w:r>
        <w:t>- Are they distinct in claim severity? (How expensive the crashes are).</w:t>
      </w:r>
    </w:p>
    <w:p>
      <w:pPr>
        <w:pStyle w:val="Heading2"/>
      </w:pPr>
      <w:r>
        <w:t>5.2 Analyzing Premium Behavior</w:t>
      </w:r>
    </w:p>
    <w:p>
      <w:r>
        <w:t>Cross-reference the clusters with the premiums they currently pay.</w:t>
      </w:r>
    </w:p>
    <w:p>
      <w:pPr>
        <w:pStyle w:val="ListBullet"/>
      </w:pPr>
      <w:r>
        <w:t>- Is the company undercharging a high-risk cluster?</w:t>
      </w:r>
    </w:p>
    <w:p>
      <w:pPr>
        <w:pStyle w:val="ListBullet"/>
      </w:pPr>
      <w:r>
        <w:t>- Is the company overcharging a safe cluster, risking them churning to a competitor?</w:t>
      </w:r>
    </w:p>
    <w:p>
      <w:r>
        <w:br w:type="page"/>
      </w:r>
    </w:p>
    <w:p>
      <w:pPr>
        <w:pStyle w:val="Heading1"/>
      </w:pPr>
      <w:r>
        <w:t>6. Risk Clusters &amp; Visual Storytelling</w:t>
      </w:r>
    </w:p>
    <w:p>
      <w:pPr>
        <w:pStyle w:val="Heading2"/>
      </w:pPr>
      <w:r>
        <w:t>6.1 Identifying Risk Profiles</w:t>
      </w:r>
    </w:p>
    <w:p>
      <w:r>
        <w:t>Even though this is unsupervised learning, we can use historical domain knowledge to infer risk.</w:t>
      </w:r>
    </w:p>
    <w:p>
      <w:r>
        <w:t>For example, if Cluster 2 consists of young drivers, sports cars, and high urban density, this is a naturally 'High Risk' cluster even if we don't have their future claim data yet. Teach students to construct a 'Risk Matrix' mapping severity against frequency for each cluster.</w:t>
      </w:r>
    </w:p>
    <w:p>
      <w:pPr>
        <w:pStyle w:val="Heading2"/>
      </w:pPr>
      <w:r>
        <w:t>6.2 Visualizing Clusters</w:t>
      </w:r>
    </w:p>
    <w:p>
      <w:r>
        <w:t>Students should use scatter plots applying the first two Principal Components (PC1 and PC2) on the X and Y axes, color-coded by their K-Means cluster labels. This provides immediate visual validation of whether the algorithm successfully separated distinct groups.</w:t>
      </w:r>
    </w:p>
    <w:p>
      <w:r>
        <w:br w:type="page"/>
      </w:r>
    </w:p>
    <w:p>
      <w:pPr>
        <w:pStyle w:val="Heading1"/>
      </w:pPr>
      <w:r>
        <w:t>7. Interpreting Business Meaning (Personas)</w:t>
      </w:r>
    </w:p>
    <w:p>
      <w:r>
        <w:t>This is the most critical step for business stakeholders. A CEO does not care about 'Cluster 1' or 'Centroid distances'. They care about customer personas.</w:t>
      </w:r>
    </w:p>
    <w:p>
      <w:pPr>
        <w:pStyle w:val="Heading2"/>
      </w:pPr>
      <w:r>
        <w:t>7.1 Creating Actionable Personas</w:t>
      </w:r>
    </w:p>
    <w:p>
      <w:r>
        <w:t>Challenge your students to write a 2-3 sentence profile and give a memorable name to each cluster. Examples:</w:t>
      </w:r>
    </w:p>
    <w:p>
      <w:pPr>
        <w:pStyle w:val="ListBullet"/>
      </w:pPr>
      <w:r>
        <w:t>- The 'Safe &amp; Steady Families': Middle-aged, married, drive minivans/SUVs, high premiums paid, very low claim frequency. Action: Offer them loyalty discounts and bundle home/auto insurance.</w:t>
      </w:r>
    </w:p>
    <w:p>
      <w:pPr>
        <w:pStyle w:val="ListBullet"/>
      </w:pPr>
      <w:r>
        <w:t>- The 'Risky Youth': Ages 18-25, single, frequent minor claims. Action: Mandate telematics (driving tracking apps) to monitor behavior before offering premium reductions.</w:t>
      </w:r>
    </w:p>
    <w:p>
      <w:pPr>
        <w:pStyle w:val="ListBullet"/>
      </w:pPr>
      <w:r>
        <w:t>- The 'High-Value Corporate': Company cars, high mileage, moderate severity claims. Action: Route to specialized B2B underwriting teams.</w:t>
      </w:r>
    </w:p>
    <w:p>
      <w:r>
        <w:br w:type="page"/>
      </w:r>
    </w:p>
    <w:p>
      <w:pPr>
        <w:pStyle w:val="Heading1"/>
      </w:pPr>
      <w:r>
        <w:t>8. Deliverables &amp; Evaluation Rubric</w:t>
      </w:r>
    </w:p>
    <w:p>
      <w:r>
        <w:t>Outline strict expectations for how students present their findings. Creating these reports seamlessly in Jupyter notebooks will allow students to present both their code and their narrative effectively.</w:t>
      </w:r>
    </w:p>
    <w:p>
      <w:pPr>
        <w:pStyle w:val="Heading2"/>
      </w:pPr>
      <w:r>
        <w:t>8.1 Technical Notebooks</w:t>
      </w:r>
    </w:p>
    <w:p>
      <w:pPr>
        <w:pStyle w:val="ListBullet"/>
      </w:pPr>
      <w:r>
        <w:t>- PCA Report: Delivered via a Jupyter notebook, this must include the scaling steps, the scree plot (explained variance), and justification for the number of components chosen.</w:t>
      </w:r>
    </w:p>
    <w:p>
      <w:pPr>
        <w:pStyle w:val="ListBullet"/>
      </w:pPr>
      <w:r>
        <w:t>- Cluster Report: Also created as a comprehensive Jupyter notebook, this must show the Elbow Plot, Silhouette Scores, dendrograms for Hierarchical clustering, and the final assignment of labels to the original dataframe.</w:t>
      </w:r>
    </w:p>
    <w:p>
      <w:pPr>
        <w:pStyle w:val="Heading2"/>
      </w:pPr>
      <w:r>
        <w:t>8.2 Business Insights Presentation</w:t>
      </w:r>
    </w:p>
    <w:p>
      <w:pPr>
        <w:pStyle w:val="ListBullet"/>
      </w:pPr>
      <w:r>
        <w:t>- The final deliverable must be a non-technical presentation mapping directly back to business outcomes.</w:t>
      </w:r>
    </w:p>
    <w:p>
      <w:pPr>
        <w:pStyle w:val="ListBullet"/>
      </w:pPr>
      <w:r>
        <w:t>- Students must present their distinct Personas.</w:t>
      </w:r>
    </w:p>
    <w:p>
      <w:pPr>
        <w:pStyle w:val="ListBullet"/>
      </w:pPr>
      <w:r>
        <w:t>- They must provide at least two concrete, data-backed business recommendations (e.g., 'We should raise premiums by 5% on the Risky Youth segment due to their high claim severity').</w:t>
      </w:r>
    </w:p>
    <w:p>
      <w:r>
        <w:br/>
        <w:br/>
        <w:t>End of Trainer 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