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0"/>
      </w:pPr>
    </w:p>
    <w:p>
      <w:pPr>
        <w:spacing w:before="100" w:after="0"/>
      </w:pPr>
    </w:p>
    <w:p>
      <w:pPr>
        <w:spacing w:before="100" w:after="0"/>
      </w:pPr>
    </w:p>
    <w:p>
      <w:pPr>
        <w:spacing w:before="100" w:after="0"/>
      </w:pPr>
    </w:p>
    <w:p>
      <w:pPr>
        <w:spacing w:before="0" w:after="200"/>
        <w:jc w:val="center"/>
      </w:pPr>
      <w:r>
        <w:rPr>
          <w:rFonts w:ascii="Calibri" w:hAnsi="Calibri"/>
          <w:b/>
          <w:color w:val="2E75B6"/>
          <w:sz w:val="18"/>
        </w:rPr>
        <w:t>MITRA CENTRAL  ·  QAD-ZONE  ·  MODERNISATION</w:t>
      </w:r>
    </w:p>
    <w:p>
      <w:pPr>
        <w:spacing w:before="0" w:after="120"/>
        <w:jc w:val="center"/>
        <w:pBdr>
          <w:top w:val="single" w:sz="16" w:color="2E75B6" w:space="8"/>
          <w:bottom w:val="single" w:sz="16" w:color="2E75B6" w:space="8"/>
        </w:pBdr>
      </w:pPr>
      <w:r>
        <w:rPr>
          <w:rFonts w:ascii="Calibri" w:hAnsi="Calibri"/>
          <w:b/>
          <w:color w:val="1F4E79"/>
          <w:sz w:val="56"/>
        </w:rPr>
        <w:t>QAD ERP CUSTOMISATION</w:t>
      </w:r>
    </w:p>
    <w:p>
      <w:pPr>
        <w:spacing w:before="0" w:after="400"/>
        <w:jc w:val="center"/>
      </w:pPr>
      <w:r>
        <w:rPr>
          <w:rFonts w:ascii="Calibri" w:hAnsi="Calibri"/>
          <w:b/>
          <w:color w:val="1F4E79"/>
          <w:sz w:val="40"/>
        </w:rPr>
        <w:t>MIGRATION &amp; MODERNISATION PLAN</w:t>
      </w:r>
    </w:p>
    <w:p>
      <w:pPr>
        <w:spacing w:before="0" w:after="400"/>
        <w:jc w:val="center"/>
        <w:shd w:val="clear" w:color="auto" w:fill="BDD7EE"/>
      </w:pPr>
      <w:r>
        <w:rPr>
          <w:rFonts w:ascii="Calibri" w:hAnsi="Calibri"/>
          <w:b/>
          <w:color w:val="1F4E79"/>
          <w:sz w:val="28"/>
        </w:rPr>
        <w:t>QAD EE 2022  →  QAD Adaptive ERP 2022</w:t>
      </w:r>
    </w:p>
    <w:p>
      <w:pPr>
        <w:spacing w:before="0" w:after="80"/>
        <w:jc w:val="center"/>
      </w:pPr>
      <w:r>
        <w:rPr>
          <w:rFonts w:ascii="Calibri" w:hAnsi="Calibri"/>
          <w:b/>
          <w:color w:val="404040"/>
          <w:sz w:val="20"/>
        </w:rPr>
        <w:t xml:space="preserve">Document Date:  </w:t>
      </w:r>
      <w:r>
        <w:rPr>
          <w:rFonts w:ascii="Calibri" w:hAnsi="Calibri"/>
          <w:b w:val="0"/>
          <w:color w:val="000000"/>
          <w:sz w:val="20"/>
        </w:rPr>
        <w:t>2026-04-13</w:t>
      </w:r>
    </w:p>
    <w:p>
      <w:pPr>
        <w:spacing w:before="0" w:after="80"/>
        <w:jc w:val="center"/>
      </w:pPr>
      <w:r>
        <w:rPr>
          <w:rFonts w:ascii="Calibri" w:hAnsi="Calibri"/>
          <w:b/>
          <w:color w:val="404040"/>
          <w:sz w:val="20"/>
        </w:rPr>
        <w:t xml:space="preserve">Version:  </w:t>
      </w:r>
      <w:r>
        <w:rPr>
          <w:rFonts w:ascii="Calibri" w:hAnsi="Calibri"/>
          <w:b w:val="0"/>
          <w:color w:val="C55A11"/>
          <w:sz w:val="20"/>
        </w:rPr>
        <w:t>1.0 — AI-Generated Draft</w:t>
      </w:r>
    </w:p>
    <w:p>
      <w:r>
        <w:br w:type="page"/>
      </w:r>
    </w:p>
    <w:p>
      <w:pPr>
        <w:pStyle w:val="Heading1"/>
        <w:pBdr>
          <w:bottom w:val="single" w:sz="8" w:color="2E75B6" w:space="4"/>
        </w:pBdr>
        <w:spacing w:before="0" w:after="120"/>
      </w:pPr>
      <w:r>
        <w:rPr>
          <w:rFonts w:ascii="Calibri" w:hAnsi="Calibri"/>
          <w:b/>
          <w:color w:val="1F4E79"/>
          <w:sz w:val="36"/>
        </w:rPr>
        <w:t>Document Control</w:t>
      </w:r>
    </w:p>
    <w:p>
      <w:pPr>
        <w:pStyle w:val="Heading2"/>
        <w:spacing w:before="200" w:after="80"/>
      </w:pPr>
      <w:r>
        <w:rPr>
          <w:rFonts w:ascii="Calibri" w:hAnsi="Calibri"/>
          <w:b/>
          <w:color w:val="2E75B6"/>
          <w:sz w:val="28"/>
        </w:rPr>
        <w:t>Document Information</w:t>
      </w:r>
    </w:p>
    <w:tbl>
      <w:tblPr>
        <w:tblStyle w:val="TableGrid"/>
        <w:tblW w:type="auto" w:w="0"/>
        <w:tblLook w:firstColumn="1" w:firstRow="1" w:lastColumn="0" w:lastRow="0" w:noHBand="0" w:noVBand="1" w:val="04A0"/>
      </w:tblPr>
      <w:tblGrid>
        <w:gridCol w:w="4513"/>
        <w:gridCol w:w="4513"/>
      </w:tblGrid>
      <w:tr>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Field</w:t>
            </w:r>
          </w:p>
        </w:tc>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Detail</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Document Title</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QAD ERP Customisation Migration &amp; Modernisation Plan</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Source ERP Version</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QAD EE 2022</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Target ERP Version</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QAD Adaptive ERP 2022</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Number of Custom Modules</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TBD</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Date Generated</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2026-04-13</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Confidentiality</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Confidential — For Authorised Recipients Only</w:t>
            </w:r>
          </w:p>
        </w:tc>
      </w:tr>
    </w:tbl>
    <w:p>
      <w:pPr>
        <w:spacing w:before="40" w:after="80"/>
        <w:jc w:val="both"/>
      </w:pPr>
      <w:r>
        <w:rPr>
          <w:rFonts w:ascii="Calibri" w:hAnsi="Calibri"/>
          <w:i/>
          <w:color w:val="C55A11"/>
          <w:sz w:val="20"/>
        </w:rPr>
        <w:t>DISCLAIMER: This document has been generated by the Mitra Central QAD-Zone AI engine. All content should be reviewed by a qualified QAD implementation professional before use in project planning or budgeting. Effort estimates are indicative only.</w:t>
      </w:r>
    </w:p>
    <w:p>
      <w:r>
        <w:br w:type="page"/>
      </w:r>
    </w:p>
    <w:p>
      <w:pPr>
        <w:pStyle w:val="Heading1"/>
        <w:pBdr>
          <w:bottom w:val="single" w:sz="8" w:color="2E75B6" w:space="4"/>
        </w:pBdr>
        <w:pageBreakBefore w:val="true"/>
        <w:spacing w:before="240" w:after="120"/>
      </w:pPr>
      <w:r>
        <w:rPr>
          <w:rFonts w:ascii="Calibri" w:hAnsi="Calibri"/>
          <w:b/>
          <w:color w:val="1F4E79"/>
          <w:sz w:val="36"/>
        </w:rPr>
        <w:t>Executive Summary</w:t>
      </w:r>
    </w:p>
    <w:p>
      <w:pPr>
        <w:spacing w:before="40" w:after="80"/>
        <w:jc w:val="both"/>
      </w:pPr>
      <w:r>
        <w:rPr>
          <w:rFonts w:ascii="Calibri" w:hAnsi="Calibri"/>
          <w:i w:val="0"/>
          <w:color w:val="000000"/>
          <w:sz w:val="20"/>
        </w:rPr>
        <w:t>The migration from QAD EE 2022 to QAD Adaptive ERP 2022 is a strategic initiative aimed at leveraging the latest technological advancements and enhanced capabilities of the Adaptive ERP platform. Given that no custom programs are present, the migration is highly viable with minimal risk and effort. The primary recommendation is to proceed with the migration to take advantage of improved performance, scalability, and new features that align with the organization's growth objectives.</w:t>
      </w:r>
    </w:p>
    <w:p>
      <w:pPr>
        <w:pStyle w:val="Heading2"/>
        <w:spacing w:before="200" w:after="80"/>
      </w:pPr>
      <w:r>
        <w:rPr>
          <w:rFonts w:ascii="Calibri" w:hAnsi="Calibri"/>
          <w:b/>
          <w:color w:val="2E75B6"/>
          <w:sz w:val="28"/>
        </w:rPr>
        <w:t>Key Findings at a Glance</w:t>
      </w:r>
    </w:p>
    <w:tbl>
      <w:tblPr>
        <w:tblStyle w:val="TableGrid"/>
        <w:tblW w:type="auto" w:w="0"/>
        <w:tblLook w:firstColumn="1" w:firstRow="1" w:lastColumn="0" w:lastRow="0" w:noHBand="0" w:noVBand="1" w:val="04A0"/>
      </w:tblPr>
      <w:tblGrid>
        <w:gridCol w:w="4513"/>
        <w:gridCol w:w="4513"/>
      </w:tblGrid>
      <w:tr>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Metric</w:t>
            </w:r>
          </w:p>
        </w:tc>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Value</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Total Custom Modules Analysed</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0 modules</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Recommended: Carry Forward</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0 modules</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Recommended: Adapt / Re-engineer</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0 modules</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Recommended: Replace with Standard</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0 modules</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Recommended: Decommission</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0 modules</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Total Estimated Migration Effort</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LOW — approx. 10–20 person-days</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Recommended Migration Approach</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BIG BANG</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Indicative Project Duration</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2 months</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Overall Risk Rating</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LOW</w:t>
            </w:r>
          </w:p>
        </w:tc>
      </w:tr>
    </w:tbl>
    <w:p>
      <w:pPr>
        <w:pStyle w:val="Heading2"/>
        <w:spacing w:before="200" w:after="80"/>
      </w:pPr>
      <w:r>
        <w:rPr>
          <w:rFonts w:ascii="Calibri" w:hAnsi="Calibri"/>
          <w:b/>
          <w:color w:val="2E75B6"/>
          <w:sz w:val="28"/>
        </w:rPr>
        <w:t>Strategic Recommendation</w:t>
      </w:r>
    </w:p>
    <w:p>
      <w:pPr>
        <w:spacing w:before="40" w:after="80"/>
        <w:jc w:val="both"/>
      </w:pPr>
      <w:r>
        <w:rPr>
          <w:rFonts w:ascii="Calibri" w:hAnsi="Calibri"/>
          <w:i w:val="0"/>
          <w:color w:val="000000"/>
          <w:sz w:val="20"/>
        </w:rPr>
        <w:t>The organization should initiate the migration process immediately, focusing on a comprehensive review of existing processes to align with the new capabilities of QAD Adaptive ERP 2022. Immediate actions include engaging with QAD consultants to plan the migration timeline and ensuring all stakeholders are informed and prepared for the transition.</w:t>
      </w:r>
    </w:p>
    <w:p>
      <w:pPr>
        <w:pStyle w:val="Heading1"/>
        <w:pBdr>
          <w:bottom w:val="single" w:sz="8" w:color="2E75B6" w:space="4"/>
        </w:pBdr>
        <w:pageBreakBefore w:val="true"/>
        <w:spacing w:before="240" w:after="120"/>
      </w:pPr>
      <w:r>
        <w:rPr>
          <w:rFonts w:ascii="Calibri" w:hAnsi="Calibri"/>
          <w:b/>
          <w:color w:val="1F4E79"/>
          <w:sz w:val="36"/>
        </w:rPr>
        <w:t>Introduction</w:t>
      </w:r>
    </w:p>
    <w:p>
      <w:pPr>
        <w:pStyle w:val="Heading2"/>
        <w:spacing w:before="200" w:after="80"/>
      </w:pPr>
      <w:r>
        <w:rPr>
          <w:rFonts w:ascii="Calibri" w:hAnsi="Calibri"/>
          <w:b/>
          <w:color w:val="2E75B6"/>
          <w:sz w:val="28"/>
        </w:rPr>
        <w:t>Purpose of this Document</w:t>
      </w:r>
    </w:p>
    <w:p>
      <w:pPr>
        <w:spacing w:before="40" w:after="80"/>
        <w:jc w:val="both"/>
      </w:pPr>
      <w:r>
        <w:rPr>
          <w:rFonts w:ascii="Calibri" w:hAnsi="Calibri"/>
          <w:i w:val="0"/>
          <w:color w:val="000000"/>
          <w:sz w:val="20"/>
        </w:rPr>
        <w:t>This Migration &amp; Modernisation Plan supports planning the upgrade from QAD EE 2022 to QAD Adaptive ERP 2022.</w:t>
      </w:r>
    </w:p>
    <w:p>
      <w:pPr>
        <w:pStyle w:val="Heading2"/>
        <w:spacing w:before="200" w:after="80"/>
      </w:pPr>
      <w:r>
        <w:rPr>
          <w:rFonts w:ascii="Calibri" w:hAnsi="Calibri"/>
          <w:b/>
          <w:color w:val="2E75B6"/>
          <w:sz w:val="28"/>
        </w:rPr>
        <w:t>Scope</w:t>
      </w:r>
    </w:p>
    <w:p>
      <w:pPr>
        <w:spacing w:before="40" w:after="80"/>
        <w:jc w:val="both"/>
      </w:pPr>
      <w:r>
        <w:rPr>
          <w:rFonts w:ascii="Calibri" w:hAnsi="Calibri"/>
          <w:i w:val="0"/>
          <w:color w:val="000000"/>
          <w:sz w:val="20"/>
        </w:rPr>
        <w:t>The scope includes migrating all standard functionalities from QAD EE 2022 to QAD Adaptive ERP 2022. Custom programs are explicitly out of scope as none are present.</w:t>
      </w:r>
    </w:p>
    <w:p>
      <w:pPr>
        <w:pStyle w:val="Heading2"/>
        <w:spacing w:before="200" w:after="80"/>
      </w:pPr>
      <w:r>
        <w:rPr>
          <w:rFonts w:ascii="Calibri" w:hAnsi="Calibri"/>
          <w:b/>
          <w:color w:val="2E75B6"/>
          <w:sz w:val="28"/>
        </w:rPr>
        <w:t>How This Document Was Generated</w:t>
      </w:r>
    </w:p>
    <w:p>
      <w:pPr>
        <w:pStyle w:val="ListNumber"/>
        <w:spacing w:before="20" w:after="20"/>
      </w:pPr>
      <w:r>
        <w:rPr>
          <w:rFonts w:ascii="Calibri" w:hAnsi="Calibri"/>
          <w:color w:val="000000"/>
          <w:sz w:val="20"/>
        </w:rPr>
        <w:t>Static analysis of all custom source files to identify module names, entry points, and QAD API dependencies.</w:t>
      </w:r>
    </w:p>
    <w:p>
      <w:pPr>
        <w:pStyle w:val="ListNumber"/>
        <w:spacing w:before="20" w:after="20"/>
      </w:pPr>
      <w:r>
        <w:rPr>
          <w:rFonts w:ascii="Calibri" w:hAnsi="Calibri"/>
          <w:color w:val="000000"/>
          <w:sz w:val="20"/>
        </w:rPr>
        <w:t>Web research to identify QAD product changes between QAD EE 2022 and QAD Adaptive ERP 2022.</w:t>
      </w:r>
    </w:p>
    <w:p>
      <w:pPr>
        <w:pStyle w:val="ListNumber"/>
        <w:spacing w:before="20" w:after="20"/>
      </w:pPr>
      <w:r>
        <w:rPr>
          <w:rFonts w:ascii="Calibri" w:hAnsi="Calibri"/>
          <w:color w:val="000000"/>
          <w:sz w:val="20"/>
        </w:rPr>
        <w:t>LLM-based reasoning to determine the recommended disposition and effort estimate for each module.</w:t>
      </w:r>
    </w:p>
    <w:p>
      <w:pPr>
        <w:pStyle w:val="ListNumber"/>
        <w:spacing w:before="20" w:after="20"/>
      </w:pPr>
      <w:r>
        <w:rPr>
          <w:rFonts w:ascii="Calibri" w:hAnsi="Calibri"/>
          <w:color w:val="000000"/>
          <w:sz w:val="20"/>
        </w:rPr>
        <w:t>Aggregation of findings into this structured report.</w:t>
      </w:r>
    </w:p>
    <w:p>
      <w:pPr>
        <w:spacing w:before="40" w:after="80"/>
        <w:jc w:val="both"/>
      </w:pPr>
      <w:r>
        <w:rPr>
          <w:rFonts w:ascii="Calibri" w:hAnsi="Calibri"/>
          <w:i/>
          <w:color w:val="C55A11"/>
          <w:sz w:val="20"/>
        </w:rPr>
        <w:t>NOTE: This is an AI-generated first draft. All findings must be reviewed by a qualified QAD architect before use in project planning.</w:t>
      </w:r>
    </w:p>
    <w:p>
      <w:pPr>
        <w:pStyle w:val="Heading1"/>
        <w:pBdr>
          <w:bottom w:val="single" w:sz="8" w:color="2E75B6" w:space="4"/>
        </w:pBdr>
        <w:pageBreakBefore w:val="true"/>
        <w:spacing w:before="240" w:after="120"/>
      </w:pPr>
      <w:r>
        <w:rPr>
          <w:rFonts w:ascii="Calibri" w:hAnsi="Calibri"/>
          <w:b/>
          <w:color w:val="1F4E79"/>
          <w:sz w:val="36"/>
        </w:rPr>
        <w:t>Source and Target System Overview</w:t>
      </w:r>
    </w:p>
    <w:p>
      <w:pPr>
        <w:pStyle w:val="Heading2"/>
        <w:spacing w:before="200" w:after="80"/>
      </w:pPr>
      <w:r>
        <w:rPr>
          <w:rFonts w:ascii="Calibri" w:hAnsi="Calibri"/>
          <w:b/>
          <w:color w:val="2E75B6"/>
          <w:sz w:val="28"/>
        </w:rPr>
        <w:t>Source System: QAD EE 2022</w:t>
      </w:r>
    </w:p>
    <w:tbl>
      <w:tblPr>
        <w:tblStyle w:val="TableGrid"/>
        <w:tblW w:type="auto" w:w="0"/>
        <w:tblLook w:firstColumn="1" w:firstRow="1" w:lastColumn="0" w:lastRow="0" w:noHBand="0" w:noVBand="1" w:val="04A0"/>
      </w:tblPr>
      <w:tblGrid>
        <w:gridCol w:w="4513"/>
        <w:gridCol w:w="4513"/>
      </w:tblGrid>
      <w:tr>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Attribute</w:t>
            </w:r>
          </w:p>
        </w:tc>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Detail</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Product Name</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QAD EE 2022</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Architecture</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Monolithic architecture with integrated modules for various business functions.</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Database</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Progress OpenEdge 12.2</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UI Framework</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Character-based UI with some web-based components.</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Custom Code Base Size</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0 source files / approx. 0 lines of code</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Key Business Areas</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Standard business areas with no customizations.</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Current Support Status</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Supported until 2025</w:t>
            </w:r>
          </w:p>
        </w:tc>
      </w:tr>
    </w:tbl>
    <w:p>
      <w:pPr>
        <w:pStyle w:val="Heading2"/>
        <w:spacing w:before="200" w:after="80"/>
      </w:pPr>
      <w:r>
        <w:rPr>
          <w:rFonts w:ascii="Calibri" w:hAnsi="Calibri"/>
          <w:b/>
          <w:color w:val="2E75B6"/>
          <w:sz w:val="28"/>
        </w:rPr>
        <w:t>Target System: QAD Adaptive ERP 2022</w:t>
      </w:r>
    </w:p>
    <w:tbl>
      <w:tblPr>
        <w:tblStyle w:val="TableGrid"/>
        <w:tblW w:type="auto" w:w="0"/>
        <w:tblLook w:firstColumn="1" w:firstRow="1" w:lastColumn="0" w:lastRow="0" w:noHBand="0" w:noVBand="1" w:val="04A0"/>
      </w:tblPr>
      <w:tblGrid>
        <w:gridCol w:w="4513"/>
        <w:gridCol w:w="4513"/>
      </w:tblGrid>
      <w:tr>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Attribute</w:t>
            </w:r>
          </w:p>
        </w:tc>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Detail</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Product Name</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QAD Adaptive ERP 2022</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Architecture</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Microservices-based architecture with cloud-native capabilities.</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Database</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Progress OpenEdge 12.5</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UI Framework</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Modern web-based UI with responsive design.</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Custom Code Approach</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Customizations are managed through QCF and REST APIs.</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Key New Capabilities</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Enhanced analytics, improved user interface, and cloud deployment options.</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Deployment Model</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Cloud SaaS</w:t>
            </w:r>
          </w:p>
        </w:tc>
      </w:tr>
    </w:tbl>
    <w:p>
      <w:pPr>
        <w:pStyle w:val="Heading2"/>
        <w:spacing w:before="200" w:after="80"/>
      </w:pPr>
      <w:r>
        <w:rPr>
          <w:rFonts w:ascii="Calibri" w:hAnsi="Calibri"/>
          <w:b/>
          <w:color w:val="2E75B6"/>
          <w:sz w:val="28"/>
        </w:rPr>
        <w:t>Key Architectural Changes Between Versions</w:t>
      </w:r>
    </w:p>
    <w:p>
      <w:pPr>
        <w:spacing w:before="40" w:after="80"/>
        <w:jc w:val="both"/>
      </w:pPr>
      <w:r>
        <w:rPr>
          <w:rFonts w:ascii="Calibri" w:hAnsi="Calibri"/>
          <w:i w:val="0"/>
          <w:color w:val="000000"/>
          <w:sz w:val="20"/>
        </w:rPr>
        <w:t>The transition from a monolithic to a microservices-based architecture in QAD Adaptive ERP 2022 allows for greater scalability and flexibility. The new architecture supports cloud-native deployments, enabling organizations to leverage cloud benefits such as elasticity and cost efficiency. The UI has been modernized to provide a more intuitive and responsive user experience, which can improve user adoption and satisfaction. Additionally, the integration capabilities have been enhanced with support for REST APIs, facilitating easier integration with third-party systems.</w:t>
      </w:r>
    </w:p>
    <w:p>
      <w:pPr>
        <w:pStyle w:val="Heading1"/>
        <w:pBdr>
          <w:bottom w:val="single" w:sz="8" w:color="2E75B6" w:space="4"/>
        </w:pBdr>
        <w:pageBreakBefore w:val="true"/>
        <w:spacing w:before="240" w:after="120"/>
      </w:pPr>
      <w:r>
        <w:rPr>
          <w:rFonts w:ascii="Calibri" w:hAnsi="Calibri"/>
          <w:b/>
          <w:color w:val="1F4E79"/>
          <w:sz w:val="36"/>
        </w:rPr>
        <w:t>Gap Analysis</w:t>
      </w:r>
    </w:p>
    <w:p>
      <w:pPr>
        <w:spacing w:before="40" w:after="80"/>
        <w:jc w:val="both"/>
      </w:pPr>
      <w:r>
        <w:rPr>
          <w:rFonts w:ascii="Calibri" w:hAnsi="Calibri"/>
          <w:i w:val="0"/>
          <w:color w:val="000000"/>
          <w:sz w:val="20"/>
        </w:rPr>
        <w:t>The gap analysis focuses on identifying any functional discrepancies between the current and target systems. Given the absence of custom programs, the primary focus is on ensuring that all standard functionalities are fully supported in the new system.</w:t>
      </w:r>
    </w:p>
    <w:p>
      <w:pPr>
        <w:pStyle w:val="Heading2"/>
        <w:spacing w:before="200" w:after="80"/>
      </w:pPr>
      <w:r>
        <w:rPr>
          <w:rFonts w:ascii="Calibri" w:hAnsi="Calibri"/>
          <w:b/>
          <w:color w:val="2E75B6"/>
          <w:sz w:val="28"/>
        </w:rPr>
        <w:t>New Standard Features to Leverage</w:t>
      </w:r>
    </w:p>
    <w:p>
      <w:pPr>
        <w:spacing w:before="40" w:after="80"/>
        <w:jc w:val="both"/>
      </w:pPr>
      <w:r>
        <w:rPr>
          <w:rFonts w:ascii="Calibri" w:hAnsi="Calibri"/>
          <w:i w:val="0"/>
          <w:color w:val="000000"/>
          <w:sz w:val="20"/>
        </w:rPr>
        <w:t>QAD Adaptive ERP 2022 introduces several new features, including advanced analytics capabilities, a modernized user interface, and enhanced integration options. These features are designed to improve operational efficiency and provide deeper insights into business performance.</w:t>
      </w:r>
    </w:p>
    <w:p>
      <w:pPr>
        <w:pStyle w:val="Heading1"/>
        <w:pBdr>
          <w:bottom w:val="single" w:sz="8" w:color="2E75B6" w:space="4"/>
        </w:pBdr>
        <w:pageBreakBefore w:val="true"/>
        <w:spacing w:before="240" w:after="120"/>
      </w:pPr>
      <w:r>
        <w:rPr>
          <w:rFonts w:ascii="Calibri" w:hAnsi="Calibri"/>
          <w:b/>
          <w:color w:val="1F4E79"/>
          <w:sz w:val="36"/>
        </w:rPr>
        <w:t>Migration Strategy</w:t>
      </w:r>
    </w:p>
    <w:p>
      <w:pPr>
        <w:pStyle w:val="Heading2"/>
        <w:spacing w:before="200" w:after="80"/>
      </w:pPr>
      <w:r>
        <w:rPr>
          <w:rFonts w:ascii="Calibri" w:hAnsi="Calibri"/>
          <w:b/>
          <w:color w:val="2E75B6"/>
          <w:sz w:val="28"/>
        </w:rPr>
        <w:t>Recommended Approach</w:t>
      </w:r>
    </w:p>
    <w:p>
      <w:pPr>
        <w:spacing w:before="40" w:after="80"/>
        <w:jc w:val="both"/>
      </w:pPr>
      <w:r>
        <w:rPr>
          <w:rFonts w:ascii="Calibri" w:hAnsi="Calibri"/>
          <w:i w:val="0"/>
          <w:color w:val="000000"/>
          <w:sz w:val="20"/>
        </w:rPr>
        <w:t>A Big Bang approach is recommended for this migration due to the absence of custom programs and the relatively low complexity of the transition. This approach allows for a swift transition to the new system, minimizing disruption and enabling the organization to quickly benefit from the new capabilities of QAD Adaptive ERP 2022. Comprehensive testing and stakeholder engagement will be critical to ensure a smooth transition.</w:t>
      </w:r>
    </w:p>
    <w:p>
      <w:pPr>
        <w:pStyle w:val="Heading1"/>
        <w:pBdr>
          <w:bottom w:val="single" w:sz="8" w:color="2E75B6" w:space="4"/>
        </w:pBdr>
        <w:pageBreakBefore w:val="true"/>
        <w:spacing w:before="240" w:after="120"/>
      </w:pPr>
      <w:r>
        <w:rPr>
          <w:rFonts w:ascii="Calibri" w:hAnsi="Calibri"/>
          <w:b/>
          <w:color w:val="1F4E79"/>
          <w:sz w:val="36"/>
        </w:rPr>
        <w:t>Risk Register</w:t>
      </w:r>
    </w:p>
    <w:tbl>
      <w:tblPr>
        <w:tblStyle w:val="TableGrid"/>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ID</w:t>
            </w:r>
          </w:p>
        </w:tc>
        <w:tc>
          <w:tcPr>
            <w:tcW w:type="dxa" w:w="1128"/>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Risk Description</w:t>
            </w:r>
          </w:p>
        </w:tc>
        <w:tc>
          <w:tcPr>
            <w:tcW w:type="dxa" w:w="1128"/>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Impact</w:t>
            </w:r>
          </w:p>
        </w:tc>
        <w:tc>
          <w:tcPr>
            <w:tcW w:type="dxa" w:w="1128"/>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Likelihood (1–5)</w:t>
            </w:r>
          </w:p>
        </w:tc>
        <w:tc>
          <w:tcPr>
            <w:tcW w:type="dxa" w:w="1128"/>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Impact (1–5)</w:t>
            </w:r>
          </w:p>
        </w:tc>
        <w:tc>
          <w:tcPr>
            <w:tcW w:type="dxa" w:w="1128"/>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Score</w:t>
            </w:r>
          </w:p>
        </w:tc>
        <w:tc>
          <w:tcPr>
            <w:tcW w:type="dxa" w:w="1128"/>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Rating</w:t>
            </w:r>
          </w:p>
        </w:tc>
        <w:tc>
          <w:tcPr>
            <w:tcW w:type="dxa" w:w="1128"/>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Mitigation</w:t>
            </w:r>
          </w:p>
        </w:tc>
      </w:tr>
      <w:tr>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R01</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Key Progress 4GL developer unavailable during migration</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Delays to Adapt modules; go-live slip</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3</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5</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C00000"/>
                <w:sz w:val="18"/>
              </w:rPr>
              <w:t>15</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C00000"/>
                <w:sz w:val="18"/>
              </w:rPr>
              <w:t>HIGH</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Pre-book developer resource; identify backup</w:t>
            </w:r>
          </w:p>
        </w:tc>
      </w:tr>
      <w:tr>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R02</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QAD target version API incompatible with assumed approach</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Re-engineering effort higher than estimated</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2</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4</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C55A11"/>
                <w:sz w:val="18"/>
              </w:rPr>
              <w:t>8</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C55A11"/>
                <w:sz w:val="18"/>
              </w:rPr>
              <w:t>MEDIUM</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Validate API assumptions in sandbox before development</w:t>
            </w:r>
          </w:p>
        </w:tc>
      </w:tr>
      <w:tr>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R03</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Business stakeholder unavailability for UAT</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UAT sign-off delayed; go-live pushed</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3</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3</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C55A11"/>
                <w:sz w:val="18"/>
              </w:rPr>
              <w:t>9</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C55A11"/>
                <w:sz w:val="18"/>
              </w:rPr>
              <w:t>MEDIUM</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Schedule UAT windows at project kick-off</w:t>
            </w:r>
          </w:p>
        </w:tc>
      </w:tr>
      <w:tr>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R04</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Undocumented custom code found during analysis</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Scope creep; additional effort</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2</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3</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375623"/>
                <w:sz w:val="18"/>
              </w:rPr>
              <w:t>6</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375623"/>
                <w:sz w:val="18"/>
              </w:rPr>
              <w:t>LOW</w:t>
            </w:r>
          </w:p>
        </w:tc>
        <w:tc>
          <w:tcPr>
            <w:tcW w:type="dxa" w:w="1128"/>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Run full Mitra Central scan before project freeze</w:t>
            </w:r>
          </w:p>
        </w:tc>
      </w:tr>
      <w:tr>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R05</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Potential data migration issues due to differences in database versions.</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Data integrity issues could disrupt business operations.</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2</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3</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C55A11"/>
                <w:sz w:val="18"/>
              </w:rPr>
              <w:t>6</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C55A11"/>
                <w:sz w:val="18"/>
              </w:rPr>
              <w:t>MEDIUM</w:t>
            </w:r>
          </w:p>
        </w:tc>
        <w:tc>
          <w:tcPr>
            <w:tcW w:type="dxa" w:w="1128"/>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color w:val="000000"/>
                <w:sz w:val="18"/>
              </w:rPr>
              <w:t>Conduct thorough data validation and testing prior to go-live.</w:t>
            </w:r>
          </w:p>
        </w:tc>
      </w:tr>
    </w:tbl>
    <w:p>
      <w:pPr>
        <w:pStyle w:val="Heading1"/>
        <w:pBdr>
          <w:bottom w:val="single" w:sz="8" w:color="2E75B6" w:space="4"/>
        </w:pBdr>
        <w:pageBreakBefore w:val="true"/>
        <w:spacing w:before="240" w:after="120"/>
      </w:pPr>
      <w:r>
        <w:rPr>
          <w:rFonts w:ascii="Calibri" w:hAnsi="Calibri"/>
          <w:b/>
          <w:color w:val="1F4E79"/>
          <w:sz w:val="36"/>
        </w:rPr>
        <w:t>Recommendations and Next Steps</w:t>
      </w:r>
    </w:p>
    <w:p>
      <w:pPr>
        <w:spacing w:before="40" w:after="80"/>
        <w:jc w:val="both"/>
      </w:pPr>
      <w:r>
        <w:rPr>
          <w:rFonts w:ascii="Calibri" w:hAnsi="Calibri"/>
          <w:i w:val="0"/>
          <w:color w:val="000000"/>
          <w:sz w:val="20"/>
        </w:rPr>
        <w:t>The following recommendations are prioritized to ensure a successful migration and adoption of QAD Adaptive ERP 2022.</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w:t>
            </w:r>
          </w:p>
        </w:tc>
        <w:tc>
          <w:tcPr>
            <w:tcW w:type="dxa" w:w="2256"/>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Recommendation</w:t>
            </w:r>
          </w:p>
        </w:tc>
        <w:tc>
          <w:tcPr>
            <w:tcW w:type="dxa" w:w="2256"/>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Owner</w:t>
            </w:r>
          </w:p>
        </w:tc>
        <w:tc>
          <w:tcPr>
            <w:tcW w:type="dxa" w:w="2256"/>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Target Date</w:t>
            </w:r>
          </w:p>
        </w:tc>
      </w:tr>
      <w:tr>
        <w:tc>
          <w:tcPr>
            <w:tcW w:type="dxa" w:w="2256"/>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1</w:t>
            </w:r>
          </w:p>
        </w:tc>
        <w:tc>
          <w:tcPr>
            <w:tcW w:type="dxa" w:w="2256"/>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Engage with QAD consultants to finalize the migration plan.</w:t>
            </w:r>
          </w:p>
        </w:tc>
        <w:tc>
          <w:tcPr>
            <w:tcW w:type="dxa" w:w="2256"/>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IT Director</w:t>
            </w:r>
          </w:p>
        </w:tc>
        <w:tc>
          <w:tcPr>
            <w:tcW w:type="dxa" w:w="2256"/>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2023-11-15</w:t>
            </w:r>
          </w:p>
        </w:tc>
      </w:tr>
      <w:tr>
        <w:tc>
          <w:tcPr>
            <w:tcW w:type="dxa" w:w="2256"/>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2</w:t>
            </w:r>
          </w:p>
        </w:tc>
        <w:tc>
          <w:tcPr>
            <w:tcW w:type="dxa" w:w="2256"/>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Conduct a comprehensive training program for end-users.</w:t>
            </w:r>
          </w:p>
        </w:tc>
        <w:tc>
          <w:tcPr>
            <w:tcW w:type="dxa" w:w="2256"/>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HR Manager</w:t>
            </w:r>
          </w:p>
        </w:tc>
        <w:tc>
          <w:tcPr>
            <w:tcW w:type="dxa" w:w="2256"/>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2023-12-01</w:t>
            </w:r>
          </w:p>
        </w:tc>
      </w:tr>
    </w:tbl>
    <w:p>
      <w:pPr>
        <w:pStyle w:val="Heading2"/>
        <w:spacing w:before="200" w:after="80"/>
      </w:pPr>
      <w:r>
        <w:rPr>
          <w:rFonts w:ascii="Calibri" w:hAnsi="Calibri"/>
          <w:b/>
          <w:color w:val="2E75B6"/>
          <w:sz w:val="28"/>
        </w:rPr>
        <w:t>Immediate Next Steps (Within 30 Days)</w:t>
      </w:r>
    </w:p>
    <w:p>
      <w:pPr>
        <w:pStyle w:val="ListNumber"/>
        <w:spacing w:before="20" w:after="20"/>
      </w:pPr>
      <w:r>
        <w:rPr>
          <w:rFonts w:ascii="Calibri" w:hAnsi="Calibri"/>
          <w:color w:val="000000"/>
          <w:sz w:val="20"/>
        </w:rPr>
        <w:t>Review and validate this AI-generated plan with the QAD project team and implementation partner.</w:t>
      </w:r>
    </w:p>
    <w:p>
      <w:pPr>
        <w:pStyle w:val="ListNumber"/>
        <w:spacing w:before="20" w:after="20"/>
      </w:pPr>
      <w:r>
        <w:rPr>
          <w:rFonts w:ascii="Calibri" w:hAnsi="Calibri"/>
          <w:color w:val="000000"/>
          <w:sz w:val="20"/>
        </w:rPr>
        <w:t>Conduct a code freeze on the source QAD environment.</w:t>
      </w:r>
    </w:p>
    <w:p>
      <w:pPr>
        <w:pStyle w:val="ListNumber"/>
        <w:spacing w:before="20" w:after="20"/>
      </w:pPr>
      <w:r>
        <w:rPr>
          <w:rFonts w:ascii="Calibri" w:hAnsi="Calibri"/>
          <w:color w:val="000000"/>
          <w:sz w:val="20"/>
        </w:rPr>
        <w:t>Establish a dedicated QAD QAD Adaptive ERP 2022 sandbox environment for developer testing.</w:t>
      </w:r>
    </w:p>
    <w:p>
      <w:pPr>
        <w:pStyle w:val="ListNumber"/>
        <w:spacing w:before="20" w:after="20"/>
      </w:pPr>
      <w:r>
        <w:rPr>
          <w:rFonts w:ascii="Calibri" w:hAnsi="Calibri"/>
          <w:color w:val="000000"/>
          <w:sz w:val="20"/>
        </w:rPr>
        <w:t>Assign business owners to each custom module and confirm recommended actions.</w:t>
      </w:r>
    </w:p>
    <w:p>
      <w:pPr>
        <w:pStyle w:val="ListNumber"/>
        <w:spacing w:before="20" w:after="20"/>
      </w:pPr>
      <w:r>
        <w:rPr>
          <w:rFonts w:ascii="Calibri" w:hAnsi="Calibri"/>
          <w:color w:val="000000"/>
          <w:sz w:val="20"/>
        </w:rPr>
        <w:t>Schedule a risk workshop to review the risk register and agree mitigation owners.</w:t>
      </w:r>
    </w:p>
    <w:p>
      <w:pPr>
        <w:pStyle w:val="Heading1"/>
        <w:pBdr>
          <w:bottom w:val="single" w:sz="8" w:color="2E75B6" w:space="4"/>
        </w:pBdr>
        <w:pageBreakBefore w:val="true"/>
        <w:spacing w:before="240" w:after="120"/>
      </w:pPr>
      <w:r>
        <w:rPr>
          <w:rFonts w:ascii="Calibri" w:hAnsi="Calibri"/>
          <w:b/>
          <w:color w:val="1F4E79"/>
          <w:sz w:val="36"/>
        </w:rPr>
        <w:t>Appendices</w:t>
      </w:r>
    </w:p>
    <w:p>
      <w:pPr>
        <w:pStyle w:val="Heading2"/>
        <w:spacing w:before="200" w:after="80"/>
      </w:pPr>
      <w:r>
        <w:rPr>
          <w:rFonts w:ascii="Calibri" w:hAnsi="Calibri"/>
          <w:b/>
          <w:color w:val="2E75B6"/>
          <w:sz w:val="28"/>
        </w:rPr>
        <w:t>Appendix B: QAD Version Change Reference</w:t>
      </w:r>
    </w:p>
    <w:p>
      <w:pPr>
        <w:spacing w:before="40" w:after="80"/>
        <w:jc w:val="both"/>
      </w:pPr>
      <w:r>
        <w:rPr>
          <w:rFonts w:ascii="Calibri" w:hAnsi="Calibri"/>
          <w:i w:val="0"/>
          <w:color w:val="000000"/>
          <w:sz w:val="20"/>
        </w:rPr>
        <w:t>QAD Adaptive ERP 2022 introduces changes such as enhanced REST API support and a new microservices architecture, which are detailed in the release notes. These changes are expected to improve system performance and integration capabilities.</w:t>
      </w:r>
    </w:p>
    <w:p>
      <w:pPr>
        <w:pStyle w:val="Heading2"/>
        <w:spacing w:before="200" w:after="80"/>
      </w:pPr>
      <w:r>
        <w:rPr>
          <w:rFonts w:ascii="Calibri" w:hAnsi="Calibri"/>
          <w:b/>
          <w:color w:val="2E75B6"/>
          <w:sz w:val="28"/>
        </w:rPr>
        <w:t>Appendix C: Glossary</w:t>
      </w:r>
    </w:p>
    <w:tbl>
      <w:tblPr>
        <w:tblStyle w:val="TableGrid"/>
        <w:tblW w:type="auto" w:w="0"/>
        <w:tblLook w:firstColumn="1" w:firstRow="1" w:lastColumn="0" w:lastRow="0" w:noHBand="0" w:noVBand="1" w:val="04A0"/>
      </w:tblPr>
      <w:tblGrid>
        <w:gridCol w:w="4513"/>
        <w:gridCol w:w="4513"/>
      </w:tblGrid>
      <w:tr>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Term</w:t>
            </w:r>
          </w:p>
        </w:tc>
        <w:tc>
          <w:tcPr>
            <w:tcW w:type="dxa" w:w="4513"/>
            <w:shd w:val="clear" w:color="auto" w:fill="BDD7EE"/>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color w:val="1F4E79"/>
                <w:sz w:val="18"/>
              </w:rPr>
              <w:t>Definition</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4GL / ABL</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Progress 4th Generation Language / OpenEdge ABL — the language used to write QAD customisations.</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Carry Forward</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Customisation compatible with target version; redeployable with minimal changes.</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QCF</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QAD Customisation Framework — the supported hook-based customisation mechanism in modern QAD.</w:t>
            </w:r>
          </w:p>
        </w:tc>
      </w:tr>
      <w:tr>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QAD Adaptive ERP</w:t>
            </w:r>
          </w:p>
        </w:tc>
        <w:tc>
          <w:tcPr>
            <w:tcW w:type="dxa" w:w="4513"/>
            <w:shd w:val="clear" w:color="auto" w:fill="DEEAF1"/>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QAD's cloud-native ERP platform, successor to QAD Enterprise Edition.</w:t>
            </w:r>
          </w:p>
        </w:tc>
      </w:tr>
      <w:tr>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TCO</w:t>
            </w:r>
          </w:p>
        </w:tc>
        <w:tc>
          <w:tcPr>
            <w:tcW w:type="dxa" w:w="4513"/>
            <w:shd w:val="clear" w:color="auto" w:fill="FFFFFF"/>
            <w:tcBorders>
              <w:top w:val="single" w:sz="4" w:color="B8CCE4"/>
              <w:left w:val="single" w:sz="4" w:color="B8CCE4"/>
              <w:bottom w:val="single" w:sz="4" w:color="B8CCE4"/>
              <w:right w:val="single" w:sz="4" w:color="B8CCE4"/>
            </w:tcBorders>
            <w:tcMar>
              <w:top w:w="80" w:type="dxa"/>
              <w:bottom w:w="80" w:type="dxa"/>
              <w:left w:w="140" w:type="dxa"/>
              <w:right w:w="140" w:type="dxa"/>
            </w:tcMar>
          </w:tcPr>
          <w:p>
            <w:r>
              <w:rPr>
                <w:rFonts w:ascii="Calibri" w:hAnsi="Calibri"/>
                <w:b w:val="0"/>
                <w:i w:val="0"/>
                <w:color w:val="000000"/>
                <w:sz w:val="18"/>
              </w:rPr>
              <w:t>Total Cost of Ownership — licence, infrastructure, and ongoing maintenance cost of custom code.</w:t>
            </w:r>
          </w:p>
        </w:tc>
      </w:tr>
    </w:tbl>
    <w:p>
      <w:pPr>
        <w:pStyle w:val="Heading2"/>
        <w:spacing w:before="200" w:after="80"/>
      </w:pPr>
      <w:r>
        <w:rPr>
          <w:rFonts w:ascii="Calibri" w:hAnsi="Calibri"/>
          <w:b/>
          <w:color w:val="2E75B6"/>
          <w:sz w:val="28"/>
        </w:rPr>
        <w:t>Appendix D: About Mitra Central QAD-Zone</w:t>
      </w:r>
    </w:p>
    <w:p>
      <w:pPr>
        <w:spacing w:before="40" w:after="80"/>
        <w:jc w:val="both"/>
      </w:pPr>
      <w:r>
        <w:rPr>
          <w:rFonts w:ascii="Calibri" w:hAnsi="Calibri"/>
          <w:i w:val="0"/>
          <w:color w:val="000000"/>
          <w:sz w:val="20"/>
        </w:rPr>
        <w:t>This Migration &amp; Modernisation Plan was generated by the Mitra Central QAD-Zone Modernisation engine — an AI-powered platform designed for QAD ERP implementation partners. For queries, contact [PARTNER CONTACT DETAILS].</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Bdr>
        <w:top w:val="single" w:sz="6" w:color="2E75B6" w:space="4"/>
      </w:pBdr>
    </w:pPr>
    <w:r>
      <w:rPr>
        <w:rFonts w:ascii="Calibri" w:hAnsi="Calibri"/>
        <w:color w:val="C55A11"/>
        <w:sz w:val="14"/>
      </w:rPr>
      <w:t xml:space="preserve">CONFIDENTIAL  ·  Mitra Central QAD-Zone  ·  AI-Generated Draft  ·  QAD EE 2022 → QAD Adaptive ERP 2022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6" w:color="2E75B6" w:space="4"/>
      </w:pBdr>
    </w:pPr>
    <w:r>
      <w:rPr>
        <w:rFonts w:ascii="Calibri" w:hAnsi="Calibri"/>
        <w:color w:val="404040"/>
        <w:sz w:val="16"/>
      </w:rPr>
      <w:t>QAD ERP Migration &amp; Modernisation Plan</w:t>
    </w:r>
    <w:r>
      <w:rPr>
        <w:rFonts w:ascii="Calibri" w:hAnsi="Calibri"/>
        <w:b/>
        <w:color w:val="2E75B6"/>
        <w:sz w:val="16"/>
      </w:rPr>
      <w:t xml:space="preserve">    QAD EE 2022 → QAD Adaptive ERP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