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before="0"/>
        <w:jc w:val="center"/>
      </w:pPr>
      <w:r>
        <w:rPr>
          <w:rFonts w:ascii="Arial" w:cs="Arial" w:eastAsia="Arial" w:hAnsi="Arial"/>
          <w:b/>
          <w:bCs/>
          <w:color w:val="5A6472"/>
          <w:spacing w:val="200"/>
          <w:sz w:val="14"/>
          <w:szCs w:val="14"/>
        </w:rPr>
        <w:t xml:space="preserve">EDA INSIGHTS REPORT</w:t>
      </w:r>
    </w:p>
    <w:p>
      <w:pPr>
        <w:pBdr>
          <w:bottom w:val="single" w:color="2E6DB4" w:sz="10" w:space="4"/>
        </w:pBdr>
        <w:spacing w:after="35"/>
        <w:jc w:val="center"/>
      </w:pPr>
      <w:r>
        <w:rPr>
          <w:rFonts w:ascii="Arial" w:cs="Arial" w:eastAsia="Arial" w:hAnsi="Arial"/>
          <w:b/>
          <w:bCs/>
          <w:color w:val="1B3557"/>
          <w:sz w:val="34"/>
          <w:szCs w:val="34"/>
        </w:rPr>
        <w:t xml:space="preserve">Turkey National Electricity Grid — Key Findings</w:t>
      </w:r>
    </w:p>
    <w:p>
      <w:pPr>
        <w:spacing w:after="140" w:before="70"/>
        <w:jc w:val="center"/>
      </w:pPr>
      <w:r>
        <w:rPr>
          <w:rFonts w:ascii="Arial" w:cs="Arial" w:eastAsia="Arial" w:hAnsi="Arial"/>
          <w:color w:val="2E6DB4"/>
          <w:sz w:val="17"/>
          <w:szCs w:val="17"/>
        </w:rPr>
        <w:t xml:space="preserve">final_training_set_v1.csv  ·  Jan 2018 – Mar 2025  ·  Ramadan-Aware STLF Benchmarking</w:t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1  Dataset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6DB4" w:sz="4"/>
              <w:left w:val="single" w:color="D0E4F5" w:sz="4"/>
              <w:bottom w:val="single" w:color="2E6DB4" w:sz="4"/>
              <w:right w:val="single" w:color="D0E4F5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A6472"/>
                <w:sz w:val="16"/>
                <w:szCs w:val="16"/>
              </w:rPr>
              <w:t xml:space="preserve">Hourly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557"/>
                <w:sz w:val="24"/>
                <w:szCs w:val="24"/>
              </w:rPr>
              <w:t xml:space="preserve">70,125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472"/>
                <w:sz w:val="15"/>
                <w:szCs w:val="15"/>
              </w:rPr>
              <w:t xml:space="preserve">Jan 2018 → Dec 2025 UTC</w:t>
            </w:r>
          </w:p>
        </w:tc>
        <w:tc>
          <w:tcPr>
            <w:tcW w:type="dxa" w:w="2340"/>
            <w:tcBorders>
              <w:top w:val="single" w:color="2E6DB4" w:sz="4"/>
              <w:left w:val="single" w:color="D0E4F5" w:sz="4"/>
              <w:bottom w:val="single" w:color="2E6DB4" w:sz="4"/>
              <w:right w:val="single" w:color="D0E4F5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A6472"/>
                <w:sz w:val="16"/>
                <w:szCs w:val="16"/>
              </w:rPr>
              <w:t xml:space="preserve">Load range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557"/>
                <w:sz w:val="24"/>
                <w:szCs w:val="24"/>
              </w:rPr>
              <w:t xml:space="preserve">15,333 – 59,504 MW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472"/>
                <w:sz w:val="15"/>
                <w:szCs w:val="15"/>
              </w:rPr>
              <w:t xml:space="preserve">Median 36,046 MW</w:t>
            </w:r>
          </w:p>
        </w:tc>
        <w:tc>
          <w:tcPr>
            <w:tcW w:type="dxa" w:w="2340"/>
            <w:tcBorders>
              <w:top w:val="single" w:color="2E6DB4" w:sz="4"/>
              <w:left w:val="single" w:color="D0E4F5" w:sz="4"/>
              <w:bottom w:val="single" w:color="2E6DB4" w:sz="4"/>
              <w:right w:val="single" w:color="D0E4F5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A6472"/>
                <w:sz w:val="16"/>
                <w:szCs w:val="16"/>
              </w:rPr>
              <w:t xml:space="preserve">Missing values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472"/>
                <w:sz w:val="15"/>
                <w:szCs w:val="15"/>
              </w:rPr>
              <w:t xml:space="preserve">Timestamps &amp; NaN both zero</w:t>
            </w:r>
          </w:p>
        </w:tc>
        <w:tc>
          <w:tcPr>
            <w:tcW w:type="dxa" w:w="2340"/>
            <w:tcBorders>
              <w:top w:val="single" w:color="2E6DB4" w:sz="4"/>
              <w:left w:val="single" w:color="D0E4F5" w:sz="4"/>
              <w:bottom w:val="single" w:color="2E6DB4" w:sz="4"/>
              <w:right w:val="single" w:color="D0E4F5" w:sz="4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A6472"/>
                <w:sz w:val="16"/>
                <w:szCs w:val="16"/>
              </w:rPr>
              <w:t xml:space="preserve">Regime split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557"/>
                <w:sz w:val="24"/>
                <w:szCs w:val="24"/>
              </w:rPr>
              <w:t xml:space="preserve">87 / 8 / 5%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A6472"/>
                <w:sz w:val="15"/>
                <w:szCs w:val="15"/>
              </w:rPr>
              <w:t xml:space="preserve">Normal / Ramadan / Heatwave</w:t>
            </w:r>
          </w:p>
        </w:tc>
      </w:tr>
    </w:tbl>
    <w:p>
      <w:pPr>
        <w:spacing w:after="9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The load distribution is approximately bell-shaped with slight right skew, centred near 36,000 MW. Annual box plots show a demand dip in 2019–2020 (COVID impact), a sharp +12.3% rebound in 2021, and +5.7% growth in 2024, placing the test set on a structurally higher baseline than the training set — a mild distributional shift all models must absorb.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2  Stationarity &amp; Autocorrelation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Statistic</w:t>
            </w:r>
          </w:p>
        </w:tc>
        <w:tc>
          <w:tcPr>
            <w:tcW w:type="dxa" w:w="14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p-value</w:t>
            </w:r>
          </w:p>
        </w:tc>
        <w:tc>
          <w:tcPr>
            <w:tcW w:type="dxa" w:w="356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ADF  (H₀: unit root)</w:t>
            </w:r>
          </w:p>
        </w:tc>
        <w:tc>
          <w:tcPr>
            <w:tcW w:type="dxa" w:w="1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−11.93</w:t>
            </w:r>
          </w:p>
        </w:tc>
        <w:tc>
          <w:tcPr>
            <w:tcW w:type="dxa" w:w="14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0.000001</w:t>
            </w:r>
          </w:p>
        </w:tc>
        <w:tc>
          <w:tcPr>
            <w:tcW w:type="dxa" w:w="35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Reject H₀ — stationary</w:t>
            </w:r>
          </w:p>
        </w:tc>
      </w:tr>
      <w:tr>
        <w:tc>
          <w:tcPr>
            <w:tcW w:type="dxa" w:w="28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KPSS (H₀: stationary)</w:t>
            </w:r>
          </w:p>
        </w:tc>
        <w:tc>
          <w:tcPr>
            <w:tcW w:type="dxa" w:w="1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19.35</w:t>
            </w:r>
          </w:p>
        </w:tc>
        <w:tc>
          <w:tcPr>
            <w:tcW w:type="dxa" w:w="14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0.010</w:t>
            </w:r>
          </w:p>
        </w:tc>
        <w:tc>
          <w:tcPr>
            <w:tcW w:type="dxa" w:w="35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Reject H₀ — drift present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The conflicting result is the classic signature of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trend-stationary</w:t>
      </w:r>
      <w:r>
        <w:rPr>
          <w:rFonts w:ascii="Arial" w:cs="Arial" w:eastAsia="Arial" w:hAnsi="Arial"/>
          <w:sz w:val="18"/>
          <w:szCs w:val="18"/>
        </w:rPr>
        <w:t xml:space="preserve"> behaviour: no unit root, but a slow upward drift (growing demand) that KPSS flags. Models should include time-indexed trend features or long rolling means rather than differencing, which would discard the autocorrelation structure exploited by lag features.</w:t>
      </w:r>
    </w:p>
    <w:p>
      <w:pPr>
        <w:spacing w:after="7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The ACF shows strong periodicity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lags 24, 48, 72 h</w:t>
      </w:r>
      <w:r>
        <w:rPr>
          <w:rFonts w:ascii="Arial" w:cs="Arial" w:eastAsia="Arial" w:hAnsi="Arial"/>
          <w:sz w:val="18"/>
          <w:szCs w:val="18"/>
        </w:rPr>
        <w:t xml:space="preserve"> (daily)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lags 168, 336 h</w:t>
      </w:r>
      <w:r>
        <w:rPr>
          <w:rFonts w:ascii="Arial" w:cs="Arial" w:eastAsia="Arial" w:hAnsi="Arial"/>
          <w:sz w:val="18"/>
          <w:szCs w:val="18"/>
        </w:rPr>
        <w:t xml:space="preserve"> (weekly). PACF spikes are concentrated at lags 1, 2, 24, and 168, with near-zero values beyond — confirming that lag-24h (r = 0.877) and lag-168h (r = 0.889) capture the bulk of autoregressive predictability and are the strongest single features in the dataset.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3  Temporal Load Patterns</w:t>
      </w:r>
    </w:p>
    <w:p>
      <w:pPr>
        <w:pStyle w:val="Heading2"/>
        <w:spacing w:after="50" w:before="120"/>
      </w:pPr>
      <w:r>
        <w:rPr>
          <w:rFonts w:ascii="Arial" w:cs="Arial" w:eastAsia="Arial" w:hAnsi="Arial"/>
          <w:b/>
          <w:bCs/>
          <w:color w:val="2E6DB4"/>
          <w:sz w:val="19"/>
          <w:szCs w:val="19"/>
        </w:rPr>
        <w:t xml:space="preserve">Hourly profile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Double-peak shape: morning ramp to ~40,000 MW by 09:00 UTC, slight midday dip, sustained plateau ~40,000–42,000 MW from 13:00–19:00 UTC, overnight valley ~28,000–30,000 MW. IQR band ~5,000 MW — driven by seasonal and regime variation, not noise.</w:t>
      </w:r>
    </w:p>
    <w:p>
      <w:pPr>
        <w:spacing w:after="5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50" w:before="120"/>
      </w:pPr>
      <w:r>
        <w:rPr>
          <w:rFonts w:ascii="Arial" w:cs="Arial" w:eastAsia="Arial" w:hAnsi="Arial"/>
          <w:b/>
          <w:bCs/>
          <w:color w:val="2E6DB4"/>
          <w:sz w:val="19"/>
          <w:szCs w:val="19"/>
        </w:rPr>
        <w:t xml:space="preserve">Day-of-week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Weekday demand is consistently ~4,000 MW above weekends. Under Normal regime: weekday median 36,109 MW vs weekend 32,085 MW (ratio 0.889). Sunday nights are the grid minimum; weekday mornings/early afternoons are peak.</w:t>
      </w:r>
    </w:p>
    <w:p>
      <w:pPr>
        <w:spacing w:after="55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50" w:before="120"/>
      </w:pPr>
      <w:r>
        <w:rPr>
          <w:rFonts w:ascii="Arial" w:cs="Arial" w:eastAsia="Arial" w:hAnsi="Arial"/>
          <w:b/>
          <w:bCs/>
          <w:color w:val="2E6DB4"/>
          <w:sz w:val="19"/>
          <w:szCs w:val="19"/>
        </w:rPr>
        <w:t xml:space="preserve">Monthly / seasonal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W-shaped annual curve: winter heating peak (Jan–Feb, ~39,000 MW), spring trough (Apr–May, ~33,000 MW), summer AC peak (Jul–Aug, ~41,000 MW). Summer peaks are afternoon-driven (11:00–17:00 UTC); winter peaks cluster in morning/evening hours — consistent with AC vs heating physics.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4  Ramadan Regime — Structural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CFE8" w:sz="2"/>
              <w:left w:val="single" w:color="2E6DB4" w:sz="18"/>
              <w:bottom w:val="single" w:color="BECFE8" w:sz="2"/>
              <w:right w:val="single" w:color="BECFE8" w:sz="2"/>
            </w:tcBorders>
            <w:shd w:fill="EBF2F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Core Finding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Ramadan median: 33,677 MW  vs  Non-Ramadan: 36,318 MW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Delta: −2,642 MW (−7.27%) — Welch t-test: t = −40.84, p ≈ 0   →  SIGNIFICANT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Consistent across all 7 Ramadan occurrences in the dataset (2018–2025)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</w:t>
            </w:r>
          </w:p>
        </w:tc>
        <w:tc>
          <w:tcPr>
            <w:tcW w:type="dxa" w:w="17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Normal regime</w:t>
            </w:r>
          </w:p>
        </w:tc>
        <w:tc>
          <w:tcPr>
            <w:tcW w:type="dxa" w:w="17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Ramadan regime</w:t>
            </w:r>
          </w:p>
        </w:tc>
        <w:tc>
          <w:tcPr>
            <w:tcW w:type="dxa" w:w="396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Implication</w:t>
            </w:r>
          </w:p>
        </w:tc>
      </w:tr>
      <w:tr>
        <w:tc>
          <w:tcPr>
            <w:tcW w:type="dxa" w:w="2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Weekday median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36,109 MW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33,332 MW</w:t>
            </w:r>
          </w:p>
        </w:tc>
        <w:tc>
          <w:tcPr>
            <w:tcW w:type="dxa" w:w="39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−8.5% demand suppression</w:t>
            </w:r>
          </w:p>
        </w:tc>
      </w:tr>
      <w:tr>
        <w:tc>
          <w:tcPr>
            <w:tcW w:type="dxa" w:w="2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Weekend median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32,085 MW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30,091 MW</w:t>
            </w:r>
          </w:p>
        </w:tc>
        <w:tc>
          <w:tcPr>
            <w:tcW w:type="dxa" w:w="39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−6.2% suppression</w:t>
            </w:r>
          </w:p>
        </w:tc>
      </w:tr>
      <w:tr>
        <w:tc>
          <w:tcPr>
            <w:tcW w:type="dxa" w:w="2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Wkday/wkend ratio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0.889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0.903</w:t>
            </w:r>
          </w:p>
        </w:tc>
        <w:tc>
          <w:tcPr>
            <w:tcW w:type="dxa" w:w="39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Day-of-week weakened as predictor</w:t>
            </w:r>
          </w:p>
        </w:tc>
      </w:tr>
      <w:tr>
        <w:tc>
          <w:tcPr>
            <w:tcW w:type="dxa" w:w="2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Peak hour (UTC)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09:00 &amp; 17:00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17:00–18:00 (iftar)</w:t>
            </w:r>
          </w:p>
        </w:tc>
        <w:tc>
          <w:tcPr>
            <w:tcW w:type="dxa" w:w="39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Daily shape inverted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Hourly shape inversion: </w:t>
      </w:r>
      <w:r>
        <w:rPr>
          <w:rFonts w:ascii="Arial" w:cs="Arial" w:eastAsia="Arial" w:hAnsi="Arial"/>
          <w:sz w:val="18"/>
          <w:szCs w:val="18"/>
        </w:rPr>
        <w:t xml:space="preserve">Pre-iftar demand stays suppressed through the day. A sharp spike appears at ~17:00–18:00 UTC (iftar ≈ 20:00–21:00 Istanbul) with a secondary pre-dawn peak at ~01:00–02:00 UTC (suhoor). The normal morning ramp is absent.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Intra-Ramadan progression: </w:t>
      </w:r>
      <w:r>
        <w:rPr>
          <w:rFonts w:ascii="Arial" w:cs="Arial" w:eastAsia="Arial" w:hAnsi="Arial"/>
          <w:sz w:val="18"/>
          <w:szCs w:val="18"/>
        </w:rPr>
        <w:t xml:space="preserve">Demand suppression deepens in days 21–30 as iftar timings concentrate further into the evening and Eid anticipation grows — validating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day_of_ramadan</w:t>
      </w:r>
      <w:r>
        <w:rPr>
          <w:rFonts w:ascii="Arial" w:cs="Arial" w:eastAsia="Arial" w:hAnsi="Arial"/>
          <w:sz w:val="18"/>
          <w:szCs w:val="18"/>
        </w:rPr>
        <w:t xml:space="preserve"> ordinal feature as a meaningful intra-window signal.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5  Weather–Load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Pearson r</w:t>
            </w:r>
          </w:p>
        </w:tc>
        <w:tc>
          <w:tcPr>
            <w:tcW w:type="dxa" w:w="11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Spearman r</w:t>
            </w:r>
          </w:p>
        </w:tc>
        <w:tc>
          <w:tcPr>
            <w:tcW w:type="dxa" w:w="576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15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temp_c</w:t>
            </w:r>
          </w:p>
        </w:tc>
        <w:tc>
          <w:tcPr>
            <w:tcW w:type="dxa" w:w="1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+0.336</w:t>
            </w:r>
          </w:p>
        </w:tc>
        <w:tc>
          <w:tcPr>
            <w:tcW w:type="dxa" w:w="11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+0.292</w:t>
            </w:r>
          </w:p>
        </w:tc>
        <w:tc>
          <w:tcPr>
            <w:tcW w:type="dxa" w:w="57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Moderate — summer AC dominates; heating partially cancels</w:t>
            </w:r>
          </w:p>
        </w:tc>
      </w:tr>
      <w:tr>
        <w:tc>
          <w:tcPr>
            <w:tcW w:type="dxa" w:w="15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wind_speed</w:t>
            </w:r>
          </w:p>
        </w:tc>
        <w:tc>
          <w:tcPr>
            <w:tcW w:type="dxa" w:w="1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+0.188</w:t>
            </w:r>
          </w:p>
        </w:tc>
        <w:tc>
          <w:tcPr>
            <w:tcW w:type="dxa" w:w="11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+0.191</w:t>
            </w:r>
          </w:p>
        </w:tc>
        <w:tc>
          <w:tcPr>
            <w:tcW w:type="dxa" w:w="57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Modest — higher winds correlate with cold winter fronts</w:t>
            </w:r>
          </w:p>
        </w:tc>
      </w:tr>
      <w:tr>
        <w:tc>
          <w:tcPr>
            <w:tcW w:type="dxa" w:w="15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solar_rad</w:t>
            </w:r>
          </w:p>
        </w:tc>
        <w:tc>
          <w:tcPr>
            <w:tcW w:type="dxa" w:w="1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+0.153</w:t>
            </w:r>
          </w:p>
        </w:tc>
        <w:tc>
          <w:tcPr>
            <w:tcW w:type="dxa" w:w="11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+0.183</w:t>
            </w:r>
          </w:p>
        </w:tc>
        <w:tc>
          <w:tcPr>
            <w:tcW w:type="dxa" w:w="57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Positive — summer days drive both irradiance and AC load</w:t>
            </w:r>
          </w:p>
        </w:tc>
      </w:tr>
      <w:tr>
        <w:tc>
          <w:tcPr>
            <w:tcW w:type="dxa" w:w="15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dewpoint_c</w:t>
            </w:r>
          </w:p>
        </w:tc>
        <w:tc>
          <w:tcPr>
            <w:tcW w:type="dxa" w:w="10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+0.145</w:t>
            </w:r>
          </w:p>
        </w:tc>
        <w:tc>
          <w:tcPr>
            <w:tcW w:type="dxa" w:w="11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+0.138</w:t>
            </w:r>
          </w:p>
        </w:tc>
        <w:tc>
          <w:tcPr>
            <w:tcW w:type="dxa" w:w="57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Weakest — humidity amplifies AC discomfort, absorbed by temp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Temperature exhibits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U-shaped nonlinearity</w:t>
      </w:r>
      <w:r>
        <w:rPr>
          <w:rFonts w:ascii="Arial" w:cs="Arial" w:eastAsia="Arial" w:hAnsi="Arial"/>
          <w:sz w:val="18"/>
          <w:szCs w:val="18"/>
        </w:rPr>
        <w:t xml:space="preserve">: load is elevated at cold temperatures (heating), reaches a minimum near 15–18°C, then rises steeply above ~25°C (AC). The slope steepens markedly above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31–35°C</w:t>
      </w:r>
      <w:r>
        <w:rPr>
          <w:rFonts w:ascii="Arial" w:cs="Arial" w:eastAsia="Arial" w:hAnsi="Arial"/>
          <w:sz w:val="18"/>
          <w:szCs w:val="18"/>
        </w:rPr>
        <w:t xml:space="preserve">, justifying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temp_above_hw ReLU feature</w:t>
      </w:r>
      <w:r>
        <w:rPr>
          <w:rFonts w:ascii="Arial" w:cs="Arial" w:eastAsia="Arial" w:hAnsi="Arial"/>
          <w:sz w:val="18"/>
          <w:szCs w:val="18"/>
        </w:rPr>
        <w:t xml:space="preserve">. All four weather variables are significant (p ≈ 0) but modest in magnitude — weather drives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regime-level shifts</w:t>
      </w:r>
      <w:r>
        <w:rPr>
          <w:rFonts w:ascii="Arial" w:cs="Arial" w:eastAsia="Arial" w:hAnsi="Arial"/>
          <w:sz w:val="18"/>
          <w:szCs w:val="18"/>
        </w:rPr>
        <w:t xml:space="preserve">, not hour-to-hour fluctuations; most short-term predictability comes from lag structure.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6  Heatwave Regime — Grid Stress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ECFE8" w:sz="2"/>
              <w:left w:val="single" w:color="8B1A1A" w:sz="18"/>
              <w:bottom w:val="single" w:color="BECFE8" w:sz="2"/>
              <w:right w:val="single" w:color="BECFE8" w:sz="2"/>
            </w:tcBorders>
            <w:shd w:fill="FDE8E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Core Finding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Heatwave median: 44,162 MW  vs  Normal: 35,961 MW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Delta: +8,201 MW (+22.8%) — the largest regime delta in the dataset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P95 heatwave load: 55,032 MW  |  Absolute peak: 59,504 MW (2025-07-28)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top-10 peak days are Heatwave days in July–August 2024–2025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The heatwave hourly profile is dramatically flattened: load elevated from midnight (~38,000 MW), climbing to a ~45,000–50,000 MW plateau sustained for nearly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10 consecutive hours</w:t>
      </w:r>
      <w:r>
        <w:rPr>
          <w:rFonts w:ascii="Arial" w:cs="Arial" w:eastAsia="Arial" w:hAnsi="Arial"/>
          <w:sz w:val="18"/>
          <w:szCs w:val="18"/>
        </w:rPr>
        <w:t xml:space="preserve"> (09:00–18:00 UTC). LightGBM under-predicts peak afternoon loads by ~2,500 MW median residual during heatwaves — attributable to the nonlinear AC response above ~38°C that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temp_sq</w:t>
      </w:r>
      <w:r>
        <w:rPr>
          <w:rFonts w:ascii="Arial" w:cs="Arial" w:eastAsia="Arial" w:hAnsi="Arial"/>
          <w:sz w:val="18"/>
          <w:szCs w:val="18"/>
        </w:rPr>
        <w:t xml:space="preserve"> only partially captures. Exponential/higher-order temperature terms above ~38°C are a recommended next engineering step.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7  Feature Correlation &amp; Multicollinearity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9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 cluster</w:t>
            </w:r>
          </w:p>
        </w:tc>
        <w:tc>
          <w:tcPr>
            <w:tcW w:type="dxa" w:w="17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 with actual_load</w:t>
            </w:r>
          </w:p>
        </w:tc>
        <w:tc>
          <w:tcPr>
            <w:tcW w:type="dxa" w:w="9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VIF</w:t>
            </w:r>
          </w:p>
        </w:tc>
        <w:tc>
          <w:tcPr>
            <w:tcW w:type="dxa" w:w="416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Concern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load_lag_168h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0.889</w:t>
            </w:r>
          </w:p>
        </w:tc>
        <w:tc>
          <w:tcPr>
            <w:tcW w:type="dxa" w:w="9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108.7</w:t>
            </w:r>
          </w:p>
        </w:tc>
        <w:tc>
          <w:tcPr>
            <w:tcW w:type="dxa" w:w="4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VIF — fine for tree models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load_lag_24h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0.877</w:t>
            </w:r>
          </w:p>
        </w:tc>
        <w:tc>
          <w:tcPr>
            <w:tcW w:type="dxa" w:w="9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145.0</w:t>
            </w:r>
          </w:p>
        </w:tc>
        <w:tc>
          <w:tcPr>
            <w:tcW w:type="dxa" w:w="4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VIF — fine for tree models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load_rolling_mean_168h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0.863</w:t>
            </w:r>
          </w:p>
        </w:tc>
        <w:tc>
          <w:tcPr>
            <w:tcW w:type="dxa" w:w="9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278.2</w:t>
            </w:r>
          </w:p>
        </w:tc>
        <w:tc>
          <w:tcPr>
            <w:tcW w:type="dxa" w:w="4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exclude from linear models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load_rolling_mean_24h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0.857</w:t>
            </w:r>
          </w:p>
        </w:tc>
        <w:tc>
          <w:tcPr>
            <w:tcW w:type="dxa" w:w="9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310.5</w:t>
            </w:r>
          </w:p>
        </w:tc>
        <w:tc>
          <w:tcPr>
            <w:tcW w:type="dxa" w:w="4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exclude from linear models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is_ramadan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−0.13</w:t>
            </w:r>
          </w:p>
        </w:tc>
        <w:tc>
          <w:tcPr>
            <w:tcW w:type="dxa" w:w="9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4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Orthogonal to heatwave (0 compound hrs)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temp_c</w:t>
            </w:r>
          </w:p>
        </w:tc>
        <w:tc>
          <w:tcPr>
            <w:tcW w:type="dxa" w:w="17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+0.34</w:t>
            </w:r>
          </w:p>
        </w:tc>
        <w:tc>
          <w:tcPr>
            <w:tcW w:type="dxa" w:w="9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29.4</w:t>
            </w:r>
          </w:p>
        </w:tc>
        <w:tc>
          <w:tcPr>
            <w:tcW w:type="dxa" w:w="4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Moderate multicollinearity with dewpoint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VIF insight: </w:t>
      </w:r>
      <w:r>
        <w:rPr>
          <w:rFonts w:ascii="Arial" w:cs="Arial" w:eastAsia="Arial" w:hAnsi="Arial"/>
          <w:sz w:val="18"/>
          <w:szCs w:val="18"/>
        </w:rPr>
        <w:t xml:space="preserve">Rolling mean and lag features carry VIF 108–310, confirming severe multicollinearity within the autoregressive set. LightGBM and neural models are invariant to this; however, any linear model (SARIMAX)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must exclude</w:t>
      </w:r>
      <w:r>
        <w:rPr>
          <w:rFonts w:ascii="Arial" w:cs="Arial" w:eastAsia="Arial" w:hAnsi="Arial"/>
          <w:sz w:val="18"/>
          <w:szCs w:val="18"/>
        </w:rPr>
        <w:t xml:space="preserve"> rolling mean features to avoid singular design matrices. STL decomposition shows residual variance is only 16.3% of total — the floor of forecast error without regime-specific features.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8  Compound Regime &amp; Data Quality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Compound (Ramadan ∩ Heatwave): </w:t>
      </w:r>
      <w:r>
        <w:rPr>
          <w:rFonts w:ascii="Arial" w:cs="Arial" w:eastAsia="Arial" w:hAnsi="Arial"/>
          <w:sz w:val="18"/>
          <w:szCs w:val="18"/>
        </w:rPr>
        <w:t xml:space="preserve">0 hours in the dataset. Ramadan falls in spring months (Mar–May in 2018–2025) before heatwave temperatures are reached — making the two regimes temporally non-overlapping. This compound scenario cannot be empirically evaluated until the Islamic calendar alignment shifts (post-~2030).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Audit check</w:t>
            </w:r>
          </w:p>
        </w:tc>
        <w:tc>
          <w:tcPr>
            <w:tcW w:type="dxa" w:w="460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2160"/>
            <w:tcBorders>
              <w:top w:val="single" w:color="1B3557" w:sz="4"/>
              <w:left w:val="single" w:color="1B3557" w:sz="4"/>
              <w:bottom w:val="single" w:color="1B3557" w:sz="4"/>
              <w:right w:val="single" w:color="1B3557" w:sz="4"/>
            </w:tcBorders>
            <w:shd w:fill="1B355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Missing values</w:t>
            </w:r>
          </w:p>
        </w:tc>
        <w:tc>
          <w:tcPr>
            <w:tcW w:type="dxa" w:w="4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across all 19 columns</w:t>
            </w:r>
          </w:p>
        </w:tc>
        <w:tc>
          <w:tcPr>
            <w:tcW w:type="dxa" w:w="2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PASS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Missing timestamps</w:t>
            </w:r>
          </w:p>
        </w:tc>
        <w:tc>
          <w:tcPr>
            <w:tcW w:type="dxa" w:w="4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— 70,125 expected = 70,125 actual</w:t>
            </w:r>
          </w:p>
        </w:tc>
        <w:tc>
          <w:tcPr>
            <w:tcW w:type="dxa" w:w="2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PASS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Duplicate timestamps</w:t>
            </w:r>
          </w:p>
        </w:tc>
        <w:tc>
          <w:tcPr>
            <w:tcW w:type="dxa" w:w="4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PASS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Outliers (3×IQR)</w:t>
            </w:r>
          </w:p>
        </w:tc>
        <w:tc>
          <w:tcPr>
            <w:tcW w:type="dxa" w:w="4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rows outside [4,907–67,188] MW</w:t>
            </w:r>
          </w:p>
        </w:tc>
        <w:tc>
          <w:tcPr>
            <w:tcW w:type="dxa" w:w="2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PASS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Lag leakage (&gt;168h warmup)</w:t>
            </w:r>
          </w:p>
        </w:tc>
        <w:tc>
          <w:tcPr>
            <w:tcW w:type="dxa" w:w="4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NaN in lag-24h and lag-168h</w:t>
            </w:r>
          </w:p>
        </w:tc>
        <w:tc>
          <w:tcPr>
            <w:tcW w:type="dxa" w:w="2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EBF2FA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PASS</w:t>
            </w:r>
          </w:p>
        </w:tc>
      </w:tr>
      <w:tr>
        <w:tc>
          <w:tcPr>
            <w:tcW w:type="dxa" w:w="2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Split boundaries</w:t>
            </w:r>
          </w:p>
        </w:tc>
        <w:tc>
          <w:tcPr>
            <w:tcW w:type="dxa" w:w="460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cuts at 2023-01-01 &amp; 2024-01-01</w:t>
            </w:r>
          </w:p>
        </w:tc>
        <w:tc>
          <w:tcPr>
            <w:tcW w:type="dxa" w:w="2160"/>
            <w:tcBorders>
              <w:top w:val="single" w:color="BECFE8" w:sz="4"/>
              <w:left w:val="single" w:color="BECFE8" w:sz="4"/>
              <w:bottom w:val="single" w:color="BECFE8" w:sz="4"/>
              <w:right w:val="single" w:color="BECFE8" w:sz="4"/>
            </w:tcBorders>
            <w:shd w:fill="FFFFFF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PASS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The dataset is production-ready with no cleaning required. Extreme values such as the 59,504 MW July 2025 peak are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genuine physical events</w:t>
      </w:r>
      <w:r>
        <w:rPr>
          <w:rFonts w:ascii="Arial" w:cs="Arial" w:eastAsia="Arial" w:hAnsi="Arial"/>
          <w:sz w:val="18"/>
          <w:szCs w:val="18"/>
        </w:rPr>
        <w:t xml:space="preserve">, not data errors, and must be retained for training.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pBdr>
          <w:bottom w:val="single" w:color="2E6DB4" w:sz="6" w:space="2"/>
        </w:pBdr>
        <w:spacing w:after="60" w:before="160"/>
      </w:pPr>
      <w:r>
        <w:rPr>
          <w:rFonts w:ascii="Arial" w:cs="Arial" w:eastAsia="Arial" w:hAnsi="Arial"/>
          <w:b/>
          <w:bCs/>
          <w:color w:val="1B3557"/>
          <w:sz w:val="22"/>
          <w:szCs w:val="22"/>
        </w:rPr>
        <w:t xml:space="preserve">9  Modelling Implications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Lag features dominate: </w:t>
      </w:r>
      <w:r>
        <w:rPr>
          <w:rFonts w:ascii="Arial" w:cs="Arial" w:eastAsia="Arial" w:hAnsi="Arial"/>
          <w:sz w:val="18"/>
          <w:szCs w:val="18"/>
        </w:rPr>
        <w:t xml:space="preserve">Lag-168h (r = 0.889) and lag-24h (r = 0.877) are the strongest predictors. Zero-shot TSFMs without exogenous inputs are severely disadvantaged.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Ramadan features are necessary: </w:t>
      </w:r>
      <w:r>
        <w:rPr>
          <w:rFonts w:ascii="Arial" w:cs="Arial" w:eastAsia="Arial" w:hAnsi="Arial"/>
          <w:sz w:val="18"/>
          <w:szCs w:val="18"/>
        </w:rPr>
        <w:t xml:space="preserve">The −7.3% shift is abrupt, large, and consistent. At Ramadan boundaries, lag values are from a different regime — exactly when they are least reliable. Explicit Hijri features add independent signal.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Heatwave nonlinearity requires engineered features: </w:t>
      </w:r>
      <w:r>
        <w:rPr>
          <w:rFonts w:ascii="Arial" w:cs="Arial" w:eastAsia="Arial" w:hAnsi="Arial"/>
          <w:sz w:val="18"/>
          <w:szCs w:val="18"/>
        </w:rPr>
        <w:t xml:space="preserve">temp_sq and temp_above_hw are essential; higher-order terms above ~38°C are recommended.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 compound events in this dataset: </w:t>
      </w:r>
      <w:r>
        <w:rPr>
          <w:rFonts w:ascii="Arial" w:cs="Arial" w:eastAsia="Arial" w:hAnsi="Arial"/>
          <w:sz w:val="18"/>
          <w:szCs w:val="18"/>
        </w:rPr>
        <w:t xml:space="preserve">The Ramadan × Heatwave scenario is theoretically important but empirically unavailable until post-2030.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Linear models (SARIMAX): </w:t>
      </w:r>
      <w:r>
        <w:rPr>
          <w:rFonts w:ascii="Arial" w:cs="Arial" w:eastAsia="Arial" w:hAnsi="Arial"/>
          <w:sz w:val="18"/>
          <w:szCs w:val="18"/>
        </w:rPr>
        <w:t xml:space="preserve">Must exclude rolling mean features due to VIF &gt; 100.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Trend-stationary growth: </w:t>
      </w:r>
      <w:r>
        <w:rPr>
          <w:rFonts w:ascii="Arial" w:cs="Arial" w:eastAsia="Arial" w:hAnsi="Arial"/>
          <w:sz w:val="18"/>
          <w:szCs w:val="18"/>
        </w:rPr>
        <w:t xml:space="preserve">Test set (2024–2025) sits on a higher demand baseline than training. Include a year/long-horizon trend feature to prevent systematic under-prediction.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top w:val="single" w:color="BECFE8" w:sz="4" w:space="4"/>
        </w:pBdr>
        <w:spacing w:after="0" w:before="80"/>
        <w:jc w:val="center"/>
      </w:pPr>
      <w:r>
        <w:rPr>
          <w:rFonts w:ascii="Arial" w:cs="Arial" w:eastAsia="Arial" w:hAnsi="Arial"/>
          <w:color w:val="5A6472"/>
          <w:sz w:val="15"/>
          <w:szCs w:val="15"/>
        </w:rPr>
        <w:t xml:space="preserve">Omar Shafiy · Eiad Essam · Omar Sharaf · Shady Adham  |  Egypt University of Informatics  |  April 2026</w:t>
      </w:r>
    </w:p>
    <w:sectPr>
      <w:headerReference w:type="default" r:id="rId7"/>
      <w:footerReference w:type="default" r:id="rId8"/>
      <w:pgSz w:w="12240" w:h="15840" w:orient="portrait"/>
      <w:pgMar w:top="864" w:right="864" w:bottom="9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ECFE8" w:sz="4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5A6472"/>
        <w:sz w:val="15"/>
        <w:szCs w:val="15"/>
      </w:rPr>
      <w:t xml:space="preserve">Ramadan-Aware STLF  |  Omar Shafiy · Eiad Essam · Omar Sharaf · Shady Adham</w:t>
    </w:r>
    <w:r>
      <w:rPr>
        <w:rFonts w:ascii="Arial" w:cs="Arial" w:eastAsia="Arial" w:hAnsi="Arial"/>
        <w:color w:val="5A6472"/>
        <w:sz w:val="15"/>
        <w:szCs w:val="15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 w:space="3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3557"/>
        <w:sz w:val="16"/>
        <w:szCs w:val="16"/>
      </w:rPr>
      <w:t xml:space="preserve">EDA Insights — Turkey STLF</w:t>
    </w:r>
    <w:r>
      <w:rPr>
        <w:rFonts w:ascii="Arial" w:cs="Arial" w:eastAsia="Arial" w:hAnsi="Arial"/>
        <w:color w:val="5A6472"/>
        <w:sz w:val="15"/>
        <w:szCs w:val="15"/>
      </w:rPr>
      <w:t xml:space="preserve">	</w:t>
      <w:t xml:space="preserve">Egypt University of Informatics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1B3557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50" w:before="100"/>
      <w:outlineLvl w:val="1"/>
    </w:pPr>
    <w:rPr>
      <w:rFonts w:ascii="Arial" w:cs="Arial" w:eastAsia="Arial" w:hAnsi="Arial"/>
      <w:b/>
      <w:bCs/>
      <w:color w:val="2E6DB4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2026-05-11T12:43:35.506Z</dcterms:created>
  <dcterms:modified xsi:type="dcterms:W3CDTF">2026-05-11T12:43:35.507Z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