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jc w:val="center"/>
      </w:pPr>
      <w:r>
        <w:rPr>
          <w:rFonts w:ascii="Arial" w:cs="Arial" w:eastAsia="Arial" w:hAnsi="Arial"/>
          <w:b/>
          <w:bCs/>
          <w:color w:val="5A6472"/>
          <w:spacing w:val="120"/>
          <w:sz w:val="22"/>
          <w:szCs w:val="22"/>
        </w:rPr>
        <w:t xml:space="preserve">TECHNICAL REPORT</w:t>
      </w:r>
    </w:p>
    <w:p>
      <w:pPr>
        <w:pBdr>
          <w:bottom w:val="single" w:color="2E6DB4" w:sz="12" w:space="6"/>
        </w:pBdr>
        <w:spacing w:after="60"/>
        <w:jc w:val="center"/>
      </w:pPr>
      <w:r>
        <w:rPr>
          <w:rFonts w:ascii="Arial" w:cs="Arial" w:eastAsia="Arial" w:hAnsi="Arial"/>
          <w:b/>
          <w:bCs/>
          <w:color w:val="1B3557"/>
          <w:sz w:val="52"/>
          <w:szCs w:val="52"/>
        </w:rPr>
        <w:t xml:space="preserve">Data Preprocessing Pipeline</w:t>
      </w:r>
    </w:p>
    <w:p>
      <w:pPr>
        <w:spacing w:after="360" w:before="120"/>
        <w:jc w:val="center"/>
      </w:pPr>
      <w:r>
        <w:rPr>
          <w:rFonts w:ascii="Arial" w:cs="Arial" w:eastAsia="Arial" w:hAnsi="Arial"/>
          <w:color w:val="2E6DB4"/>
          <w:sz w:val="26"/>
          <w:szCs w:val="26"/>
        </w:rPr>
        <w:t xml:space="preserve">Ramadan-Aware Short-Term Electricity Load Forecasting for Turkey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E4F5" w:sz="4"/>
              <w:left w:val="single" w:color="D0E4F5" w:sz="4"/>
              <w:bottom w:val="single" w:color="D0E4F5" w:sz="4"/>
              <w:right w:val="single" w:color="D0E4F5" w:sz="4"/>
            </w:tcBorders>
            <w:shd w:fill="EBF2FA" w:val="clear"/>
            <w:tcMar>
              <w:top w:type="dxa" w:w="80"/>
              <w:left w:type="dxa" w:w="100"/>
              <w:bottom w:type="dxa" w:w="80"/>
              <w:right w:type="dxa" w:w="100"/>
            </w:tcMar>
            <w:vAlign w:val="center"/>
          </w:tcPr>
          <w:p>
            <w:pPr>
              <w:spacing w:after="20"/>
              <w:jc w:val="center"/>
            </w:pPr>
            <w:r>
              <w:rPr>
                <w:rFonts w:ascii="Arial" w:cs="Arial" w:eastAsia="Arial" w:hAnsi="Arial"/>
                <w:b/>
                <w:bCs/>
                <w:color w:val="1B3557"/>
                <w:sz w:val="18"/>
                <w:szCs w:val="18"/>
              </w:rPr>
              <w:t xml:space="preserve">Omar Shafiy</w:t>
            </w:r>
          </w:p>
          <w:p>
            <w:pPr>
              <w:spacing w:after="0"/>
              <w:jc w:val="center"/>
            </w:pPr>
            <w:r>
              <w:rPr>
                <w:rFonts w:ascii="Arial" w:cs="Arial" w:eastAsia="Arial" w:hAnsi="Arial"/>
                <w:color w:val="5A6472"/>
                <w:sz w:val="17"/>
                <w:szCs w:val="17"/>
              </w:rPr>
              <w:t xml:space="preserve">23-201356</w:t>
            </w:r>
          </w:p>
        </w:tc>
        <w:tc>
          <w:tcPr>
            <w:tcW w:type="dxa" w:w="2340"/>
            <w:tcBorders>
              <w:top w:val="single" w:color="D0E4F5" w:sz="4"/>
              <w:left w:val="single" w:color="D0E4F5" w:sz="4"/>
              <w:bottom w:val="single" w:color="D0E4F5" w:sz="4"/>
              <w:right w:val="single" w:color="D0E4F5" w:sz="4"/>
            </w:tcBorders>
            <w:shd w:fill="EBF2FA" w:val="clear"/>
            <w:tcMar>
              <w:top w:type="dxa" w:w="80"/>
              <w:left w:type="dxa" w:w="100"/>
              <w:bottom w:type="dxa" w:w="80"/>
              <w:right w:type="dxa" w:w="100"/>
            </w:tcMar>
            <w:vAlign w:val="center"/>
          </w:tcPr>
          <w:p>
            <w:pPr>
              <w:spacing w:after="20"/>
              <w:jc w:val="center"/>
            </w:pPr>
            <w:r>
              <w:rPr>
                <w:rFonts w:ascii="Arial" w:cs="Arial" w:eastAsia="Arial" w:hAnsi="Arial"/>
                <w:b/>
                <w:bCs/>
                <w:color w:val="1B3557"/>
                <w:sz w:val="18"/>
                <w:szCs w:val="18"/>
              </w:rPr>
              <w:t xml:space="preserve">Eiad Essam</w:t>
            </w:r>
          </w:p>
          <w:p>
            <w:pPr>
              <w:spacing w:after="0"/>
              <w:jc w:val="center"/>
            </w:pPr>
            <w:r>
              <w:rPr>
                <w:rFonts w:ascii="Arial" w:cs="Arial" w:eastAsia="Arial" w:hAnsi="Arial"/>
                <w:color w:val="5A6472"/>
                <w:sz w:val="17"/>
                <w:szCs w:val="17"/>
              </w:rPr>
              <w:t xml:space="preserve">23-101108</w:t>
            </w:r>
          </w:p>
        </w:tc>
        <w:tc>
          <w:tcPr>
            <w:tcW w:type="dxa" w:w="2340"/>
            <w:tcBorders>
              <w:top w:val="single" w:color="D0E4F5" w:sz="4"/>
              <w:left w:val="single" w:color="D0E4F5" w:sz="4"/>
              <w:bottom w:val="single" w:color="D0E4F5" w:sz="4"/>
              <w:right w:val="single" w:color="D0E4F5" w:sz="4"/>
            </w:tcBorders>
            <w:shd w:fill="EBF2FA" w:val="clear"/>
            <w:tcMar>
              <w:top w:type="dxa" w:w="80"/>
              <w:left w:type="dxa" w:w="100"/>
              <w:bottom w:type="dxa" w:w="80"/>
              <w:right w:type="dxa" w:w="100"/>
            </w:tcMar>
            <w:vAlign w:val="center"/>
          </w:tcPr>
          <w:p>
            <w:pPr>
              <w:spacing w:after="20"/>
              <w:jc w:val="center"/>
            </w:pPr>
            <w:r>
              <w:rPr>
                <w:rFonts w:ascii="Arial" w:cs="Arial" w:eastAsia="Arial" w:hAnsi="Arial"/>
                <w:b/>
                <w:bCs/>
                <w:color w:val="1B3557"/>
                <w:sz w:val="18"/>
                <w:szCs w:val="18"/>
              </w:rPr>
              <w:t xml:space="preserve">Omar Sharaf</w:t>
            </w:r>
          </w:p>
          <w:p>
            <w:pPr>
              <w:spacing w:after="0"/>
              <w:jc w:val="center"/>
            </w:pPr>
            <w:r>
              <w:rPr>
                <w:rFonts w:ascii="Arial" w:cs="Arial" w:eastAsia="Arial" w:hAnsi="Arial"/>
                <w:color w:val="5A6472"/>
                <w:sz w:val="17"/>
                <w:szCs w:val="17"/>
              </w:rPr>
              <w:t xml:space="preserve">24-101236</w:t>
            </w:r>
          </w:p>
        </w:tc>
        <w:tc>
          <w:tcPr>
            <w:tcW w:type="dxa" w:w="2340"/>
            <w:tcBorders>
              <w:top w:val="single" w:color="D0E4F5" w:sz="4"/>
              <w:left w:val="single" w:color="D0E4F5" w:sz="4"/>
              <w:bottom w:val="single" w:color="D0E4F5" w:sz="4"/>
              <w:right w:val="single" w:color="D0E4F5" w:sz="4"/>
            </w:tcBorders>
            <w:shd w:fill="EBF2FA" w:val="clear"/>
            <w:tcMar>
              <w:top w:type="dxa" w:w="80"/>
              <w:left w:type="dxa" w:w="100"/>
              <w:bottom w:type="dxa" w:w="80"/>
              <w:right w:type="dxa" w:w="100"/>
            </w:tcMar>
            <w:vAlign w:val="center"/>
          </w:tcPr>
          <w:p>
            <w:pPr>
              <w:spacing w:after="20"/>
              <w:jc w:val="center"/>
            </w:pPr>
            <w:r>
              <w:rPr>
                <w:rFonts w:ascii="Arial" w:cs="Arial" w:eastAsia="Arial" w:hAnsi="Arial"/>
                <w:b/>
                <w:bCs/>
                <w:color w:val="1B3557"/>
                <w:sz w:val="18"/>
                <w:szCs w:val="18"/>
              </w:rPr>
              <w:t xml:space="preserve">Shady Adham</w:t>
            </w:r>
          </w:p>
          <w:p>
            <w:pPr>
              <w:spacing w:after="0"/>
              <w:jc w:val="center"/>
            </w:pPr>
            <w:r>
              <w:rPr>
                <w:rFonts w:ascii="Arial" w:cs="Arial" w:eastAsia="Arial" w:hAnsi="Arial"/>
                <w:color w:val="5A6472"/>
                <w:sz w:val="17"/>
                <w:szCs w:val="17"/>
              </w:rPr>
              <w:t xml:space="preserve">23-101027</w:t>
            </w:r>
          </w:p>
        </w:tc>
      </w:tr>
    </w:tbl>
    <w:p>
      <w:pPr>
        <w:spacing w:after="600" w:before="120"/>
        <w:jc w:val="center"/>
      </w:pPr>
      <w:r>
        <w:rPr>
          <w:rFonts w:ascii="Arial" w:cs="Arial" w:eastAsia="Arial" w:hAnsi="Arial"/>
          <w:color w:val="5A6472"/>
          <w:sz w:val="18"/>
          <w:szCs w:val="18"/>
        </w:rPr>
        <w:t xml:space="preserve">Egypt University of Informatics — Computing &amp; Information Sciences  |  April 2026</w:t>
      </w:r>
    </w:p>
    <w:p>
      <w:pPr>
        <w:pStyle w:val="Heading1"/>
        <w:pBdr>
          <w:bottom w:val="single" w:color="2E6DB4" w:sz="8" w:space="4"/>
        </w:pBdr>
        <w:spacing w:after="160" w:before="360"/>
      </w:pPr>
      <w:r>
        <w:rPr>
          <w:rFonts w:ascii="Arial" w:cs="Arial" w:eastAsia="Arial" w:hAnsi="Arial"/>
          <w:b/>
          <w:bCs/>
          <w:color w:val="1B3557"/>
          <w:sz w:val="32"/>
          <w:szCs w:val="32"/>
        </w:rPr>
        <w:t xml:space="preserve">1. Executive Summary</w:t>
      </w:r>
    </w:p>
    <w:p>
      <w:pPr>
        <w:spacing w:after="160"/>
      </w:pPr>
      <w:r>
        <w:rPr>
          <w:rFonts w:ascii="Arial" w:cs="Arial" w:eastAsia="Arial" w:hAnsi="Arial"/>
          <w:sz w:val="21"/>
          <w:szCs w:val="21"/>
        </w:rPr>
        <w:t xml:space="preserve">This report documents the end-to-end data preprocessing pipeline developed for the capstone project </w:t>
      </w:r>
      <w:r>
        <w:rPr>
          <w:rFonts w:ascii="Arial" w:cs="Arial" w:eastAsia="Arial" w:hAnsi="Arial"/>
          <w:b/>
          <w:bCs/>
          <w:sz w:val="21"/>
          <w:szCs w:val="21"/>
        </w:rPr>
        <w:t xml:space="preserve">"Ramadan-Aware Short-Term Electricity Load Forecasting: Benchmarking Time-Series Foundation Models Under Hijri-Calendar Regime Shifts."</w:t>
      </w:r>
      <w:r>
        <w:rPr>
          <w:rFonts w:ascii="Arial" w:cs="Arial" w:eastAsia="Arial" w:hAnsi="Arial"/>
          <w:sz w:val="21"/>
          <w:szCs w:val="21"/>
        </w:rPr>
        <w:t xml:space="preserve"> The pipeline transforms raw, heterogeneous data sources—EPIAS real-time consumption records and ERA5 reanalysis NetCDF files—into a clean, feature-rich training dataset ready for machine-learning experiments.</w:t>
      </w:r>
    </w:p>
    <w:p>
      <w:pPr>
        <w:spacing w:after="200"/>
      </w:pPr>
      <w:r>
        <w:rPr>
          <w:rFonts w:ascii="Arial" w:cs="Arial" w:eastAsia="Arial" w:hAnsi="Arial"/>
          <w:sz w:val="21"/>
          <w:szCs w:val="21"/>
        </w:rPr>
        <w:t xml:space="preserve">The pipeline consists of three independent modules: (1) </w:t>
      </w:r>
      <w:r>
        <w:rPr>
          <w:rFonts w:ascii="Arial" w:cs="Arial" w:eastAsia="Arial" w:hAnsi="Arial"/>
          <w:b/>
          <w:bCs/>
          <w:sz w:val="21"/>
          <w:szCs w:val="21"/>
        </w:rPr>
        <w:t xml:space="preserve">EPIAS load ingestion and feature engineering</w:t>
      </w:r>
      <w:r>
        <w:rPr>
          <w:rFonts w:ascii="Arial" w:cs="Arial" w:eastAsia="Arial" w:hAnsi="Arial"/>
          <w:sz w:val="21"/>
          <w:szCs w:val="21"/>
        </w:rPr>
        <w:t xml:space="preserve">, (2) </w:t>
      </w:r>
      <w:r>
        <w:rPr>
          <w:rFonts w:ascii="Arial" w:cs="Arial" w:eastAsia="Arial" w:hAnsi="Arial"/>
          <w:b/>
          <w:bCs/>
          <w:sz w:val="21"/>
          <w:szCs w:val="21"/>
        </w:rPr>
        <w:t xml:space="preserve">ERA5 spatial-aggregation into population-weighted weather proxies</w:t>
      </w:r>
      <w:r>
        <w:rPr>
          <w:rFonts w:ascii="Arial" w:cs="Arial" w:eastAsia="Arial" w:hAnsi="Arial"/>
          <w:sz w:val="21"/>
          <w:szCs w:val="21"/>
        </w:rPr>
        <w:t xml:space="preserve">, and (3) </w:t>
      </w:r>
      <w:r>
        <w:rPr>
          <w:rFonts w:ascii="Arial" w:cs="Arial" w:eastAsia="Arial" w:hAnsi="Arial"/>
          <w:b/>
          <w:bCs/>
          <w:sz w:val="21"/>
          <w:szCs w:val="21"/>
        </w:rPr>
        <w:t xml:space="preserve">dataset merging and integrity validation</w:t>
      </w:r>
      <w:r>
        <w:rPr>
          <w:rFonts w:ascii="Arial" w:cs="Arial" w:eastAsia="Arial" w:hAnsi="Arial"/>
          <w:sz w:val="21"/>
          <w:szCs w:val="21"/>
        </w:rPr>
        <w:t xml:space="preserve">. Together they produce a single 70,128-row, hourly, UTC-aligned dataset covering January 2018 through December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16"/>
              <w:bottom w:val="none" w:color="FFFFFF" w:sz="0"/>
              <w:right w:val="single" w:color="BECFE8" w:sz="4"/>
            </w:tcBorders>
            <w:shd w:fill="D0E4F5" w:val="clear"/>
            <w:tcMar>
              <w:top w:type="dxa" w:w="80"/>
              <w:left w:type="dxa" w:w="160"/>
              <w:bottom w:type="dxa" w:w="80"/>
              <w:right w:type="dxa" w:w="160"/>
            </w:tcMar>
          </w:tcPr>
          <w:p>
            <w:pPr>
              <w:spacing w:after="0"/>
            </w:pPr>
            <w:r>
              <w:rPr>
                <w:rFonts w:ascii="Arial" w:cs="Arial" w:eastAsia="Arial" w:hAnsi="Arial"/>
                <w:b/>
                <w:bCs/>
                <w:color w:val="1B3557"/>
                <w:sz w:val="20"/>
                <w:szCs w:val="20"/>
              </w:rPr>
              <w:t xml:space="preserve">Pipeline at a Glance</w:t>
            </w:r>
          </w:p>
        </w:tc>
      </w:tr>
      <w:tr>
        <w:tc>
          <w:tcPr>
            <w:tcW w:type="dxa" w:w="9360"/>
            <w:tcBorders>
              <w:top w:val="none" w:color="FFFFFF" w:sz="0"/>
              <w:left w:val="single" w:color="2E6DB4" w:sz="16"/>
              <w:bottom w:val="single" w:color="2E6DB4" w:sz="4"/>
              <w:right w:val="single" w:color="BECFE8" w:sz="4"/>
            </w:tcBorders>
            <w:shd w:fill="EBF2FA" w:val="clear"/>
            <w:tcMar>
              <w:top w:type="dxa" w:w="80"/>
              <w:left w:type="dxa" w:w="200"/>
              <w:bottom w:type="dxa" w:w="100"/>
              <w:right w:type="dxa" w:w="160"/>
            </w:tcMar>
          </w:tcPr>
          <w:p>
            <w:pPr>
              <w:spacing w:after="60"/>
            </w:pPr>
            <w:r>
              <w:rPr>
                <w:rFonts w:ascii="Arial" w:cs="Arial" w:eastAsia="Arial" w:hAnsi="Arial"/>
                <w:sz w:val="19"/>
                <w:szCs w:val="19"/>
              </w:rPr>
              <w:t xml:space="preserve">• Input A:  EPIAS API  →  ~63,000 hourly MW consumption records (2017-12 to 2025-03)</w:t>
            </w:r>
          </w:p>
          <w:p>
            <w:pPr>
              <w:spacing w:after="60"/>
            </w:pPr>
            <w:r>
              <w:rPr>
                <w:rFonts w:ascii="Arial" w:cs="Arial" w:eastAsia="Arial" w:hAnsi="Arial"/>
                <w:sz w:val="19"/>
                <w:szCs w:val="19"/>
              </w:rPr>
              <w:t xml:space="preserve">• Input B:  ERA5 NetCDF (0.25° grid)  →  5 meteorological variables × 8 years × Turkey bounding box</w:t>
            </w:r>
          </w:p>
          <w:p>
            <w:pPr>
              <w:spacing w:after="60"/>
            </w:pPr>
            <w:r>
              <w:rPr>
                <w:rFonts w:ascii="Arial" w:cs="Arial" w:eastAsia="Arial" w:hAnsi="Arial"/>
                <w:sz w:val="19"/>
                <w:szCs w:val="19"/>
              </w:rPr>
              <w:t xml:space="preserve">• Output:   final_training_set_v1.csv  —  70,128 rows × 20+ columns, zero leakage, UTC-aligned</w:t>
            </w:r>
          </w:p>
          <w:p>
            <w:pPr>
              <w:spacing w:after="60"/>
            </w:pPr>
            <w:r>
              <w:rPr>
                <w:rFonts w:ascii="Arial" w:cs="Arial" w:eastAsia="Arial" w:hAnsi="Arial"/>
                <w:sz w:val="19"/>
                <w:szCs w:val="19"/>
              </w:rPr>
              <w:t xml:space="preserve">• Key novelty:  Hijri calendar features (Ramadan indicator, day-in-Ramadan, Eid flag) engineered via Umm al-Qura calendar</w:t>
            </w:r>
          </w:p>
        </w:tc>
      </w:tr>
    </w:tbl>
    <w:p>
      <w:pPr>
        <w:spacing w:after="60"/>
      </w:pPr>
      <w:r>
        <w:rPr>
          <w:rFonts w:ascii="Arial" w:cs="Arial" w:eastAsia="Arial" w:hAnsi="Arial"/>
        </w:rPr>
        <w:t xml:space="preserve"/>
      </w:r>
    </w:p>
    <w:p>
      <w:pPr>
        <w:pStyle w:val="Heading1"/>
        <w:pBdr>
          <w:bottom w:val="single" w:color="2E6DB4" w:sz="8" w:space="4"/>
        </w:pBdr>
        <w:spacing w:after="160" w:before="360"/>
      </w:pPr>
      <w:r>
        <w:rPr>
          <w:rFonts w:ascii="Arial" w:cs="Arial" w:eastAsia="Arial" w:hAnsi="Arial"/>
          <w:b/>
          <w:bCs/>
          <w:color w:val="1B3557"/>
          <w:sz w:val="32"/>
          <w:szCs w:val="32"/>
        </w:rPr>
        <w:t xml:space="preserve">2. System Architecture &amp; Data Flow</w:t>
      </w:r>
    </w:p>
    <w:p>
      <w:pPr>
        <w:spacing w:after="160"/>
      </w:pPr>
      <w:r>
        <w:rPr>
          <w:rFonts w:ascii="Arial" w:cs="Arial" w:eastAsia="Arial" w:hAnsi="Arial"/>
          <w:sz w:val="21"/>
          <w:szCs w:val="21"/>
        </w:rPr>
        <w:t xml:space="preserve">The pipeline follows a linear ETL (Extract → Transform → Load) architecture with three distinct stages, each writing intermediate outputs to disk for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700"/>
        <w:gridCol w:w="3160"/>
      </w:tblGrid>
      <w:tr>
        <w:trPr>
          <w:tblHeader/>
        </w:trPr>
        <w:tc>
          <w:tcPr>
            <w:tcW w:type="dxa" w:w="14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Stage</w:t>
            </w:r>
          </w:p>
        </w:tc>
        <w:tc>
          <w:tcPr>
            <w:tcW w:type="dxa" w:w="21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Script</w:t>
            </w:r>
          </w:p>
        </w:tc>
        <w:tc>
          <w:tcPr>
            <w:tcW w:type="dxa" w:w="27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Input</w:t>
            </w:r>
          </w:p>
        </w:tc>
        <w:tc>
          <w:tcPr>
            <w:tcW w:type="dxa" w:w="31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Output</w:t>
            </w:r>
          </w:p>
        </w:tc>
      </w:tr>
      <w:tr>
        <w:tc>
          <w:tcPr>
            <w:tcW w:type="dxa" w:w="1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 — Load Ingestion</w:t>
            </w:r>
          </w:p>
        </w:tc>
        <w:tc>
          <w:tcPr>
            <w:tcW w:type="dxa" w:w="21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epias_preprocessing.py</w:t>
            </w:r>
          </w:p>
        </w:tc>
        <w:tc>
          <w:tcPr>
            <w:tcW w:type="dxa" w:w="27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EPIAS API + raw CSV</w:t>
            </w:r>
          </w:p>
        </w:tc>
        <w:tc>
          <w:tcPr>
            <w:tcW w:type="dxa" w:w="31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epias_processed_final.csv</w:t>
            </w:r>
          </w:p>
        </w:tc>
      </w:tr>
      <w:tr>
        <w:tc>
          <w:tcPr>
            <w:tcW w:type="dxa" w:w="14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2 — Weather Proxy</w:t>
            </w:r>
          </w:p>
        </w:tc>
        <w:tc>
          <w:tcPr>
            <w:tcW w:type="dxa" w:w="21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spatial_weights.py</w:t>
            </w:r>
          </w:p>
        </w:tc>
        <w:tc>
          <w:tcPr>
            <w:tcW w:type="dxa" w:w="27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ERA5 .nc files (RAW_DIR)</w:t>
            </w:r>
          </w:p>
        </w:tc>
        <w:tc>
          <w:tcPr>
            <w:tcW w:type="dxa" w:w="31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weather_proxy.csv</w:t>
            </w:r>
          </w:p>
        </w:tc>
      </w:tr>
      <w:tr>
        <w:tc>
          <w:tcPr>
            <w:tcW w:type="dxa" w:w="1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3 — Dataset Merge</w:t>
            </w:r>
          </w:p>
        </w:tc>
        <w:tc>
          <w:tcPr>
            <w:tcW w:type="dxa" w:w="21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spatial_weights.py (main)</w:t>
            </w:r>
          </w:p>
        </w:tc>
        <w:tc>
          <w:tcPr>
            <w:tcW w:type="dxa" w:w="27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epias_processed_final.csv + weather_proxy.csv</w:t>
            </w:r>
          </w:p>
        </w:tc>
        <w:tc>
          <w:tcPr>
            <w:tcW w:type="dxa" w:w="31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final_training_set_v1.csv</w:t>
            </w:r>
          </w:p>
        </w:tc>
      </w:tr>
    </w:tbl>
    <w:p>
      <w:pPr>
        <w:spacing w:after="60"/>
      </w:pPr>
      <w:r>
        <w:rPr>
          <w:rFonts w:ascii="Arial" w:cs="Arial" w:eastAsia="Arial" w:hAnsi="Arial"/>
        </w:rPr>
        <w:t xml:space="preserve"/>
      </w:r>
    </w:p>
    <w:p>
      <w:pPr>
        <w:spacing w:after="120"/>
      </w:pPr>
      <w:r>
        <w:rPr>
          <w:rFonts w:ascii="Arial" w:cs="Arial" w:eastAsia="Arial" w:hAnsi="Arial"/>
          <w:sz w:val="21"/>
          <w:szCs w:val="21"/>
        </w:rPr>
        <w:t xml:space="preserve">File layout follows a three-tier directory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7" w:sz="4"/>
              <w:left w:val="single" w:color="1B3557" w:sz="4"/>
              <w:bottom w:val="single" w:color="1B3557" w:sz="4"/>
              <w:right w:val="single" w:color="1B3557" w:sz="4"/>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7"/>
                <w:szCs w:val="17"/>
              </w:rPr>
              <w:t xml:space="preserve">project_root/</w:t>
            </w:r>
          </w:p>
          <w:p>
            <w:pPr>
              <w:spacing w:after="0"/>
            </w:pPr>
            <w:r>
              <w:rPr>
                <w:rFonts w:ascii="Courier New" w:cs="Courier New" w:eastAsia="Courier New" w:hAnsi="Courier New"/>
                <w:color w:val="D4D4D4"/>
                <w:sz w:val="17"/>
                <w:szCs w:val="17"/>
              </w:rPr>
              <w:t xml:space="preserve">  data/</w:t>
            </w:r>
          </w:p>
          <w:p>
            <w:pPr>
              <w:spacing w:after="0"/>
            </w:pPr>
            <w:r>
              <w:rPr>
                <w:rFonts w:ascii="Courier New" w:cs="Courier New" w:eastAsia="Courier New" w:hAnsi="Courier New"/>
                <w:color w:val="D4D4D4"/>
                <w:sz w:val="17"/>
                <w:szCs w:val="17"/>
              </w:rPr>
              <w:t xml:space="preserve">    raw/                    ← EPIAS CSV + ERA5 .nc files (never modified)</w:t>
            </w:r>
          </w:p>
          <w:p>
            <w:pPr>
              <w:spacing w:after="0"/>
            </w:pPr>
            <w:r>
              <w:rPr>
                <w:rFonts w:ascii="Courier New" w:cs="Courier New" w:eastAsia="Courier New" w:hAnsi="Courier New"/>
                <w:color w:val="D4D4D4"/>
                <w:sz w:val="17"/>
                <w:szCs w:val="17"/>
              </w:rPr>
              <w:t xml:space="preserve">    processed/</w:t>
            </w:r>
          </w:p>
          <w:p>
            <w:pPr>
              <w:spacing w:after="0"/>
            </w:pPr>
            <w:r>
              <w:rPr>
                <w:rFonts w:ascii="Courier New" w:cs="Courier New" w:eastAsia="Courier New" w:hAnsi="Courier New"/>
                <w:color w:val="D4D4D4"/>
                <w:sz w:val="17"/>
                <w:szCs w:val="17"/>
              </w:rPr>
              <w:t xml:space="preserve">      epias_processed_final.csv   ← Stage 1 output</w:t>
            </w:r>
          </w:p>
          <w:p>
            <w:pPr>
              <w:spacing w:after="0"/>
            </w:pPr>
            <w:r>
              <w:rPr>
                <w:rFonts w:ascii="Courier New" w:cs="Courier New" w:eastAsia="Courier New" w:hAnsi="Courier New"/>
                <w:color w:val="D4D4D4"/>
                <w:sz w:val="17"/>
                <w:szCs w:val="17"/>
              </w:rPr>
              <w:t xml:space="preserve">      weather_proxy.csv           ← Stage 2 output (for EDA / debugging)</w:t>
            </w:r>
          </w:p>
          <w:p>
            <w:pPr>
              <w:spacing w:after="0"/>
            </w:pPr>
            <w:r>
              <w:rPr>
                <w:rFonts w:ascii="Courier New" w:cs="Courier New" w:eastAsia="Courier New" w:hAnsi="Courier New"/>
                <w:color w:val="D4D4D4"/>
                <w:sz w:val="17"/>
                <w:szCs w:val="17"/>
              </w:rPr>
              <w:t xml:space="preserve">      final_training_set_v1.csv   ← Stage 3 output  (ML-ready)</w:t>
            </w:r>
          </w:p>
          <w:p>
            <w:pPr>
              <w:spacing w:after="0"/>
            </w:pPr>
            <w:r>
              <w:rPr>
                <w:rFonts w:ascii="Courier New" w:cs="Courier New" w:eastAsia="Courier New" w:hAnsi="Courier New"/>
                <w:color w:val="D4D4D4"/>
                <w:sz w:val="17"/>
                <w:szCs w:val="17"/>
              </w:rPr>
              <w:t xml:space="preserve">  src/</w:t>
            </w:r>
          </w:p>
          <w:p>
            <w:pPr>
              <w:spacing w:after="0"/>
            </w:pPr>
            <w:r>
              <w:rPr>
                <w:rFonts w:ascii="Courier New" w:cs="Courier New" w:eastAsia="Courier New" w:hAnsi="Courier New"/>
                <w:color w:val="D4D4D4"/>
                <w:sz w:val="17"/>
                <w:szCs w:val="17"/>
              </w:rPr>
              <w:t xml:space="preserve">    epias_preprocessing.py</w:t>
            </w:r>
          </w:p>
          <w:p>
            <w:pPr>
              <w:spacing w:after="0"/>
            </w:pPr>
            <w:r>
              <w:rPr>
                <w:rFonts w:ascii="Courier New" w:cs="Courier New" w:eastAsia="Courier New" w:hAnsi="Courier New"/>
                <w:color w:val="D4D4D4"/>
                <w:sz w:val="17"/>
                <w:szCs w:val="17"/>
              </w:rPr>
              <w:t xml:space="preserve">    spatial_weights.py</w:t>
            </w:r>
          </w:p>
        </w:tc>
      </w:tr>
    </w:tbl>
    <w:p>
      <w:pPr>
        <w:spacing w:after="60"/>
      </w:pPr>
      <w:r>
        <w:rPr>
          <w:rFonts w:ascii="Arial" w:cs="Arial" w:eastAsia="Arial" w:hAnsi="Arial"/>
        </w:rPr>
        <w:t xml:space="preserve"/>
      </w:r>
    </w:p>
    <w:p>
      <w:pPr>
        <w:pStyle w:val="Heading1"/>
        <w:pBdr>
          <w:bottom w:val="single" w:color="2E6DB4" w:sz="8" w:space="4"/>
        </w:pBdr>
        <w:spacing w:after="160" w:before="360"/>
      </w:pPr>
      <w:r>
        <w:rPr>
          <w:rFonts w:ascii="Arial" w:cs="Arial" w:eastAsia="Arial" w:hAnsi="Arial"/>
          <w:b/>
          <w:bCs/>
          <w:color w:val="1B3557"/>
          <w:sz w:val="32"/>
          <w:szCs w:val="32"/>
        </w:rPr>
        <w:t xml:space="preserve">3. Stage 1 — EPIAS Load Ingestion &amp; Feature Engineering</w:t>
      </w:r>
    </w:p>
    <w:p>
      <w:pPr>
        <w:pStyle w:val="Heading2"/>
        <w:spacing w:after="120" w:before="280"/>
      </w:pPr>
      <w:r>
        <w:rPr>
          <w:rFonts w:ascii="Arial" w:cs="Arial" w:eastAsia="Arial" w:hAnsi="Arial"/>
          <w:b/>
          <w:bCs/>
          <w:color w:val="2E6DB4"/>
          <w:sz w:val="26"/>
          <w:szCs w:val="26"/>
        </w:rPr>
        <w:t xml:space="preserve">3.1  Data Acquisition</w:t>
      </w:r>
    </w:p>
    <w:p>
      <w:pPr>
        <w:spacing w:after="120"/>
      </w:pPr>
      <w:r>
        <w:rPr>
          <w:rFonts w:ascii="Arial" w:cs="Arial" w:eastAsia="Arial" w:hAnsi="Arial"/>
          <w:sz w:val="21"/>
          <w:szCs w:val="21"/>
        </w:rPr>
        <w:t xml:space="preserve">Hourly real-time consumption data is fetched from the EPIAS (Energy Exchange Istanbul) API via the </w:t>
      </w:r>
      <w:r>
        <w:rPr>
          <w:rFonts w:ascii="Courier New" w:cs="Courier New" w:eastAsia="Courier New" w:hAnsi="Courier New"/>
          <w:color w:val="1B3557"/>
          <w:sz w:val="18"/>
          <w:szCs w:val="18"/>
        </w:rPr>
        <w:t xml:space="preserve">eptr2</w:t>
      </w:r>
      <w:r>
        <w:rPr>
          <w:rFonts w:ascii="Arial" w:cs="Arial" w:eastAsia="Arial" w:hAnsi="Arial"/>
          <w:sz w:val="21"/>
          <w:szCs w:val="21"/>
        </w:rPr>
        <w:t xml:space="preserve"> Python client. The main corpus spans January 2018 to March 2025 (~63,000 observations). An additional one-month buffer (December 2017) is acquired separately and later used exclusively to populate 168-hour rolling/lag features for the first week of January 2018, preventing cold-start NaN propagation into the training set.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7" w:sz="4"/>
              <w:left w:val="single" w:color="1B3557" w:sz="4"/>
              <w:bottom w:val="single" w:color="1B3557" w:sz="4"/>
              <w:right w:val="single" w:color="1B3557" w:sz="4"/>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7"/>
                <w:szCs w:val="17"/>
              </w:rPr>
              <w:t xml:space="preserve"># Core acquisition loop (main corpus)</w:t>
            </w:r>
          </w:p>
          <w:p>
            <w:pPr>
              <w:spacing w:after="0"/>
            </w:pPr>
            <w:r>
              <w:rPr>
                <w:rFonts w:ascii="Courier New" w:cs="Courier New" w:eastAsia="Courier New" w:hAnsi="Courier New"/>
                <w:color w:val="D4D4D4"/>
                <w:sz w:val="17"/>
                <w:szCs w:val="17"/>
              </w:rPr>
              <w:t xml:space="preserve">for year in range(2018, 2026):</w:t>
            </w:r>
          </w:p>
          <w:p>
            <w:pPr>
              <w:spacing w:after="0"/>
            </w:pPr>
            <w:r>
              <w:rPr>
                <w:rFonts w:ascii="Courier New" w:cs="Courier New" w:eastAsia="Courier New" w:hAnsi="Courier New"/>
                <w:color w:val="D4D4D4"/>
                <w:sz w:val="17"/>
                <w:szCs w:val="17"/>
              </w:rPr>
              <w:t xml:space="preserve">    df = eptr.call('rt-cons', start_date=f'{year}-01-01', end_date=f'{year}-12-31')</w:t>
            </w:r>
          </w:p>
          <w:p>
            <w:pPr>
              <w:spacing w:after="0"/>
            </w:pPr>
            <w:r>
              <w:rPr>
                <w:rFonts w:ascii="Courier New" w:cs="Courier New" w:eastAsia="Courier New" w:hAnsi="Courier New"/>
                <w:color w:val="D4D4D4"/>
                <w:sz w:val="17"/>
                <w:szCs w:val="17"/>
              </w:rPr>
              <w:t xml:space="preserve"/>
            </w:r>
          </w:p>
          <w:p>
            <w:pPr>
              <w:spacing w:after="0"/>
            </w:pPr>
            <w:r>
              <w:rPr>
                <w:rFonts w:ascii="Courier New" w:cs="Courier New" w:eastAsia="Courier New" w:hAnsi="Courier New"/>
                <w:color w:val="D4D4D4"/>
                <w:sz w:val="17"/>
                <w:szCs w:val="17"/>
              </w:rPr>
              <w:t xml:space="preserve"># 2017 buffer — used only for lag/rolling warm-up</w:t>
            </w:r>
          </w:p>
          <w:p>
            <w:pPr>
              <w:spacing w:after="0"/>
            </w:pPr>
            <w:r>
              <w:rPr>
                <w:rFonts w:ascii="Courier New" w:cs="Courier New" w:eastAsia="Courier New" w:hAnsi="Courier New"/>
                <w:color w:val="D4D4D4"/>
                <w:sz w:val="17"/>
                <w:szCs w:val="17"/>
              </w:rPr>
              <w:t xml:space="preserve">buffer_df = eptr.call('rt-cons', start_date='2017-12-01', end_date='2017-12-31')</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3.2  Timezone Standardisation</w:t>
      </w:r>
    </w:p>
    <w:p>
      <w:pPr>
        <w:spacing w:after="120"/>
      </w:pPr>
      <w:r>
        <w:rPr>
          <w:rFonts w:ascii="Arial" w:cs="Arial" w:eastAsia="Arial" w:hAnsi="Arial"/>
          <w:sz w:val="21"/>
          <w:szCs w:val="21"/>
        </w:rPr>
        <w:t xml:space="preserve">All timestamps are converted to </w:t>
      </w:r>
      <w:r>
        <w:rPr>
          <w:rFonts w:ascii="Arial" w:cs="Arial" w:eastAsia="Arial" w:hAnsi="Arial"/>
          <w:b/>
          <w:bCs/>
          <w:sz w:val="21"/>
          <w:szCs w:val="21"/>
        </w:rPr>
        <w:t xml:space="preserve">UTC</w:t>
      </w:r>
      <w:r>
        <w:rPr>
          <w:rFonts w:ascii="Arial" w:cs="Arial" w:eastAsia="Arial" w:hAnsi="Arial"/>
          <w:sz w:val="21"/>
          <w:szCs w:val="21"/>
        </w:rPr>
        <w:t xml:space="preserve"> immediately after ingestion. This is a deliberate design choice: ERA5 data is natively UTC, and standardising early prevents join key mismatches during the merge stage. The original EPIAS timestamps (Turkish local time, UTC+3 or UTC+2 depending on DST) are stored in the raw file but discarded from the processed pipeline.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16"/>
              <w:bottom w:val="none" w:color="FFFFFF" w:sz="0"/>
              <w:right w:val="single" w:color="BECFE8" w:sz="4"/>
            </w:tcBorders>
            <w:shd w:fill="D0E4F5" w:val="clear"/>
            <w:tcMar>
              <w:top w:type="dxa" w:w="80"/>
              <w:left w:type="dxa" w:w="160"/>
              <w:bottom w:type="dxa" w:w="80"/>
              <w:right w:type="dxa" w:w="160"/>
            </w:tcMar>
          </w:tcPr>
          <w:p>
            <w:pPr>
              <w:spacing w:after="0"/>
            </w:pPr>
            <w:r>
              <w:rPr>
                <w:rFonts w:ascii="Arial" w:cs="Arial" w:eastAsia="Arial" w:hAnsi="Arial"/>
                <w:b/>
                <w:bCs/>
                <w:color w:val="7D4E00"/>
                <w:sz w:val="20"/>
                <w:szCs w:val="20"/>
              </w:rPr>
              <w:t xml:space="preserve">⚠  DST Ambiguity</w:t>
            </w:r>
          </w:p>
        </w:tc>
      </w:tr>
      <w:tr>
        <w:tc>
          <w:tcPr>
            <w:tcW w:type="dxa" w:w="9360"/>
            <w:tcBorders>
              <w:top w:val="none" w:color="FFFFFF" w:sz="0"/>
              <w:left w:val="single" w:color="2E6DB4" w:sz="16"/>
              <w:bottom w:val="single" w:color="2E6DB4" w:sz="4"/>
              <w:right w:val="single" w:color="BECFE8" w:sz="4"/>
            </w:tcBorders>
            <w:shd w:fill="FFF4E0" w:val="clear"/>
            <w:tcMar>
              <w:top w:type="dxa" w:w="80"/>
              <w:left w:type="dxa" w:w="200"/>
              <w:bottom w:type="dxa" w:w="100"/>
              <w:right w:type="dxa" w:w="160"/>
            </w:tcMar>
          </w:tcPr>
          <w:p>
            <w:pPr>
              <w:spacing w:after="60"/>
            </w:pPr>
            <w:r>
              <w:rPr>
                <w:rFonts w:ascii="Arial" w:cs="Arial" w:eastAsia="Arial" w:hAnsi="Arial"/>
                <w:sz w:val="19"/>
                <w:szCs w:val="19"/>
              </w:rPr>
              <w:t xml:space="preserve">Turkey observed daylight saving time until September 2016, after which it permanently adopted UTC+3 (no DST).</w:t>
            </w:r>
          </w:p>
          <w:p>
            <w:pPr>
              <w:spacing w:after="60"/>
            </w:pPr>
            <w:r>
              <w:rPr>
                <w:rFonts w:ascii="Arial" w:cs="Arial" w:eastAsia="Arial" w:hAnsi="Arial"/>
                <w:sz w:val="19"/>
                <w:szCs w:val="19"/>
              </w:rPr>
              <w:t xml:space="preserve">Since the dataset starts in 2018, all raw EPIAS times are consistently UTC+3; no ambiguous or missing hours arise during the conversion.</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3.3  Load Cleaning</w:t>
      </w:r>
    </w:p>
    <w:p>
      <w:pPr>
        <w:spacing w:after="120"/>
      </w:pPr>
      <w:r>
        <w:rPr>
          <w:rFonts w:ascii="Arial" w:cs="Arial" w:eastAsia="Arial" w:hAnsi="Arial"/>
          <w:sz w:val="21"/>
          <w:szCs w:val="21"/>
        </w:rPr>
        <w:t xml:space="preserve">The </w:t>
      </w:r>
      <w:r>
        <w:rPr>
          <w:rFonts w:ascii="Courier New" w:cs="Courier New" w:eastAsia="Courier New" w:hAnsi="Courier New"/>
          <w:color w:val="1B3557"/>
          <w:sz w:val="18"/>
          <w:szCs w:val="18"/>
        </w:rPr>
        <w:t xml:space="preserve">actual_load</w:t>
      </w:r>
      <w:r>
        <w:rPr>
          <w:rFonts w:ascii="Arial" w:cs="Arial" w:eastAsia="Arial" w:hAnsi="Arial"/>
          <w:sz w:val="21"/>
          <w:szCs w:val="21"/>
        </w:rPr>
        <w:t xml:space="preserve"> series (renamed from the raw </w:t>
      </w:r>
      <w:r>
        <w:rPr>
          <w:rFonts w:ascii="Courier New" w:cs="Courier New" w:eastAsia="Courier New" w:hAnsi="Courier New"/>
          <w:sz w:val="18"/>
          <w:szCs w:val="18"/>
        </w:rPr>
        <w:t xml:space="preserve">consumption</w:t>
      </w:r>
      <w:r>
        <w:rPr>
          <w:rFonts w:ascii="Arial" w:cs="Arial" w:eastAsia="Arial" w:hAnsi="Arial"/>
          <w:sz w:val="21"/>
          <w:szCs w:val="21"/>
        </w:rPr>
        <w:t xml:space="preserve"> column) is cleaned with </w:t>
      </w:r>
      <w:r>
        <w:rPr>
          <w:rFonts w:ascii="Arial" w:cs="Arial" w:eastAsia="Arial" w:hAnsi="Arial"/>
          <w:b/>
          <w:bCs/>
          <w:sz w:val="21"/>
          <w:szCs w:val="21"/>
        </w:rPr>
        <w:t xml:space="preserve">linear interpolation</w:t>
      </w:r>
      <w:r>
        <w:rPr>
          <w:rFonts w:ascii="Arial" w:cs="Arial" w:eastAsia="Arial" w:hAnsi="Arial"/>
          <w:sz w:val="21"/>
          <w:szCs w:val="21"/>
        </w:rPr>
        <w:t xml:space="preserve"> over isolated missing hours. No outlier removal is applied at this stage; the original EPIAS values are authoritative by assumption, and extreme peaks (e.g., summer heatwave or cold-snap spikes) are genuine demand events that the model must learn.</w:t>
      </w:r>
    </w:p>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3.4  Hijri Calendar Feature Engineering</w:t>
      </w:r>
    </w:p>
    <w:p>
      <w:pPr>
        <w:spacing w:after="120"/>
      </w:pPr>
      <w:r>
        <w:rPr>
          <w:rFonts w:ascii="Arial" w:cs="Arial" w:eastAsia="Arial" w:hAnsi="Arial"/>
          <w:sz w:val="21"/>
          <w:szCs w:val="21"/>
        </w:rPr>
        <w:t xml:space="preserve">The centrepiece of Stage 1 is the derivation of three Hijri calendar features, which are the project's principal experimental variables. Each UTC timestamp is converted to the corresponding local Istanbul date (</w:t>
      </w:r>
      <w:r>
        <w:rPr>
          <w:rFonts w:ascii="Courier New" w:cs="Courier New" w:eastAsia="Courier New" w:hAnsi="Courier New"/>
          <w:sz w:val="18"/>
          <w:szCs w:val="18"/>
        </w:rPr>
        <w:t xml:space="preserve">Europe/Istanbul</w:t>
      </w:r>
      <w:r>
        <w:rPr>
          <w:rFonts w:ascii="Arial" w:cs="Arial" w:eastAsia="Arial" w:hAnsi="Arial"/>
          <w:sz w:val="21"/>
          <w:szCs w:val="21"/>
        </w:rPr>
        <w:t xml:space="preserve">) before the Gregorian-to-Hijri conversion, ensuring the calendar alignment reflects the socio-behavioural day boundary experienced by Turkish electricity consumers.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4260"/>
        <w:gridCol w:w="1200"/>
      </w:tblGrid>
      <w:tr>
        <w:trPr>
          <w:tblHeader/>
        </w:trPr>
        <w:tc>
          <w:tcPr>
            <w:tcW w:type="dxa" w:w="15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Feature</w:t>
            </w:r>
          </w:p>
        </w:tc>
        <w:tc>
          <w:tcPr>
            <w:tcW w:type="dxa" w:w="9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Type</w:t>
            </w:r>
          </w:p>
        </w:tc>
        <w:tc>
          <w:tcPr>
            <w:tcW w:type="dxa" w:w="42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Definition</w:t>
            </w:r>
          </w:p>
        </w:tc>
        <w:tc>
          <w:tcPr>
            <w:tcW w:type="dxa" w:w="12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Range</w:t>
            </w:r>
          </w:p>
        </w:tc>
      </w:tr>
      <w:tr>
        <w:tc>
          <w:tcPr>
            <w:tcW w:type="dxa" w:w="15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is_ramadan</w:t>
            </w:r>
          </w:p>
        </w:tc>
        <w:tc>
          <w:tcPr>
            <w:tcW w:type="dxa" w:w="9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Binary</w:t>
            </w:r>
          </w:p>
        </w:tc>
        <w:tc>
          <w:tcPr>
            <w:tcW w:type="dxa" w:w="42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 if the Hijri month is Ramadan (month 9)</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0 / 1</w:t>
            </w:r>
          </w:p>
        </w:tc>
      </w:tr>
      <w:tr>
        <w:tc>
          <w:tcPr>
            <w:tcW w:type="dxa" w:w="15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day_of_ramadan</w:t>
            </w:r>
          </w:p>
        </w:tc>
        <w:tc>
          <w:tcPr>
            <w:tcW w:type="dxa" w:w="9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Ordinal</w:t>
            </w:r>
          </w:p>
        </w:tc>
        <w:tc>
          <w:tcPr>
            <w:tcW w:type="dxa" w:w="42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Day number within Ramadan; 0 outside</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0 – 30</w:t>
            </w:r>
          </w:p>
        </w:tc>
      </w:tr>
      <w:tr>
        <w:tc>
          <w:tcPr>
            <w:tcW w:type="dxa" w:w="15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is_eid</w:t>
            </w:r>
          </w:p>
        </w:tc>
        <w:tc>
          <w:tcPr>
            <w:tcW w:type="dxa" w:w="9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Binary</w:t>
            </w:r>
          </w:p>
        </w:tc>
        <w:tc>
          <w:tcPr>
            <w:tcW w:type="dxa" w:w="42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 for Eid al-Fitr (Hijri month 10, days 1–3)</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0 / 1</w:t>
            </w:r>
          </w:p>
        </w:tc>
      </w:tr>
    </w:tbl>
    <w:p>
      <w:pPr>
        <w:spacing w:after="60"/>
      </w:pPr>
      <w:r>
        <w:rPr>
          <w:rFonts w:ascii="Arial" w:cs="Arial" w:eastAsia="Arial" w:hAnsi="Arial"/>
        </w:rPr>
        <w:t xml:space="preserve"/>
      </w:r>
    </w:p>
    <w:p>
      <w:pPr>
        <w:spacing w:after="120"/>
      </w:pPr>
      <w:r>
        <w:rPr>
          <w:rFonts w:ascii="Arial" w:cs="Arial" w:eastAsia="Arial" w:hAnsi="Arial"/>
          <w:sz w:val="21"/>
          <w:szCs w:val="21"/>
        </w:rPr>
        <w:t xml:space="preserve">The Hijri conversion uses the </w:t>
      </w:r>
      <w:r>
        <w:rPr>
          <w:rFonts w:ascii="Arial" w:cs="Arial" w:eastAsia="Arial" w:hAnsi="Arial"/>
          <w:b/>
          <w:bCs/>
          <w:sz w:val="21"/>
          <w:szCs w:val="21"/>
        </w:rPr>
        <w:t xml:space="preserve">hijridate</w:t>
      </w:r>
      <w:r>
        <w:rPr>
          <w:rFonts w:ascii="Arial" w:cs="Arial" w:eastAsia="Arial" w:hAnsi="Arial"/>
          <w:sz w:val="21"/>
          <w:szCs w:val="21"/>
        </w:rPr>
        <w:t xml:space="preserve"> library, which implements the Umm al-Qura calendar — the same astronomical calendar used for official religious observance across MENA and Turkey. This ensures that the feature labels exactly match the behavioural regime shifts visible in the load signal.</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7" w:sz="4"/>
              <w:left w:val="single" w:color="1B3557" w:sz="4"/>
              <w:bottom w:val="single" w:color="1B3557" w:sz="4"/>
              <w:right w:val="single" w:color="1B3557" w:sz="4"/>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7"/>
                <w:szCs w:val="17"/>
              </w:rPr>
              <w:t xml:space="preserve">def get_hijri_info(ts):</w:t>
            </w:r>
          </w:p>
          <w:p>
            <w:pPr>
              <w:spacing w:after="0"/>
            </w:pPr>
            <w:r>
              <w:rPr>
                <w:rFonts w:ascii="Courier New" w:cs="Courier New" w:eastAsia="Courier New" w:hAnsi="Courier New"/>
                <w:color w:val="D4D4D4"/>
                <w:sz w:val="17"/>
                <w:szCs w:val="17"/>
              </w:rPr>
              <w:t xml:space="preserve">    local_ts = ts.tz_convert('Europe/Istanbul')</w:t>
            </w:r>
          </w:p>
          <w:p>
            <w:pPr>
              <w:spacing w:after="0"/>
            </w:pPr>
            <w:r>
              <w:rPr>
                <w:rFonts w:ascii="Courier New" w:cs="Courier New" w:eastAsia="Courier New" w:hAnsi="Courier New"/>
                <w:color w:val="D4D4D4"/>
                <w:sz w:val="17"/>
                <w:szCs w:val="17"/>
              </w:rPr>
              <w:t xml:space="preserve">    h = Gregorian(local_ts.year, local_ts.month, local_ts.day).to_hijri()</w:t>
            </w:r>
          </w:p>
          <w:p>
            <w:pPr>
              <w:spacing w:after="0"/>
            </w:pPr>
            <w:r>
              <w:rPr>
                <w:rFonts w:ascii="Courier New" w:cs="Courier New" w:eastAsia="Courier New" w:hAnsi="Courier New"/>
                <w:color w:val="D4D4D4"/>
                <w:sz w:val="17"/>
                <w:szCs w:val="17"/>
              </w:rPr>
              <w:t xml:space="preserve">    is_ramadan     = 1 if h.month == 9 else 0</w:t>
            </w:r>
          </w:p>
          <w:p>
            <w:pPr>
              <w:spacing w:after="0"/>
            </w:pPr>
            <w:r>
              <w:rPr>
                <w:rFonts w:ascii="Courier New" w:cs="Courier New" w:eastAsia="Courier New" w:hAnsi="Courier New"/>
                <w:color w:val="D4D4D4"/>
                <w:sz w:val="17"/>
                <w:szCs w:val="17"/>
              </w:rPr>
              <w:t xml:space="preserve">    is_eid         = 1 if (h.month == 10 and h.day &lt;= 3) else 0</w:t>
            </w:r>
          </w:p>
          <w:p>
            <w:pPr>
              <w:spacing w:after="0"/>
            </w:pPr>
            <w:r>
              <w:rPr>
                <w:rFonts w:ascii="Courier New" w:cs="Courier New" w:eastAsia="Courier New" w:hAnsi="Courier New"/>
                <w:color w:val="D4D4D4"/>
                <w:sz w:val="17"/>
                <w:szCs w:val="17"/>
              </w:rPr>
              <w:t xml:space="preserve">    day_of_ramadan = h.day if h.month == 9 else 0</w:t>
            </w:r>
          </w:p>
          <w:p>
            <w:pPr>
              <w:spacing w:after="0"/>
            </w:pPr>
            <w:r>
              <w:rPr>
                <w:rFonts w:ascii="Courier New" w:cs="Courier New" w:eastAsia="Courier New" w:hAnsi="Courier New"/>
                <w:color w:val="D4D4D4"/>
                <w:sz w:val="17"/>
                <w:szCs w:val="17"/>
              </w:rPr>
              <w:t xml:space="preserve">    return is_ramadan, is_eid, day_of_ramadan</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3.5  Gregorian Calendar Features</w:t>
      </w:r>
    </w:p>
    <w:p>
      <w:pPr>
        <w:spacing w:after="120"/>
      </w:pPr>
      <w:r>
        <w:rPr>
          <w:rFonts w:ascii="Arial" w:cs="Arial" w:eastAsia="Arial" w:hAnsi="Arial"/>
          <w:sz w:val="21"/>
          <w:szCs w:val="21"/>
        </w:rPr>
        <w:t xml:space="preserve">Standard calendar decomposition features are added for all models to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Feature</w:t>
            </w:r>
          </w:p>
        </w:tc>
        <w:tc>
          <w:tcPr>
            <w:tcW w:type="dxa" w:w="37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Description</w:t>
            </w:r>
          </w:p>
        </w:tc>
        <w:tc>
          <w:tcPr>
            <w:tcW w:type="dxa" w:w="40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Encoding in ML models</w:t>
            </w:r>
          </w:p>
        </w:tc>
      </w:tr>
      <w:tr>
        <w:tc>
          <w:tcPr>
            <w:tcW w:type="dxa" w:w="16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hour</w:t>
            </w:r>
          </w:p>
        </w:tc>
        <w:tc>
          <w:tcPr>
            <w:tcW w:type="dxa" w:w="3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Hour of day (UTC)</w:t>
            </w:r>
          </w:p>
        </w:tc>
        <w:tc>
          <w:tcPr>
            <w:tcW w:type="dxa" w:w="4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Cyclical sin/cos or ordinal</w:t>
            </w:r>
          </w:p>
        </w:tc>
      </w:tr>
      <w:tr>
        <w:tc>
          <w:tcPr>
            <w:tcW w:type="dxa" w:w="16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day_of_week</w:t>
            </w:r>
          </w:p>
        </w:tc>
        <w:tc>
          <w:tcPr>
            <w:tcW w:type="dxa" w:w="37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0 (Monday) – 6 (Sunday)</w:t>
            </w:r>
          </w:p>
        </w:tc>
        <w:tc>
          <w:tcPr>
            <w:tcW w:type="dxa" w:w="4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Cyclical or one-hot</w:t>
            </w:r>
          </w:p>
        </w:tc>
      </w:tr>
      <w:tr>
        <w:tc>
          <w:tcPr>
            <w:tcW w:type="dxa" w:w="16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month</w:t>
            </w:r>
          </w:p>
        </w:tc>
        <w:tc>
          <w:tcPr>
            <w:tcW w:type="dxa" w:w="3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 – 12</w:t>
            </w:r>
          </w:p>
        </w:tc>
        <w:tc>
          <w:tcPr>
            <w:tcW w:type="dxa" w:w="4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Cyclical sin/cos</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3.6  Lag and Rolling Window Features</w:t>
      </w:r>
    </w:p>
    <w:p>
      <w:pPr>
        <w:spacing w:after="120"/>
      </w:pPr>
      <w:r>
        <w:rPr>
          <w:rFonts w:ascii="Arial" w:cs="Arial" w:eastAsia="Arial" w:hAnsi="Arial"/>
          <w:sz w:val="21"/>
          <w:szCs w:val="21"/>
        </w:rPr>
        <w:t xml:space="preserve">Autoregressive features capture temporal self-dependency in the load series. All features are computed from </w:t>
      </w:r>
      <w:r>
        <w:rPr>
          <w:rFonts w:ascii="Arial" w:cs="Arial" w:eastAsia="Arial" w:hAnsi="Arial"/>
          <w:b/>
          <w:bCs/>
          <w:sz w:val="21"/>
          <w:szCs w:val="21"/>
        </w:rPr>
        <w:t xml:space="preserve">past values only</w:t>
      </w:r>
      <w:r>
        <w:rPr>
          <w:rFonts w:ascii="Arial" w:cs="Arial" w:eastAsia="Arial" w:hAnsi="Arial"/>
          <w:sz w:val="21"/>
          <w:szCs w:val="21"/>
        </w:rPr>
        <w:t xml:space="preserve"> (no future leakage):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5560"/>
      </w:tblGrid>
      <w:tr>
        <w:trPr>
          <w:tblHeader/>
        </w:trPr>
        <w:tc>
          <w:tcPr>
            <w:tcW w:type="dxa" w:w="20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Feature</w:t>
            </w:r>
          </w:p>
        </w:tc>
        <w:tc>
          <w:tcPr>
            <w:tcW w:type="dxa" w:w="10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Window</w:t>
            </w:r>
          </w:p>
        </w:tc>
        <w:tc>
          <w:tcPr>
            <w:tcW w:type="dxa" w:w="8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Shift</w:t>
            </w:r>
          </w:p>
        </w:tc>
        <w:tc>
          <w:tcPr>
            <w:tcW w:type="dxa" w:w="55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Rationale</w:t>
            </w:r>
          </w:p>
        </w:tc>
      </w:tr>
      <w:tr>
        <w:tc>
          <w:tcPr>
            <w:tcW w:type="dxa" w:w="2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load_lag_24h</w:t>
            </w:r>
          </w:p>
        </w:tc>
        <w:tc>
          <w:tcPr>
            <w:tcW w:type="dxa" w:w="1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 sample</w:t>
            </w:r>
          </w:p>
        </w:tc>
        <w:tc>
          <w:tcPr>
            <w:tcW w:type="dxa" w:w="8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24 h</w:t>
            </w:r>
          </w:p>
        </w:tc>
        <w:tc>
          <w:tcPr>
            <w:tcW w:type="dxa" w:w="55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Same hour yesterday — captures 24h seasonality</w:t>
            </w:r>
          </w:p>
        </w:tc>
      </w:tr>
      <w:tr>
        <w:tc>
          <w:tcPr>
            <w:tcW w:type="dxa" w:w="2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load_lag_168h</w:t>
            </w:r>
          </w:p>
        </w:tc>
        <w:tc>
          <w:tcPr>
            <w:tcW w:type="dxa" w:w="1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 sample</w:t>
            </w:r>
          </w:p>
        </w:tc>
        <w:tc>
          <w:tcPr>
            <w:tcW w:type="dxa" w:w="8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168 h</w:t>
            </w:r>
          </w:p>
        </w:tc>
        <w:tc>
          <w:tcPr>
            <w:tcW w:type="dxa" w:w="55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Same hour last week — captures weekly pattern</w:t>
            </w:r>
          </w:p>
        </w:tc>
      </w:tr>
      <w:tr>
        <w:tc>
          <w:tcPr>
            <w:tcW w:type="dxa" w:w="2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load_rolling_mean_24h</w:t>
            </w:r>
          </w:p>
        </w:tc>
        <w:tc>
          <w:tcPr>
            <w:tcW w:type="dxa" w:w="1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24 samples</w:t>
            </w:r>
          </w:p>
        </w:tc>
        <w:tc>
          <w:tcPr>
            <w:tcW w:type="dxa" w:w="8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 h</w:t>
            </w:r>
          </w:p>
        </w:tc>
        <w:tc>
          <w:tcPr>
            <w:tcW w:type="dxa" w:w="55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Recent average level (trend + smoothing)</w:t>
            </w:r>
          </w:p>
        </w:tc>
      </w:tr>
      <w:tr>
        <w:tc>
          <w:tcPr>
            <w:tcW w:type="dxa" w:w="2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load_rolling_std_24h</w:t>
            </w:r>
          </w:p>
        </w:tc>
        <w:tc>
          <w:tcPr>
            <w:tcW w:type="dxa" w:w="1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24 samples</w:t>
            </w:r>
          </w:p>
        </w:tc>
        <w:tc>
          <w:tcPr>
            <w:tcW w:type="dxa" w:w="8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 h</w:t>
            </w:r>
          </w:p>
        </w:tc>
        <w:tc>
          <w:tcPr>
            <w:tcW w:type="dxa" w:w="55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Recent volatility — useful for uncertainty</w:t>
            </w:r>
          </w:p>
        </w:tc>
      </w:tr>
      <w:tr>
        <w:tc>
          <w:tcPr>
            <w:tcW w:type="dxa" w:w="2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load_rolling_mean_168h</w:t>
            </w:r>
          </w:p>
        </w:tc>
        <w:tc>
          <w:tcPr>
            <w:tcW w:type="dxa" w:w="1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168 samples</w:t>
            </w:r>
          </w:p>
        </w:tc>
        <w:tc>
          <w:tcPr>
            <w:tcW w:type="dxa" w:w="8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 h</w:t>
            </w:r>
          </w:p>
        </w:tc>
        <w:tc>
          <w:tcPr>
            <w:tcW w:type="dxa" w:w="55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Weekly-scale baseline</w:t>
            </w:r>
          </w:p>
        </w:tc>
      </w:tr>
      <w:tr>
        <w:tc>
          <w:tcPr>
            <w:tcW w:type="dxa" w:w="2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load_rolling_std_168h</w:t>
            </w:r>
          </w:p>
        </w:tc>
        <w:tc>
          <w:tcPr>
            <w:tcW w:type="dxa" w:w="1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168 samples</w:t>
            </w:r>
          </w:p>
        </w:tc>
        <w:tc>
          <w:tcPr>
            <w:tcW w:type="dxa" w:w="8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 h</w:t>
            </w:r>
          </w:p>
        </w:tc>
        <w:tc>
          <w:tcPr>
            <w:tcW w:type="dxa" w:w="55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Weekly-scale volatility</w:t>
            </w:r>
          </w:p>
        </w:tc>
      </w:tr>
    </w:tbl>
    <w:p>
      <w:pPr>
        <w:spacing w:after="60"/>
      </w:pPr>
      <w:r>
        <w:rPr>
          <w:rFonts w:ascii="Arial" w:cs="Arial" w:eastAsia="Arial" w:hAnsi="Arial"/>
        </w:rPr>
        <w:t xml:space="preserve"/>
      </w:r>
    </w:p>
    <w:p>
      <w:pPr>
        <w:spacing w:after="120"/>
      </w:pPr>
      <w:r>
        <w:rPr>
          <w:rFonts w:ascii="Arial" w:cs="Arial" w:eastAsia="Arial" w:hAnsi="Arial"/>
          <w:sz w:val="21"/>
          <w:szCs w:val="21"/>
        </w:rPr>
        <w:t xml:space="preserve">The 1-hour right-shift (</w:t>
      </w:r>
      <w:r>
        <w:rPr>
          <w:rFonts w:ascii="Courier New" w:cs="Courier New" w:eastAsia="Courier New" w:hAnsi="Courier New"/>
          <w:sz w:val="18"/>
          <w:szCs w:val="18"/>
        </w:rPr>
        <w:t xml:space="preserve">shift(1)</w:t>
      </w:r>
      <w:r>
        <w:rPr>
          <w:rFonts w:ascii="Arial" w:cs="Arial" w:eastAsia="Arial" w:hAnsi="Arial"/>
          <w:sz w:val="21"/>
          <w:szCs w:val="21"/>
        </w:rPr>
        <w:t xml:space="preserve"> before rolling) guarantees that rolling statistics at time </w:t>
      </w:r>
      <w:r>
        <w:rPr>
          <w:rFonts w:ascii="Courier New" w:cs="Courier New" w:eastAsia="Courier New" w:hAnsi="Courier New"/>
          <w:sz w:val="18"/>
          <w:szCs w:val="18"/>
        </w:rPr>
        <w:t xml:space="preserve">t</w:t>
      </w:r>
      <w:r>
        <w:rPr>
          <w:rFonts w:ascii="Arial" w:cs="Arial" w:eastAsia="Arial" w:hAnsi="Arial"/>
          <w:sz w:val="21"/>
          <w:szCs w:val="21"/>
        </w:rPr>
        <w:t xml:space="preserve"> are computed from observations </w:t>
      </w:r>
      <w:r>
        <w:rPr>
          <w:rFonts w:ascii="Courier New" w:cs="Courier New" w:eastAsia="Courier New" w:hAnsi="Courier New"/>
          <w:sz w:val="18"/>
          <w:szCs w:val="18"/>
        </w:rPr>
        <w:t xml:space="preserve">t-24 … t-1</w:t>
      </w:r>
      <w:r>
        <w:rPr>
          <w:rFonts w:ascii="Arial" w:cs="Arial" w:eastAsia="Arial" w:hAnsi="Arial"/>
          <w:sz w:val="21"/>
          <w:szCs w:val="21"/>
        </w:rPr>
        <w:t xml:space="preserve">, not from </w:t>
      </w:r>
      <w:r>
        <w:rPr>
          <w:rFonts w:ascii="Courier New" w:cs="Courier New" w:eastAsia="Courier New" w:hAnsi="Courier New"/>
          <w:sz w:val="18"/>
          <w:szCs w:val="18"/>
        </w:rPr>
        <w:t xml:space="preserve">t-23 … t</w:t>
      </w:r>
      <w:r>
        <w:rPr>
          <w:rFonts w:ascii="Arial" w:cs="Arial" w:eastAsia="Arial" w:hAnsi="Arial"/>
          <w:sz w:val="21"/>
          <w:szCs w:val="21"/>
        </w:rPr>
        <w:t xml:space="preserve">. This is the standard causal-window convention for autoregressive features.</w:t>
      </w:r>
    </w:p>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3.7  Buffer Slicing</w:t>
      </w:r>
    </w:p>
    <w:p>
      <w:pPr>
        <w:spacing w:after="120"/>
      </w:pPr>
      <w:r>
        <w:rPr>
          <w:rFonts w:ascii="Arial" w:cs="Arial" w:eastAsia="Arial" w:hAnsi="Arial"/>
          <w:sz w:val="21"/>
          <w:szCs w:val="21"/>
        </w:rPr>
        <w:t xml:space="preserve">After all features are computed, the December 2017 buffer rows are removed by slicing to </w:t>
      </w:r>
      <w:r>
        <w:rPr>
          <w:rFonts w:ascii="Courier New" w:cs="Courier New" w:eastAsia="Courier New" w:hAnsi="Courier New"/>
          <w:sz w:val="18"/>
          <w:szCs w:val="18"/>
        </w:rPr>
        <w:t xml:space="preserve">timestamp &gt;= '2018-01-01 00:00:00+00:00'</w:t>
      </w:r>
      <w:r>
        <w:rPr>
          <w:rFonts w:ascii="Arial" w:cs="Arial" w:eastAsia="Arial" w:hAnsi="Arial"/>
          <w:sz w:val="21"/>
          <w:szCs w:val="21"/>
        </w:rPr>
        <w:t xml:space="preserve">. The 2017 rows were exclusively used to avoid NaN propagation at the left boundary of lag/rolling windows; they contain no target-hour data and must not enter training, validation, or test sets.</w:t>
      </w:r>
    </w:p>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3.8  Stage 1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Column</w:t>
            </w:r>
          </w:p>
        </w:tc>
        <w:tc>
          <w:tcPr>
            <w:tcW w:type="dxa" w:w="12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Dtype</w:t>
            </w:r>
          </w:p>
        </w:tc>
        <w:tc>
          <w:tcPr>
            <w:tcW w:type="dxa" w:w="59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Description</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timestamp</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datetime64[UTC]</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Hourly UTC timestamp (index)</w:t>
            </w:r>
          </w:p>
        </w:tc>
      </w:tr>
      <w:tr>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actual_load</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National electricity consumption (MW)</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is_ramadan</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int8</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Hijri Ramadan indicator</w:t>
            </w:r>
          </w:p>
        </w:tc>
      </w:tr>
      <w:tr>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is_eid</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int8</w:t>
            </w:r>
          </w:p>
        </w:tc>
        <w:tc>
          <w:tcPr>
            <w:tcW w:type="dxa" w:w="59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Eid al-Fitr indicator</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day_of_ramadan</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int8</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Day within Ramadan (0 if not Ramadan)</w:t>
            </w:r>
          </w:p>
        </w:tc>
      </w:tr>
      <w:tr>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hour</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int8</w:t>
            </w:r>
          </w:p>
        </w:tc>
        <w:tc>
          <w:tcPr>
            <w:tcW w:type="dxa" w:w="59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Hour of day (0–23, UTC)</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day_of_week</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int8</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Day of week (0=Mon … 6=Sun)</w:t>
            </w:r>
          </w:p>
        </w:tc>
      </w:tr>
      <w:tr>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month</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int8</w:t>
            </w:r>
          </w:p>
        </w:tc>
        <w:tc>
          <w:tcPr>
            <w:tcW w:type="dxa" w:w="59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Calendar month (1–12)</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load_lag_24h</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Lagged load at t−24 h</w:t>
            </w:r>
          </w:p>
        </w:tc>
      </w:tr>
      <w:tr>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load_lag_168h</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Lagged load at t−168 h</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load_rolling_mean_24h</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24 h causal rolling mean</w:t>
            </w:r>
          </w:p>
        </w:tc>
      </w:tr>
      <w:tr>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load_rolling_std_24h</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24 h causal rolling std</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load_rolling_mean_168h</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168 h causal rolling mean</w:t>
            </w:r>
          </w:p>
        </w:tc>
      </w:tr>
      <w:tr>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load_rolling_std_168h</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168 h causal rolling std</w:t>
            </w:r>
          </w:p>
        </w:tc>
      </w:tr>
    </w:tbl>
    <w:p>
      <w:pPr>
        <w:spacing w:after="60"/>
      </w:pPr>
      <w:r>
        <w:rPr>
          <w:rFonts w:ascii="Arial" w:cs="Arial" w:eastAsia="Arial" w:hAnsi="Arial"/>
        </w:rPr>
        <w:t xml:space="preserve"/>
      </w:r>
    </w:p>
    <w:p>
      <w:pPr>
        <w:pStyle w:val="Heading1"/>
        <w:pBdr>
          <w:bottom w:val="single" w:color="2E6DB4" w:sz="8" w:space="4"/>
        </w:pBdr>
        <w:spacing w:after="160" w:before="360"/>
      </w:pPr>
      <w:r>
        <w:rPr>
          <w:rFonts w:ascii="Arial" w:cs="Arial" w:eastAsia="Arial" w:hAnsi="Arial"/>
          <w:b/>
          <w:bCs/>
          <w:color w:val="1B3557"/>
          <w:sz w:val="32"/>
          <w:szCs w:val="32"/>
        </w:rPr>
        <w:t xml:space="preserve">4. Stage 2 — ERA5 Spatial Aggregation (Weather Proxy)</w:t>
      </w:r>
    </w:p>
    <w:p>
      <w:pPr>
        <w:pStyle w:val="Heading2"/>
        <w:spacing w:after="120" w:before="280"/>
      </w:pPr>
      <w:r>
        <w:rPr>
          <w:rFonts w:ascii="Arial" w:cs="Arial" w:eastAsia="Arial" w:hAnsi="Arial"/>
          <w:b/>
          <w:bCs/>
          <w:color w:val="2E6DB4"/>
          <w:sz w:val="26"/>
          <w:szCs w:val="26"/>
        </w:rPr>
        <w:t xml:space="preserve">4.1  Motivation for Population Weighting</w:t>
      </w:r>
    </w:p>
    <w:p>
      <w:pPr>
        <w:spacing w:after="120"/>
      </w:pPr>
      <w:r>
        <w:rPr>
          <w:rFonts w:ascii="Arial" w:cs="Arial" w:eastAsia="Arial" w:hAnsi="Arial"/>
          <w:sz w:val="21"/>
          <w:szCs w:val="21"/>
        </w:rPr>
        <w:t xml:space="preserve">Turkey spans ~1,600 km west-to-east and contains climatically distinct regions (Aegean coast, Central Anatolian plateau, Black Sea, Mediterranean, Southeast). A simple geographic centroid average would over-represent sparsely populated interior grid cells and under-weight the Istanbul megacity cluster, which alone accounts for over 20% of national electricity consumption. The population-weighted spatial aggregation corrects for this by assigning influence proportional to each city's contribution to total demand.</w:t>
      </w:r>
    </w:p>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4.2  City Node Configuration</w:t>
      </w:r>
    </w:p>
    <w:p>
      <w:pPr>
        <w:spacing w:after="120"/>
      </w:pPr>
      <w:r>
        <w:rPr>
          <w:rFonts w:ascii="Arial" w:cs="Arial" w:eastAsia="Arial" w:hAnsi="Arial"/>
          <w:sz w:val="21"/>
          <w:szCs w:val="21"/>
        </w:rPr>
        <w:t xml:space="preserve">Sixteen city nodes are defined, each with a geographic coordinate (latitude/longitude) and a pre-normalised weight. Weights are normalised internally so that they always sum to 1.0 regardless of any future node additions or removals. The configuration intentionally over-samples the Marmara and Central Anatolian regions, which jointly represent ~58% of national consumption, while ensuring geographic coverage of all five climatic macro-zones.</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400"/>
        <w:gridCol w:w="4060"/>
      </w:tblGrid>
      <w:tr>
        <w:trPr>
          <w:tblHeader/>
        </w:trPr>
        <w:tc>
          <w:tcPr>
            <w:tcW w:type="dxa" w:w="17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Region</w:t>
            </w:r>
          </w:p>
        </w:tc>
        <w:tc>
          <w:tcPr>
            <w:tcW w:type="dxa" w:w="22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Cities</w:t>
            </w:r>
          </w:p>
        </w:tc>
        <w:tc>
          <w:tcPr>
            <w:tcW w:type="dxa" w:w="14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Total Weight</w:t>
            </w:r>
          </w:p>
        </w:tc>
        <w:tc>
          <w:tcPr>
            <w:tcW w:type="dxa" w:w="40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Rationale</w:t>
            </w:r>
          </w:p>
        </w:tc>
      </w:tr>
      <w:tr>
        <w:tc>
          <w:tcPr>
            <w:tcW w:type="dxa" w:w="17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Marmara</w:t>
            </w:r>
          </w:p>
        </w:tc>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Istanbul, Kocaeli, Bursa</w:t>
            </w:r>
          </w:p>
        </w:tc>
        <w:tc>
          <w:tcPr>
            <w:tcW w:type="dxa" w:w="1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37%</w:t>
            </w:r>
          </w:p>
        </w:tc>
        <w:tc>
          <w:tcPr>
            <w:tcW w:type="dxa" w:w="40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Dominant consumption; heavy industry corridor</w:t>
            </w:r>
          </w:p>
        </w:tc>
      </w:tr>
      <w:tr>
        <w:tc>
          <w:tcPr>
            <w:tcW w:type="dxa" w:w="17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Central Anatolia</w:t>
            </w:r>
          </w:p>
        </w:tc>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Ankara, Konya, Kayseri</w:t>
            </w:r>
          </w:p>
        </w:tc>
        <w:tc>
          <w:tcPr>
            <w:tcW w:type="dxa" w:w="14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21%</w:t>
            </w:r>
          </w:p>
        </w:tc>
        <w:tc>
          <w:tcPr>
            <w:tcW w:type="dxa" w:w="40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Capital + plateau cities; continental climate</w:t>
            </w:r>
          </w:p>
        </w:tc>
      </w:tr>
      <w:tr>
        <w:tc>
          <w:tcPr>
            <w:tcW w:type="dxa" w:w="17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Mediterranean</w:t>
            </w:r>
          </w:p>
        </w:tc>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Adana, Antalya, Mersin</w:t>
            </w:r>
          </w:p>
        </w:tc>
        <w:tc>
          <w:tcPr>
            <w:tcW w:type="dxa" w:w="1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13%</w:t>
            </w:r>
          </w:p>
        </w:tc>
        <w:tc>
          <w:tcPr>
            <w:tcW w:type="dxa" w:w="40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Hottest cities; tourism and port loads</w:t>
            </w:r>
          </w:p>
        </w:tc>
      </w:tr>
      <w:tr>
        <w:tc>
          <w:tcPr>
            <w:tcW w:type="dxa" w:w="17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Southeast</w:t>
            </w:r>
          </w:p>
        </w:tc>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Gaziantep, Şanlıurfa, Diyarbakır</w:t>
            </w:r>
          </w:p>
        </w:tc>
        <w:tc>
          <w:tcPr>
            <w:tcW w:type="dxa" w:w="14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11%</w:t>
            </w:r>
          </w:p>
        </w:tc>
        <w:tc>
          <w:tcPr>
            <w:tcW w:type="dxa" w:w="40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Fast-growing industrial; GAP irrigation pumping</w:t>
            </w:r>
          </w:p>
        </w:tc>
      </w:tr>
      <w:tr>
        <w:tc>
          <w:tcPr>
            <w:tcW w:type="dxa" w:w="17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Aegean</w:t>
            </w:r>
          </w:p>
        </w:tc>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Izmir</w:t>
            </w:r>
          </w:p>
        </w:tc>
        <w:tc>
          <w:tcPr>
            <w:tcW w:type="dxa" w:w="1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7%</w:t>
            </w:r>
          </w:p>
        </w:tc>
        <w:tc>
          <w:tcPr>
            <w:tcW w:type="dxa" w:w="40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3rd largest city; distinct coastal climate</w:t>
            </w:r>
          </w:p>
        </w:tc>
      </w:tr>
      <w:tr>
        <w:tc>
          <w:tcPr>
            <w:tcW w:type="dxa" w:w="17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Black Sea</w:t>
            </w:r>
          </w:p>
        </w:tc>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Samsun, Trabzon</w:t>
            </w:r>
          </w:p>
        </w:tc>
        <w:tc>
          <w:tcPr>
            <w:tcW w:type="dxa" w:w="14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5%</w:t>
            </w:r>
          </w:p>
        </w:tc>
        <w:tc>
          <w:tcPr>
            <w:tcW w:type="dxa" w:w="40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Humid temperate; hydropower region</w:t>
            </w:r>
          </w:p>
        </w:tc>
      </w:tr>
      <w:tr>
        <w:tc>
          <w:tcPr>
            <w:tcW w:type="dxa" w:w="17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Eastern Anatolia</w:t>
            </w:r>
          </w:p>
        </w:tc>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Erzurum</w:t>
            </w:r>
          </w:p>
        </w:tc>
        <w:tc>
          <w:tcPr>
            <w:tcW w:type="dxa" w:w="1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2%</w:t>
            </w:r>
          </w:p>
        </w:tc>
        <w:tc>
          <w:tcPr>
            <w:tcW w:type="dxa" w:w="40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Extreme winter; high-altitude anchor node</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4.3  ERA5 Variable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160"/>
        <w:gridCol w:w="3500"/>
      </w:tblGrid>
      <w:tr>
        <w:trPr>
          <w:tblHeader/>
        </w:trPr>
        <w:tc>
          <w:tcPr>
            <w:tcW w:type="dxa" w:w="11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Short name</w:t>
            </w:r>
          </w:p>
        </w:tc>
        <w:tc>
          <w:tcPr>
            <w:tcW w:type="dxa" w:w="26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ERA5 long name</w:t>
            </w:r>
          </w:p>
        </w:tc>
        <w:tc>
          <w:tcPr>
            <w:tcW w:type="dxa" w:w="21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Output feature</w:t>
            </w:r>
          </w:p>
        </w:tc>
        <w:tc>
          <w:tcPr>
            <w:tcW w:type="dxa" w:w="35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Unit</w:t>
            </w:r>
          </w:p>
        </w:tc>
      </w:tr>
      <w:tr>
        <w:tc>
          <w:tcPr>
            <w:tcW w:type="dxa" w:w="11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t2m</w:t>
            </w:r>
          </w:p>
        </w:tc>
        <w:tc>
          <w:tcPr>
            <w:tcW w:type="dxa" w:w="26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2m temperature</w:t>
            </w:r>
          </w:p>
        </w:tc>
        <w:tc>
          <w:tcPr>
            <w:tcW w:type="dxa" w:w="21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temp_c</w:t>
            </w:r>
          </w:p>
        </w:tc>
        <w:tc>
          <w:tcPr>
            <w:tcW w:type="dxa" w:w="35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°C (converted from K)</w:t>
            </w:r>
          </w:p>
        </w:tc>
      </w:tr>
      <w:tr>
        <w:tc>
          <w:tcPr>
            <w:tcW w:type="dxa" w:w="11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d2m</w:t>
            </w:r>
          </w:p>
        </w:tc>
        <w:tc>
          <w:tcPr>
            <w:tcW w:type="dxa" w:w="26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2m dewpoint temperature</w:t>
            </w:r>
          </w:p>
        </w:tc>
        <w:tc>
          <w:tcPr>
            <w:tcW w:type="dxa" w:w="21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dewpoint_c</w:t>
            </w:r>
          </w:p>
        </w:tc>
        <w:tc>
          <w:tcPr>
            <w:tcW w:type="dxa" w:w="35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 (converted from K)</w:t>
            </w:r>
          </w:p>
        </w:tc>
      </w:tr>
      <w:tr>
        <w:tc>
          <w:tcPr>
            <w:tcW w:type="dxa" w:w="11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u10</w:t>
            </w:r>
          </w:p>
        </w:tc>
        <w:tc>
          <w:tcPr>
            <w:tcW w:type="dxa" w:w="26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10m U wind component</w:t>
            </w:r>
          </w:p>
        </w:tc>
        <w:tc>
          <w:tcPr>
            <w:tcW w:type="dxa" w:w="21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wind_speed (partial)</w:t>
            </w:r>
          </w:p>
        </w:tc>
        <w:tc>
          <w:tcPr>
            <w:tcW w:type="dxa" w:w="35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m/s</w:t>
            </w:r>
          </w:p>
        </w:tc>
      </w:tr>
      <w:tr>
        <w:tc>
          <w:tcPr>
            <w:tcW w:type="dxa" w:w="11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v10</w:t>
            </w:r>
          </w:p>
        </w:tc>
        <w:tc>
          <w:tcPr>
            <w:tcW w:type="dxa" w:w="26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10m V wind component</w:t>
            </w:r>
          </w:p>
        </w:tc>
        <w:tc>
          <w:tcPr>
            <w:tcW w:type="dxa" w:w="21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wind_speed (partial)</w:t>
            </w:r>
          </w:p>
        </w:tc>
        <w:tc>
          <w:tcPr>
            <w:tcW w:type="dxa" w:w="35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m/s</w:t>
            </w:r>
          </w:p>
        </w:tc>
      </w:tr>
      <w:tr>
        <w:tc>
          <w:tcPr>
            <w:tcW w:type="dxa" w:w="11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ssrd</w:t>
            </w:r>
          </w:p>
        </w:tc>
        <w:tc>
          <w:tcPr>
            <w:tcW w:type="dxa" w:w="26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Surface solar radiation downwards</w:t>
            </w:r>
          </w:p>
        </w:tc>
        <w:tc>
          <w:tcPr>
            <w:tcW w:type="dxa" w:w="21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solar_rad</w:t>
            </w:r>
          </w:p>
        </w:tc>
        <w:tc>
          <w:tcPr>
            <w:tcW w:type="dxa" w:w="35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W/m² (de-accumulated)</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4.4  Nearest-Neighbour Grid Lookup</w:t>
      </w:r>
    </w:p>
    <w:p>
      <w:pPr>
        <w:spacing w:after="120"/>
      </w:pPr>
      <w:r>
        <w:rPr>
          <w:rFonts w:ascii="Arial" w:cs="Arial" w:eastAsia="Arial" w:hAnsi="Arial"/>
          <w:sz w:val="21"/>
          <w:szCs w:val="21"/>
        </w:rPr>
        <w:t xml:space="preserve">ERA5 reanalysis is delivered on a 0.25° regular latitude-longitude grid (~28 km at Turkey's latitude). For each city node, the pipeline selects the single nearest ERA5 grid cell using xarray's </w:t>
      </w:r>
      <w:r>
        <w:rPr>
          <w:rFonts w:ascii="Courier New" w:cs="Courier New" w:eastAsia="Courier New" w:hAnsi="Courier New"/>
          <w:sz w:val="18"/>
          <w:szCs w:val="18"/>
        </w:rPr>
        <w:t xml:space="preserve">sel(..., method='nearest')</w:t>
      </w:r>
      <w:r>
        <w:rPr>
          <w:rFonts w:ascii="Arial" w:cs="Arial" w:eastAsia="Arial" w:hAnsi="Arial"/>
          <w:sz w:val="21"/>
          <w:szCs w:val="21"/>
        </w:rPr>
        <w:t xml:space="preserve">. This is appropriate given that: (a) city-level climate signals dominate over sub-grid fine structure for the purpose of a demand model, and (b) the 0.25° resolution is already sufficient to distinguish Istanbul's maritime influence from Ankara's continental regime.</w:t>
      </w:r>
    </w:p>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4.5  SSRD De-accumulation</w:t>
      </w:r>
    </w:p>
    <w:p>
      <w:pPr>
        <w:spacing w:after="120"/>
      </w:pPr>
      <w:r>
        <w:rPr>
          <w:rFonts w:ascii="Arial" w:cs="Arial" w:eastAsia="Arial" w:hAnsi="Arial"/>
          <w:sz w:val="21"/>
          <w:szCs w:val="21"/>
        </w:rPr>
        <w:t xml:space="preserve">ERA5 surface solar radiation (SSRD) is stored as a </w:t>
      </w:r>
      <w:r>
        <w:rPr>
          <w:rFonts w:ascii="Arial" w:cs="Arial" w:eastAsia="Arial" w:hAnsi="Arial"/>
          <w:b/>
          <w:bCs/>
          <w:sz w:val="21"/>
          <w:szCs w:val="21"/>
        </w:rPr>
        <w:t xml:space="preserve">daily accumulation that resets to zero at 00:00 UTC</w:t>
      </w:r>
      <w:r>
        <w:rPr>
          <w:rFonts w:ascii="Arial" w:cs="Arial" w:eastAsia="Arial" w:hAnsi="Arial"/>
          <w:sz w:val="21"/>
          <w:szCs w:val="21"/>
        </w:rPr>
        <w:t xml:space="preserve"> each day, not as an instantaneous power value. The pipeline converts it to hourly average irradiance (W/m²) via first-order differencing:</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7" w:sz="4"/>
              <w:left w:val="single" w:color="1B3557" w:sz="4"/>
              <w:bottom w:val="single" w:color="1B3557" w:sz="4"/>
              <w:right w:val="single" w:color="1B3557" w:sz="4"/>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7"/>
                <w:szCs w:val="17"/>
              </w:rPr>
              <w:t xml:space="preserve">if variable in ACCUMULATED_VARS:   # {'ssrd'}</w:t>
            </w:r>
          </w:p>
          <w:p>
            <w:pPr>
              <w:spacing w:after="0"/>
            </w:pPr>
            <w:r>
              <w:rPr>
                <w:rFonts w:ascii="Courier New" w:cs="Courier New" w:eastAsia="Courier New" w:hAnsi="Courier New"/>
                <w:color w:val="D4D4D4"/>
                <w:sz w:val="17"/>
                <w:szCs w:val="17"/>
              </w:rPr>
              <w:t xml:space="preserve">    point = point.diff()           # hourly increment (J/m² → W/m² when divided by 3600)</w:t>
            </w:r>
          </w:p>
          <w:p>
            <w:pPr>
              <w:spacing w:after="0"/>
            </w:pPr>
            <w:r>
              <w:rPr>
                <w:rFonts w:ascii="Courier New" w:cs="Courier New" w:eastAsia="Courier New" w:hAnsi="Courier New"/>
                <w:color w:val="D4D4D4"/>
                <w:sz w:val="17"/>
                <w:szCs w:val="17"/>
              </w:rPr>
              <w:t xml:space="preserve">             .clip(lower=0)        # remove negative spike at 00:00 UTC reset</w:t>
            </w:r>
          </w:p>
          <w:p>
            <w:pPr>
              <w:spacing w:after="0"/>
            </w:pPr>
            <w:r>
              <w:rPr>
                <w:rFonts w:ascii="Courier New" w:cs="Courier New" w:eastAsia="Courier New" w:hAnsi="Courier New"/>
                <w:color w:val="D4D4D4"/>
                <w:sz w:val="17"/>
                <w:szCs w:val="17"/>
              </w:rPr>
              <w:t xml:space="preserve">             .fillna(0)            # NaN at the first time step → pre-dawn = 0</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16"/>
              <w:bottom w:val="none" w:color="FFFFFF" w:sz="0"/>
              <w:right w:val="single" w:color="BECFE8" w:sz="4"/>
            </w:tcBorders>
            <w:shd w:fill="D0E4F5" w:val="clear"/>
            <w:tcMar>
              <w:top w:type="dxa" w:w="80"/>
              <w:left w:type="dxa" w:w="160"/>
              <w:bottom w:type="dxa" w:w="80"/>
              <w:right w:type="dxa" w:w="160"/>
            </w:tcMar>
          </w:tcPr>
          <w:p>
            <w:pPr>
              <w:spacing w:after="0"/>
            </w:pPr>
            <w:r>
              <w:rPr>
                <w:rFonts w:ascii="Arial" w:cs="Arial" w:eastAsia="Arial" w:hAnsi="Arial"/>
                <w:b/>
                <w:bCs/>
                <w:color w:val="1B3557"/>
                <w:sz w:val="20"/>
                <w:szCs w:val="20"/>
              </w:rPr>
              <w:t xml:space="preserve">Physical interpretation of the 00:00 UTC reset artefact</w:t>
            </w:r>
          </w:p>
        </w:tc>
      </w:tr>
      <w:tr>
        <w:tc>
          <w:tcPr>
            <w:tcW w:type="dxa" w:w="9360"/>
            <w:tcBorders>
              <w:top w:val="none" w:color="FFFFFF" w:sz="0"/>
              <w:left w:val="single" w:color="2E6DB4" w:sz="16"/>
              <w:bottom w:val="single" w:color="2E6DB4" w:sz="4"/>
              <w:right w:val="single" w:color="BECFE8" w:sz="4"/>
            </w:tcBorders>
            <w:shd w:fill="EBF2FA" w:val="clear"/>
            <w:tcMar>
              <w:top w:type="dxa" w:w="80"/>
              <w:left w:type="dxa" w:w="200"/>
              <w:bottom w:type="dxa" w:w="100"/>
              <w:right w:type="dxa" w:w="160"/>
            </w:tcMar>
          </w:tcPr>
          <w:p>
            <w:pPr>
              <w:spacing w:after="60"/>
            </w:pPr>
            <w:r>
              <w:rPr>
                <w:rFonts w:ascii="Arial" w:cs="Arial" w:eastAsia="Arial" w:hAnsi="Arial"/>
                <w:sz w:val="19"/>
                <w:szCs w:val="19"/>
              </w:rPr>
              <w:t xml:space="preserve">At exactly 00:00 UTC each day, ERA5 resets the SSRD accumulator to zero. The previous hour's accumulator value was non-zero, so diff() at 00:00 gives a large negative number.</w:t>
            </w:r>
          </w:p>
          <w:p>
            <w:pPr>
              <w:spacing w:after="60"/>
            </w:pPr>
            <w:r>
              <w:rPr>
                <w:rFonts w:ascii="Arial" w:cs="Arial" w:eastAsia="Arial" w:hAnsi="Arial"/>
                <w:sz w:val="19"/>
                <w:szCs w:val="19"/>
              </w:rPr>
              <w:t xml:space="preserve">This is not a physical event (solar radiation cannot be negative); it is a data artefact of the accumulation scheme. clip(lower=0) removes it, and the true solar contribution at 00:00 UTC (deep night for Turkey) is correctly represented as ~0 W/m².</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4.6  Weighted Aggregation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7" w:sz="4"/>
              <w:left w:val="single" w:color="1B3557" w:sz="4"/>
              <w:bottom w:val="single" w:color="1B3557" w:sz="4"/>
              <w:right w:val="single" w:color="1B3557" w:sz="4"/>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7"/>
                <w:szCs w:val="17"/>
              </w:rPr>
              <w:t xml:space="preserve">total_w = sum(c['w'] for c in CITIES.values())   # normalisation denominator</w:t>
            </w:r>
          </w:p>
          <w:p>
            <w:pPr>
              <w:spacing w:after="0"/>
            </w:pPr>
            <w:r>
              <w:rPr>
                <w:rFonts w:ascii="Courier New" w:cs="Courier New" w:eastAsia="Courier New" w:hAnsi="Courier New"/>
                <w:color w:val="D4D4D4"/>
                <w:sz w:val="17"/>
                <w:szCs w:val="17"/>
              </w:rPr>
              <w:t xml:space="preserve"/>
            </w:r>
          </w:p>
          <w:p>
            <w:pPr>
              <w:spacing w:after="0"/>
            </w:pPr>
            <w:r>
              <w:rPr>
                <w:rFonts w:ascii="Courier New" w:cs="Courier New" w:eastAsia="Courier New" w:hAnsi="Courier New"/>
                <w:color w:val="D4D4D4"/>
                <w:sz w:val="17"/>
                <w:szCs w:val="17"/>
              </w:rPr>
              <w:t xml:space="preserve">for city_name, city in CITIES.items():</w:t>
            </w:r>
          </w:p>
          <w:p>
            <w:pPr>
              <w:spacing w:after="0"/>
            </w:pPr>
            <w:r>
              <w:rPr>
                <w:rFonts w:ascii="Courier New" w:cs="Courier New" w:eastAsia="Courier New" w:hAnsi="Courier New"/>
                <w:color w:val="D4D4D4"/>
                <w:sz w:val="17"/>
                <w:szCs w:val="17"/>
              </w:rPr>
              <w:t xml:space="preserve">    point = ds[var].sel(lat=city['lat'], lon=city['lon'], method='nearest').compute()</w:t>
            </w:r>
          </w:p>
          <w:p>
            <w:pPr>
              <w:spacing w:after="0"/>
            </w:pPr>
            <w:r>
              <w:rPr>
                <w:rFonts w:ascii="Courier New" w:cs="Courier New" w:eastAsia="Courier New" w:hAnsi="Courier New"/>
                <w:color w:val="D4D4D4"/>
                <w:sz w:val="17"/>
                <w:szCs w:val="17"/>
              </w:rPr>
              <w:t xml:space="preserve">    w     = city['w'] / total_w                  # normalised weight</w:t>
            </w:r>
          </w:p>
          <w:p>
            <w:pPr>
              <w:spacing w:after="0"/>
            </w:pPr>
            <w:r>
              <w:rPr>
                <w:rFonts w:ascii="Courier New" w:cs="Courier New" w:eastAsia="Courier New" w:hAnsi="Courier New"/>
                <w:color w:val="D4D4D4"/>
                <w:sz w:val="17"/>
                <w:szCs w:val="17"/>
              </w:rPr>
              <w:t xml:space="preserve">    weighted = point * w if weighted is None else weighted + point * w</w:t>
            </w:r>
          </w:p>
          <w:p>
            <w:pPr>
              <w:spacing w:after="0"/>
            </w:pPr>
            <w:r>
              <w:rPr>
                <w:rFonts w:ascii="Courier New" w:cs="Courier New" w:eastAsia="Courier New" w:hAnsi="Courier New"/>
                <w:color w:val="D4D4D4"/>
                <w:sz w:val="17"/>
                <w:szCs w:val="17"/>
              </w:rPr>
              <w:t xml:space="preserve"/>
            </w:r>
          </w:p>
          <w:p>
            <w:pPr>
              <w:spacing w:after="0"/>
            </w:pPr>
            <w:r>
              <w:rPr>
                <w:rFonts w:ascii="Courier New" w:cs="Courier New" w:eastAsia="Courier New" w:hAnsi="Courier New"/>
                <w:color w:val="D4D4D4"/>
                <w:sz w:val="17"/>
                <w:szCs w:val="17"/>
              </w:rPr>
              <w:t xml:space="preserve"># Result: weighted is a population-weighted hourly scalar series for the variable</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4.7  Canonical Time Index Alignment</w:t>
      </w:r>
    </w:p>
    <w:p>
      <w:pPr>
        <w:spacing w:after="120"/>
      </w:pPr>
      <w:r>
        <w:rPr>
          <w:rFonts w:ascii="Arial" w:cs="Arial" w:eastAsia="Arial" w:hAnsi="Arial"/>
          <w:sz w:val="21"/>
          <w:szCs w:val="21"/>
        </w:rPr>
        <w:t xml:space="preserve">Every variable series is reindexed onto a pre-computed canonical UTC index spanning 2018-01-01 00:00 to 2025-12-31 23:00 (</w:t>
      </w:r>
      <w:r>
        <w:rPr>
          <w:rFonts w:ascii="Courier New" w:cs="Courier New" w:eastAsia="Courier New" w:hAnsi="Courier New"/>
          <w:sz w:val="18"/>
          <w:szCs w:val="18"/>
        </w:rPr>
        <w:t xml:space="preserve">FULL_INDEX</w:t>
      </w:r>
      <w:r>
        <w:rPr>
          <w:rFonts w:ascii="Arial" w:cs="Arial" w:eastAsia="Arial" w:hAnsi="Arial"/>
          <w:sz w:val="21"/>
          <w:szCs w:val="21"/>
        </w:rPr>
        <w:t xml:space="preserve">). This ensures that: (a) missing year files produce NaN rows rather than silent gaps that would shift subsequent row indices, and (b) the weather proxy always has exactly the same length and timestamps as the load DataFrame before merging.</w:t>
      </w:r>
    </w:p>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4.8  Physical Range Assertions</w:t>
      </w:r>
    </w:p>
    <w:p>
      <w:pPr>
        <w:spacing w:after="120"/>
      </w:pPr>
      <w:r>
        <w:rPr>
          <w:rFonts w:ascii="Arial" w:cs="Arial" w:eastAsia="Arial" w:hAnsi="Arial"/>
          <w:sz w:val="21"/>
          <w:szCs w:val="21"/>
        </w:rPr>
        <w:t xml:space="preserve">After constructing the weather DataFrame, three assertion checks enforce physical plausibility:</w:t>
      </w:r>
    </w:p>
    <w:p>
      <w:pPr>
        <w:pStyle w:val="ListParagraph"/>
        <w:numPr>
          <w:ilvl w:val="0"/>
          <w:numId w:val="2"/>
        </w:numPr>
        <w:spacing w:after="80"/>
      </w:pPr>
      <w:r>
        <w:rPr>
          <w:rFonts w:ascii="Arial" w:cs="Arial" w:eastAsia="Arial" w:hAnsi="Arial"/>
          <w:b/>
          <w:bCs/>
        </w:rPr>
        <w:t xml:space="preserve">Temperature: </w:t>
      </w:r>
      <w:r>
        <w:rPr>
          <w:rFonts w:ascii="Arial" w:cs="Arial" w:eastAsia="Arial" w:hAnsi="Arial"/>
        </w:rPr>
        <w:t xml:space="preserve">-60°C &lt; temp_c &lt; 60°C — catches K→°C conversion failures</w:t>
      </w:r>
    </w:p>
    <w:p>
      <w:pPr>
        <w:pStyle w:val="ListParagraph"/>
        <w:numPr>
          <w:ilvl w:val="0"/>
          <w:numId w:val="2"/>
        </w:numPr>
        <w:spacing w:after="80"/>
      </w:pPr>
      <w:r>
        <w:rPr>
          <w:rFonts w:ascii="Arial" w:cs="Arial" w:eastAsia="Arial" w:hAnsi="Arial"/>
          <w:b/>
          <w:bCs/>
        </w:rPr>
        <w:t xml:space="preserve">Solar radiation: </w:t>
      </w:r>
      <w:r>
        <w:rPr>
          <w:rFonts w:ascii="Arial" w:cs="Arial" w:eastAsia="Arial" w:hAnsi="Arial"/>
        </w:rPr>
        <w:t xml:space="preserve">solar_rad ≥ 0 — detects residual de-accumulation errors</w:t>
      </w:r>
    </w:p>
    <w:p>
      <w:pPr>
        <w:pStyle w:val="ListParagraph"/>
        <w:numPr>
          <w:ilvl w:val="0"/>
          <w:numId w:val="2"/>
        </w:numPr>
        <w:spacing w:after="80"/>
      </w:pPr>
      <w:r>
        <w:rPr>
          <w:rFonts w:ascii="Arial" w:cs="Arial" w:eastAsia="Arial" w:hAnsi="Arial"/>
          <w:b/>
          <w:bCs/>
        </w:rPr>
        <w:t xml:space="preserve">Wind speed: </w:t>
      </w:r>
      <w:r>
        <w:rPr>
          <w:rFonts w:ascii="Arial" w:cs="Arial" w:eastAsia="Arial" w:hAnsi="Arial"/>
        </w:rPr>
        <w:t xml:space="preserve">wind_speed ≥ 0 — validates the √(u² + v²) computation</w:t>
      </w:r>
    </w:p>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4.9  Stage 2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Column</w:t>
            </w:r>
          </w:p>
        </w:tc>
        <w:tc>
          <w:tcPr>
            <w:tcW w:type="dxa" w:w="12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Dtype</w:t>
            </w:r>
          </w:p>
        </w:tc>
        <w:tc>
          <w:tcPr>
            <w:tcW w:type="dxa" w:w="59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Description</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timestamp</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datetime64[UTC]</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Hourly UTC index</w:t>
            </w:r>
          </w:p>
        </w:tc>
      </w:tr>
      <w:tr>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temp_c</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Pop-weighted 2 m temperature (°C)</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dewpoint_c</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Pop-weighted 2 m dewpoint temperature (°C)</w:t>
            </w:r>
          </w:p>
        </w:tc>
      </w:tr>
      <w:tr>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wind_speed</w:t>
            </w:r>
          </w:p>
        </w:tc>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Pop-weighted 10 m wind speed magnitude (m/s)</w:t>
            </w:r>
          </w:p>
        </w:tc>
      </w:tr>
      <w:tr>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solar_rad</w:t>
            </w:r>
          </w:p>
        </w:tc>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float64</w:t>
            </w:r>
          </w:p>
        </w:tc>
        <w:tc>
          <w:tcPr>
            <w:tcW w:type="dxa" w:w="59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Pop-weighted surface solar radiation (W/m², de-accumulated)</w:t>
            </w:r>
          </w:p>
        </w:tc>
      </w:tr>
    </w:tbl>
    <w:p>
      <w:pPr>
        <w:spacing w:after="60"/>
      </w:pPr>
      <w:r>
        <w:rPr>
          <w:rFonts w:ascii="Arial" w:cs="Arial" w:eastAsia="Arial" w:hAnsi="Arial"/>
        </w:rPr>
        <w:t xml:space="preserve"/>
      </w:r>
    </w:p>
    <w:p>
      <w:pPr>
        <w:pStyle w:val="Heading1"/>
        <w:pBdr>
          <w:bottom w:val="single" w:color="2E6DB4" w:sz="8" w:space="4"/>
        </w:pBdr>
        <w:spacing w:after="160" w:before="360"/>
      </w:pPr>
      <w:r>
        <w:rPr>
          <w:rFonts w:ascii="Arial" w:cs="Arial" w:eastAsia="Arial" w:hAnsi="Arial"/>
          <w:b/>
          <w:bCs/>
          <w:color w:val="1B3557"/>
          <w:sz w:val="32"/>
          <w:szCs w:val="32"/>
        </w:rPr>
        <w:t xml:space="preserve">5. Stage 3 — Dataset Merging &amp; Final Validation</w:t>
      </w:r>
    </w:p>
    <w:p>
      <w:pPr>
        <w:pStyle w:val="Heading2"/>
        <w:spacing w:after="120" w:before="280"/>
      </w:pPr>
      <w:r>
        <w:rPr>
          <w:rFonts w:ascii="Arial" w:cs="Arial" w:eastAsia="Arial" w:hAnsi="Arial"/>
          <w:b/>
          <w:bCs/>
          <w:color w:val="2E6DB4"/>
          <w:sz w:val="26"/>
          <w:szCs w:val="26"/>
        </w:rPr>
        <w:t xml:space="preserve">5.1  Merge Strategy</w:t>
      </w:r>
    </w:p>
    <w:p>
      <w:pPr>
        <w:spacing w:after="120"/>
      </w:pPr>
      <w:r>
        <w:rPr>
          <w:rFonts w:ascii="Arial" w:cs="Arial" w:eastAsia="Arial" w:hAnsi="Arial"/>
          <w:sz w:val="21"/>
          <w:szCs w:val="21"/>
        </w:rPr>
        <w:t xml:space="preserve">The weather proxy is joined onto the load DataFrame using a </w:t>
      </w:r>
      <w:r>
        <w:rPr>
          <w:rFonts w:ascii="Arial" w:cs="Arial" w:eastAsia="Arial" w:hAnsi="Arial"/>
          <w:b/>
          <w:bCs/>
          <w:sz w:val="21"/>
          <w:szCs w:val="21"/>
        </w:rPr>
        <w:t xml:space="preserve">left join on the UTC timestamp index</w:t>
      </w:r>
      <w:r>
        <w:rPr>
          <w:rFonts w:ascii="Arial" w:cs="Arial" w:eastAsia="Arial" w:hAnsi="Arial"/>
          <w:sz w:val="21"/>
          <w:szCs w:val="21"/>
        </w:rPr>
        <w:t xml:space="preserve">. The left join is deliberate: the load DataFrame is the authoritative source of truth for temporal coverage. Any ERA5 timestep that does not match an EPIAS record (e.g., future dates covered by ERA5 but not yet published by EPIAS) is implicitly excluded.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7" w:sz="4"/>
              <w:left w:val="single" w:color="1B3557" w:sz="4"/>
              <w:bottom w:val="single" w:color="1B3557" w:sz="4"/>
              <w:right w:val="single" w:color="1B3557" w:sz="4"/>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7"/>
                <w:szCs w:val="17"/>
              </w:rPr>
              <w:t xml:space="preserve">final = load_df.merge(weather_df, left_index=True, right_index=True, how='left')</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5.2  Post-Merge Interpolation</w:t>
      </w:r>
    </w:p>
    <w:p>
      <w:pPr>
        <w:spacing w:after="120"/>
      </w:pPr>
      <w:r>
        <w:rPr>
          <w:rFonts w:ascii="Arial" w:cs="Arial" w:eastAsia="Arial" w:hAnsi="Arial"/>
          <w:sz w:val="21"/>
          <w:szCs w:val="21"/>
        </w:rPr>
        <w:t xml:space="preserve">After merging, a </w:t>
      </w:r>
      <w:r>
        <w:rPr>
          <w:rFonts w:ascii="Arial" w:cs="Arial" w:eastAsia="Arial" w:hAnsi="Arial"/>
          <w:b/>
          <w:bCs/>
          <w:sz w:val="21"/>
          <w:szCs w:val="21"/>
        </w:rPr>
        <w:t xml:space="preserve">time-method linear interpolation</w:t>
      </w:r>
      <w:r>
        <w:rPr>
          <w:rFonts w:ascii="Arial" w:cs="Arial" w:eastAsia="Arial" w:hAnsi="Arial"/>
          <w:sz w:val="21"/>
          <w:szCs w:val="21"/>
        </w:rPr>
        <w:t xml:space="preserve"> with a maximum gap limit of 3 consecutive hours is applied to weather columns only. The </w:t>
      </w:r>
      <w:r>
        <w:rPr>
          <w:rFonts w:ascii="Courier New" w:cs="Courier New" w:eastAsia="Courier New" w:hAnsi="Courier New"/>
          <w:sz w:val="18"/>
          <w:szCs w:val="18"/>
        </w:rPr>
        <w:t xml:space="preserve">limit=3</w:t>
      </w:r>
      <w:r>
        <w:rPr>
          <w:rFonts w:ascii="Arial" w:cs="Arial" w:eastAsia="Arial" w:hAnsi="Arial"/>
          <w:sz w:val="21"/>
          <w:szCs w:val="21"/>
        </w:rPr>
        <w:t xml:space="preserve"> parameter is critical: it prevents inadvertent silent gap-filling for stretches where an entire ERA5 annual file is missing, which would otherwise be filled with stale extrapolated values. Gaps exceeding 3 hours are preserved as NaN and flagged in the console output for manual review.</w:t>
      </w:r>
    </w:p>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5.3  Dual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File</w:t>
            </w:r>
          </w:p>
        </w:tc>
        <w:tc>
          <w:tcPr>
            <w:tcW w:type="dxa" w:w="32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Purpose</w:t>
            </w:r>
          </w:p>
        </w:tc>
        <w:tc>
          <w:tcPr>
            <w:tcW w:type="dxa" w:w="37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Audience</w:t>
            </w:r>
          </w:p>
        </w:tc>
      </w:tr>
      <w:tr>
        <w:tc>
          <w:tcPr>
            <w:tcW w:type="dxa" w:w="2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weather_proxy.csv</w:t>
            </w:r>
          </w:p>
        </w:tc>
        <w:tc>
          <w:tcPr>
            <w:tcW w:type="dxa" w:w="3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Standalone weather time series</w:t>
            </w:r>
          </w:p>
        </w:tc>
        <w:tc>
          <w:tcPr>
            <w:tcW w:type="dxa" w:w="3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EDA, external validation, re-use in other experiments</w:t>
            </w:r>
          </w:p>
        </w:tc>
      </w:tr>
      <w:tr>
        <w:tc>
          <w:tcPr>
            <w:tcW w:type="dxa" w:w="24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final_training_set_v1.csv</w:t>
            </w:r>
          </w:p>
        </w:tc>
        <w:tc>
          <w:tcPr>
            <w:tcW w:type="dxa" w:w="3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Complete ML-ready dataset</w:t>
            </w:r>
          </w:p>
        </w:tc>
        <w:tc>
          <w:tcPr>
            <w:tcW w:type="dxa" w:w="37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Direct input to all models in the benchmarking study</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5.4  Final Dataset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16"/>
              <w:bottom w:val="none" w:color="FFFFFF" w:sz="0"/>
              <w:right w:val="single" w:color="BECFE8" w:sz="4"/>
            </w:tcBorders>
            <w:shd w:fill="D0E4F5" w:val="clear"/>
            <w:tcMar>
              <w:top w:type="dxa" w:w="80"/>
              <w:left w:type="dxa" w:w="160"/>
              <w:bottom w:type="dxa" w:w="80"/>
              <w:right w:type="dxa" w:w="160"/>
            </w:tcMar>
          </w:tcPr>
          <w:p>
            <w:pPr>
              <w:spacing w:after="0"/>
            </w:pPr>
            <w:r>
              <w:rPr>
                <w:rFonts w:ascii="Arial" w:cs="Arial" w:eastAsia="Arial" w:hAnsi="Arial"/>
                <w:b/>
                <w:bCs/>
                <w:color w:val="1A6B3C"/>
                <w:sz w:val="20"/>
                <w:szCs w:val="20"/>
              </w:rPr>
              <w:t xml:space="preserve">Expected Output Statistics</w:t>
            </w:r>
          </w:p>
        </w:tc>
      </w:tr>
      <w:tr>
        <w:tc>
          <w:tcPr>
            <w:tcW w:type="dxa" w:w="9360"/>
            <w:tcBorders>
              <w:top w:val="none" w:color="FFFFFF" w:sz="0"/>
              <w:left w:val="single" w:color="2E6DB4" w:sz="16"/>
              <w:bottom w:val="single" w:color="2E6DB4" w:sz="4"/>
              <w:right w:val="single" w:color="BECFE8" w:sz="4"/>
            </w:tcBorders>
            <w:shd w:fill="E8F5EE" w:val="clear"/>
            <w:tcMar>
              <w:top w:type="dxa" w:w="80"/>
              <w:left w:type="dxa" w:w="200"/>
              <w:bottom w:type="dxa" w:w="100"/>
              <w:right w:type="dxa" w:w="160"/>
            </w:tcMar>
          </w:tcPr>
          <w:p>
            <w:pPr>
              <w:spacing w:after="60"/>
            </w:pPr>
            <w:r>
              <w:rPr>
                <w:rFonts w:ascii="Arial" w:cs="Arial" w:eastAsia="Arial" w:hAnsi="Arial"/>
                <w:sz w:val="19"/>
                <w:szCs w:val="19"/>
              </w:rPr>
              <w:t xml:space="preserve">• Rows:          70,128  (2018-01-01 00:00 UTC  →  2025-12-31 23:00 UTC, hourly, no gaps)</w:t>
            </w:r>
          </w:p>
          <w:p>
            <w:pPr>
              <w:spacing w:after="60"/>
            </w:pPr>
            <w:r>
              <w:rPr>
                <w:rFonts w:ascii="Arial" w:cs="Arial" w:eastAsia="Arial" w:hAnsi="Arial"/>
                <w:sz w:val="19"/>
                <w:szCs w:val="19"/>
              </w:rPr>
              <w:t xml:space="preserve">• Columns:       18 features + 1 target (actual_load)</w:t>
            </w:r>
          </w:p>
          <w:p>
            <w:pPr>
              <w:spacing w:after="60"/>
            </w:pPr>
            <w:r>
              <w:rPr>
                <w:rFonts w:ascii="Arial" w:cs="Arial" w:eastAsia="Arial" w:hAnsi="Arial"/>
                <w:sz w:val="19"/>
                <w:szCs w:val="19"/>
              </w:rPr>
              <w:t xml:space="preserve">• Target range:  ~25,000 MW (minimum, winter nights) to ~90,000 MW (summer heatwave peaks)</w:t>
            </w:r>
          </w:p>
          <w:p>
            <w:pPr>
              <w:spacing w:after="60"/>
            </w:pPr>
            <w:r>
              <w:rPr>
                <w:rFonts w:ascii="Arial" w:cs="Arial" w:eastAsia="Arial" w:hAnsi="Arial"/>
                <w:sz w:val="19"/>
                <w:szCs w:val="19"/>
              </w:rPr>
              <w:t xml:space="preserve">• NaN budget:    0 rows after interpolation (confirmed by console assertion)</w:t>
            </w:r>
          </w:p>
        </w:tc>
      </w:tr>
    </w:tbl>
    <w:p>
      <w:pPr>
        <w:spacing w:after="60"/>
      </w:pPr>
      <w:r>
        <w:rPr>
          <w:rFonts w:ascii="Arial" w:cs="Arial" w:eastAsia="Arial" w:hAnsi="Arial"/>
        </w:rPr>
        <w:t xml:space="preserve"/>
      </w:r>
    </w:p>
    <w:p>
      <w:pPr>
        <w:pStyle w:val="Heading1"/>
        <w:pBdr>
          <w:bottom w:val="single" w:color="2E6DB4" w:sz="8" w:space="4"/>
        </w:pBdr>
        <w:spacing w:after="160" w:before="360"/>
      </w:pPr>
      <w:r>
        <w:rPr>
          <w:rFonts w:ascii="Arial" w:cs="Arial" w:eastAsia="Arial" w:hAnsi="Arial"/>
          <w:b/>
          <w:bCs/>
          <w:color w:val="1B3557"/>
          <w:sz w:val="32"/>
          <w:szCs w:val="32"/>
        </w:rPr>
        <w:t xml:space="preserve">6. Temporal Data Splits</w:t>
      </w:r>
    </w:p>
    <w:p>
      <w:pPr>
        <w:spacing w:after="120"/>
      </w:pPr>
      <w:r>
        <w:rPr>
          <w:rFonts w:ascii="Arial" w:cs="Arial" w:eastAsia="Arial" w:hAnsi="Arial"/>
          <w:sz w:val="21"/>
          <w:szCs w:val="21"/>
        </w:rPr>
        <w:t xml:space="preserve">Splits are defined by calendar year boundaries to respect temporal ordering and avoid any form of future leakage. The test set is intentionally designed to include both Ramadan 2024 and Ramadan 2025 to give the regime-conditional evaluation statistical depth.</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760"/>
        <w:gridCol w:w="4000"/>
      </w:tblGrid>
      <w:tr>
        <w:trPr>
          <w:tblHeader/>
        </w:trPr>
        <w:tc>
          <w:tcPr>
            <w:tcW w:type="dxa" w:w="12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Split</w:t>
            </w:r>
          </w:p>
        </w:tc>
        <w:tc>
          <w:tcPr>
            <w:tcW w:type="dxa" w:w="24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Date Range</w:t>
            </w:r>
          </w:p>
        </w:tc>
        <w:tc>
          <w:tcPr>
            <w:tcW w:type="dxa" w:w="17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Approximate Hours</w:t>
            </w:r>
          </w:p>
        </w:tc>
        <w:tc>
          <w:tcPr>
            <w:tcW w:type="dxa" w:w="40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Ramadan periods covered</w:t>
            </w:r>
          </w:p>
        </w:tc>
      </w:tr>
      <w:tr>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Training</w:t>
            </w:r>
          </w:p>
        </w:tc>
        <w:tc>
          <w:tcPr>
            <w:tcW w:type="dxa" w:w="2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2018-01-01 → 2022-12-31</w:t>
            </w:r>
          </w:p>
        </w:tc>
        <w:tc>
          <w:tcPr>
            <w:tcW w:type="dxa" w:w="1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43,824 h</w:t>
            </w:r>
          </w:p>
        </w:tc>
        <w:tc>
          <w:tcPr>
            <w:tcW w:type="dxa" w:w="4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Ramadan 2018–2022 (5 occurrences)</w:t>
            </w:r>
          </w:p>
        </w:tc>
      </w:tr>
      <w:tr>
        <w:tc>
          <w:tcPr>
            <w:tcW w:type="dxa" w:w="1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Validation</w:t>
            </w:r>
          </w:p>
        </w:tc>
        <w:tc>
          <w:tcPr>
            <w:tcW w:type="dxa" w:w="24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2023-01-01 → 2023-12-31</w:t>
            </w:r>
          </w:p>
        </w:tc>
        <w:tc>
          <w:tcPr>
            <w:tcW w:type="dxa" w:w="17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8,760 h</w:t>
            </w:r>
          </w:p>
        </w:tc>
        <w:tc>
          <w:tcPr>
            <w:tcW w:type="dxa" w:w="4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Ramadan 2023</w:t>
            </w:r>
          </w:p>
        </w:tc>
      </w:tr>
      <w:tr>
        <w:tc>
          <w:tcPr>
            <w:tcW w:type="dxa" w:w="1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Test</w:t>
            </w:r>
          </w:p>
        </w:tc>
        <w:tc>
          <w:tcPr>
            <w:tcW w:type="dxa" w:w="2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2024-01-01 → 2025-03-31</w:t>
            </w:r>
          </w:p>
        </w:tc>
        <w:tc>
          <w:tcPr>
            <w:tcW w:type="dxa" w:w="1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~11,016 h</w:t>
            </w:r>
          </w:p>
        </w:tc>
        <w:tc>
          <w:tcPr>
            <w:tcW w:type="dxa" w:w="4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Ramadan 2024 + Ramadan 2025 (partial)</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16"/>
              <w:bottom w:val="none" w:color="FFFFFF" w:sz="0"/>
              <w:right w:val="single" w:color="BECFE8" w:sz="4"/>
            </w:tcBorders>
            <w:shd w:fill="D0E4F5" w:val="clear"/>
            <w:tcMar>
              <w:top w:type="dxa" w:w="80"/>
              <w:left w:type="dxa" w:w="160"/>
              <w:bottom w:type="dxa" w:w="80"/>
              <w:right w:type="dxa" w:w="160"/>
            </w:tcMar>
          </w:tcPr>
          <w:p>
            <w:pPr>
              <w:spacing w:after="0"/>
            </w:pPr>
            <w:r>
              <w:rPr>
                <w:rFonts w:ascii="Arial" w:cs="Arial" w:eastAsia="Arial" w:hAnsi="Arial"/>
                <w:b/>
                <w:bCs/>
                <w:color w:val="1A6B3C"/>
                <w:sz w:val="20"/>
                <w:szCs w:val="20"/>
              </w:rPr>
              <w:t xml:space="preserve">No-Leakage Guarantee</w:t>
            </w:r>
          </w:p>
        </w:tc>
      </w:tr>
      <w:tr>
        <w:tc>
          <w:tcPr>
            <w:tcW w:type="dxa" w:w="9360"/>
            <w:tcBorders>
              <w:top w:val="none" w:color="FFFFFF" w:sz="0"/>
              <w:left w:val="single" w:color="2E6DB4" w:sz="16"/>
              <w:bottom w:val="single" w:color="2E6DB4" w:sz="4"/>
              <w:right w:val="single" w:color="BECFE8" w:sz="4"/>
            </w:tcBorders>
            <w:shd w:fill="E8F5EE" w:val="clear"/>
            <w:tcMar>
              <w:top w:type="dxa" w:w="80"/>
              <w:left w:type="dxa" w:w="200"/>
              <w:bottom w:type="dxa" w:w="100"/>
              <w:right w:type="dxa" w:w="160"/>
            </w:tcMar>
          </w:tcPr>
          <w:p>
            <w:pPr>
              <w:spacing w:after="60"/>
            </w:pPr>
            <w:r>
              <w:rPr>
                <w:rFonts w:ascii="Arial" w:cs="Arial" w:eastAsia="Arial" w:hAnsi="Arial"/>
                <w:sz w:val="19"/>
                <w:szCs w:val="19"/>
              </w:rPr>
              <w:t xml:space="preserve">Rolling and lag features at the first training hour (2018-01-01 00:00) look back 168 hours to 2017-12-25.</w:t>
            </w:r>
          </w:p>
          <w:p>
            <w:pPr>
              <w:spacing w:after="60"/>
            </w:pPr>
            <w:r>
              <w:rPr>
                <w:rFonts w:ascii="Arial" w:cs="Arial" w:eastAsia="Arial" w:hAnsi="Arial"/>
                <w:sz w:val="19"/>
                <w:szCs w:val="19"/>
              </w:rPr>
              <w:t xml:space="preserve">This look-back falls entirely within the December 2017 buffer that was fetched separately and sliced out before saving.</w:t>
            </w:r>
          </w:p>
          <w:p>
            <w:pPr>
              <w:spacing w:after="60"/>
            </w:pPr>
            <w:r>
              <w:rPr>
                <w:rFonts w:ascii="Arial" w:cs="Arial" w:eastAsia="Arial" w:hAnsi="Arial"/>
                <w:sz w:val="19"/>
                <w:szCs w:val="19"/>
              </w:rPr>
              <w:t xml:space="preserve">Model selection (hyperparameter tuning) is performed on the validation split only; the test split is never used for any selection decision.</w:t>
            </w:r>
          </w:p>
        </w:tc>
      </w:tr>
    </w:tbl>
    <w:p>
      <w:pPr>
        <w:spacing w:after="60"/>
      </w:pPr>
      <w:r>
        <w:rPr>
          <w:rFonts w:ascii="Arial" w:cs="Arial" w:eastAsia="Arial" w:hAnsi="Arial"/>
        </w:rPr>
        <w:t xml:space="preserve"/>
      </w:r>
    </w:p>
    <w:p>
      <w:pPr>
        <w:pStyle w:val="Heading1"/>
        <w:pBdr>
          <w:bottom w:val="single" w:color="2E6DB4" w:sz="8" w:space="4"/>
        </w:pBdr>
        <w:spacing w:after="160" w:before="360"/>
      </w:pPr>
      <w:r>
        <w:rPr>
          <w:rFonts w:ascii="Arial" w:cs="Arial" w:eastAsia="Arial" w:hAnsi="Arial"/>
          <w:b/>
          <w:bCs/>
          <w:color w:val="1B3557"/>
          <w:sz w:val="32"/>
          <w:szCs w:val="32"/>
        </w:rPr>
        <w:t xml:space="preserve">7. Design Decisions &amp; Limitations</w:t>
      </w:r>
    </w:p>
    <w:p>
      <w:pPr>
        <w:pStyle w:val="Heading2"/>
        <w:spacing w:after="120" w:before="280"/>
      </w:pPr>
      <w:r>
        <w:rPr>
          <w:rFonts w:ascii="Arial" w:cs="Arial" w:eastAsia="Arial" w:hAnsi="Arial"/>
          <w:b/>
          <w:bCs/>
          <w:color w:val="2E6DB4"/>
          <w:sz w:val="26"/>
          <w:szCs w:val="26"/>
        </w:rPr>
        <w:t xml:space="preserve">7.1  Justified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Decision</w:t>
            </w:r>
          </w:p>
        </w:tc>
        <w:tc>
          <w:tcPr>
            <w:tcW w:type="dxa" w:w="67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Justification</w:t>
            </w:r>
          </w:p>
        </w:tc>
      </w:tr>
      <w:tr>
        <w:tc>
          <w:tcPr>
            <w:tcW w:type="dxa" w:w="26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UTC throughout</w:t>
            </w:r>
          </w:p>
        </w:tc>
        <w:tc>
          <w:tcPr>
            <w:tcW w:type="dxa" w:w="6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ERA5 is natively UTC; EPIAS raw times are UTC+3 (post-2016); standardising at ingest eliminates any clock-shift errors in the join key</w:t>
            </w:r>
          </w:p>
        </w:tc>
      </w:tr>
      <w:tr>
        <w:tc>
          <w:tcPr>
            <w:tcW w:type="dxa" w:w="26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Linear interpolation (limit=3)</w:t>
            </w:r>
          </w:p>
        </w:tc>
        <w:tc>
          <w:tcPr>
            <w:tcW w:type="dxa" w:w="67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Short isolated gaps in ERA5 (e.g., single missing hour) are common artefacts of CDS downloads; interpolation prevents NaN propagation into gradient-based models while the limit=3 cap prevents silent long-gap imputation</w:t>
            </w:r>
          </w:p>
        </w:tc>
      </w:tr>
      <w:tr>
        <w:tc>
          <w:tcPr>
            <w:tcW w:type="dxa" w:w="26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Population weights over area weights</w:t>
            </w:r>
          </w:p>
        </w:tc>
        <w:tc>
          <w:tcPr>
            <w:tcW w:type="dxa" w:w="6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Electricity demand correlates with population density and industrial activity; Istanbul's 22% weight vs. its ~25% area weight reflects maritime-climate moderation of thermal extremes</w:t>
            </w:r>
          </w:p>
        </w:tc>
      </w:tr>
      <w:tr>
        <w:tc>
          <w:tcPr>
            <w:tcW w:type="dxa" w:w="26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Nearest-neighbour spatial lookup</w:t>
            </w:r>
          </w:p>
        </w:tc>
        <w:tc>
          <w:tcPr>
            <w:tcW w:type="dxa" w:w="67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0.25° ERA5 grid is ~28 km; bilinear interpolation adds complexity without meaningful accuracy gain for city-level aggregation at this resolution</w:t>
            </w:r>
          </w:p>
        </w:tc>
      </w:tr>
      <w:tr>
        <w:tc>
          <w:tcPr>
            <w:tcW w:type="dxa" w:w="26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December 2017 buffer</w:t>
            </w:r>
          </w:p>
        </w:tc>
        <w:tc>
          <w:tcPr>
            <w:tcW w:type="dxa" w:w="6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168-hour lag at 2018-01-01 00:00 requires 2017-12-25 data; fetching one month provides comfortable margin with no memory overhead</w:t>
            </w:r>
          </w:p>
        </w:tc>
      </w:tr>
      <w:tr>
        <w:tc>
          <w:tcPr>
            <w:tcW w:type="dxa" w:w="26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left join in merge</w:t>
            </w:r>
          </w:p>
        </w:tc>
        <w:tc>
          <w:tcPr>
            <w:tcW w:type="dxa" w:w="67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Load DataFrame governs the analysis time window; right/outer joins risk introducing ERA5 forecast-hours beyond the EPIAS coverage window</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7.2  Known Limitations</w:t>
      </w:r>
    </w:p>
    <w:p>
      <w:pPr>
        <w:pStyle w:val="ListParagraph"/>
        <w:numPr>
          <w:ilvl w:val="0"/>
          <w:numId w:val="2"/>
        </w:numPr>
        <w:spacing w:after="80"/>
      </w:pPr>
      <w:r>
        <w:rPr>
          <w:rFonts w:ascii="Arial" w:cs="Arial" w:eastAsia="Arial" w:hAnsi="Arial"/>
          <w:b/>
          <w:bCs/>
        </w:rPr>
        <w:t xml:space="preserve">Single national aggregate: </w:t>
      </w:r>
      <w:r>
        <w:rPr>
          <w:rFonts w:ascii="Arial" w:cs="Arial" w:eastAsia="Arial" w:hAnsi="Arial"/>
        </w:rPr>
        <w:t xml:space="preserve">The pipeline produces one population-weighted scalar per variable, collapsing all spatial heterogeneity. Regional load forecasting would require per-region aggregation.</w:t>
      </w:r>
    </w:p>
    <w:p>
      <w:pPr>
        <w:pStyle w:val="ListParagraph"/>
        <w:numPr>
          <w:ilvl w:val="0"/>
          <w:numId w:val="2"/>
        </w:numPr>
        <w:spacing w:after="80"/>
      </w:pPr>
      <w:r>
        <w:rPr>
          <w:rFonts w:ascii="Arial" w:cs="Arial" w:eastAsia="Arial" w:hAnsi="Arial"/>
          <w:b/>
          <w:bCs/>
        </w:rPr>
        <w:t xml:space="preserve">No Turkish public holidays: </w:t>
      </w:r>
      <w:r>
        <w:rPr>
          <w:rFonts w:ascii="Arial" w:cs="Arial" w:eastAsia="Arial" w:hAnsi="Arial"/>
        </w:rPr>
        <w:t xml:space="preserve">Secular public holidays (Republic Day, Labour Day, etc.) are not currently encoded. They create mid-week demand anomalies similar to weekends and may inflate error on those days.</w:t>
      </w:r>
    </w:p>
    <w:p>
      <w:pPr>
        <w:pStyle w:val="ListParagraph"/>
        <w:numPr>
          <w:ilvl w:val="0"/>
          <w:numId w:val="2"/>
        </w:numPr>
        <w:spacing w:after="80"/>
      </w:pPr>
      <w:r>
        <w:rPr>
          <w:rFonts w:ascii="Arial" w:cs="Arial" w:eastAsia="Arial" w:hAnsi="Arial"/>
          <w:b/>
          <w:bCs/>
        </w:rPr>
        <w:t xml:space="preserve">16-city approximation: </w:t>
      </w:r>
      <w:r>
        <w:rPr>
          <w:rFonts w:ascii="Arial" w:cs="Arial" w:eastAsia="Arial" w:hAnsi="Arial"/>
        </w:rPr>
        <w:t xml:space="preserve">Nodes cover the largest cities but exclude secondary industrial zones (e.g., Hatay, Kırıkkale refinery corridor). The approximation error is estimated to be small relative to model uncertainty.</w:t>
      </w:r>
    </w:p>
    <w:p>
      <w:pPr>
        <w:pStyle w:val="ListParagraph"/>
        <w:numPr>
          <w:ilvl w:val="0"/>
          <w:numId w:val="2"/>
        </w:numPr>
        <w:spacing w:after="80"/>
      </w:pPr>
      <w:r>
        <w:rPr>
          <w:rFonts w:ascii="Arial" w:cs="Arial" w:eastAsia="Arial" w:hAnsi="Arial"/>
          <w:b/>
          <w:bCs/>
        </w:rPr>
        <w:t xml:space="preserve">ERA5 reanalysis vs. observations: </w:t>
      </w:r>
      <w:r>
        <w:rPr>
          <w:rFonts w:ascii="Arial" w:cs="Arial" w:eastAsia="Arial" w:hAnsi="Arial"/>
        </w:rPr>
        <w:t xml:space="preserve">ERA5 is a model-based reanalysis, not direct observations. Local microclimatic effects (urban heat islands, coastal sea-breeze) are partially smoothed by the 0.25° grid.</w:t>
      </w:r>
    </w:p>
    <w:p>
      <w:pPr>
        <w:pStyle w:val="ListParagraph"/>
        <w:numPr>
          <w:ilvl w:val="0"/>
          <w:numId w:val="2"/>
        </w:numPr>
        <w:spacing w:after="80"/>
      </w:pPr>
      <w:r>
        <w:rPr>
          <w:rFonts w:ascii="Arial" w:cs="Arial" w:eastAsia="Arial" w:hAnsi="Arial"/>
          <w:b/>
          <w:bCs/>
        </w:rPr>
        <w:t xml:space="preserve">SSRD de-accumulation edge case: </w:t>
      </w:r>
      <w:r>
        <w:rPr>
          <w:rFonts w:ascii="Arial" w:cs="Arial" w:eastAsia="Arial" w:hAnsi="Arial"/>
        </w:rPr>
        <w:t xml:space="preserve">The very first hour of each year file becomes NaN after diff() and is filled with 0. This is physically correct (midnight UTC in January) but creates a small systematic discontinuity at year-file boundaries if downloads are not contiguous.</w:t>
      </w:r>
    </w:p>
    <w:p>
      <w:pPr>
        <w:spacing w:after="60"/>
      </w:pPr>
      <w:r>
        <w:rPr>
          <w:rFonts w:ascii="Arial" w:cs="Arial" w:eastAsia="Arial" w:hAnsi="Arial"/>
        </w:rPr>
        <w:t xml:space="preserve"/>
      </w:r>
    </w:p>
    <w:p>
      <w:pPr>
        <w:pStyle w:val="Heading1"/>
        <w:pBdr>
          <w:bottom w:val="single" w:color="2E6DB4" w:sz="8" w:space="4"/>
        </w:pBdr>
        <w:spacing w:after="160" w:before="360"/>
      </w:pPr>
      <w:r>
        <w:rPr>
          <w:rFonts w:ascii="Arial" w:cs="Arial" w:eastAsia="Arial" w:hAnsi="Arial"/>
          <w:b/>
          <w:bCs/>
          <w:color w:val="1B3557"/>
          <w:sz w:val="32"/>
          <w:szCs w:val="32"/>
        </w:rPr>
        <w:t xml:space="preserve">8. Reproducibility</w:t>
      </w:r>
    </w:p>
    <w:p>
      <w:pPr>
        <w:pStyle w:val="Heading2"/>
        <w:spacing w:after="120" w:before="280"/>
      </w:pPr>
      <w:r>
        <w:rPr>
          <w:rFonts w:ascii="Arial" w:cs="Arial" w:eastAsia="Arial" w:hAnsi="Arial"/>
          <w:b/>
          <w:bCs/>
          <w:color w:val="2E6DB4"/>
          <w:sz w:val="26"/>
          <w:szCs w:val="26"/>
        </w:rPr>
        <w:t xml:space="preserve">8.1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7" w:sz="4"/>
              <w:left w:val="single" w:color="1B3557" w:sz="4"/>
              <w:bottom w:val="single" w:color="1B3557" w:sz="4"/>
              <w:right w:val="single" w:color="1B3557" w:sz="4"/>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7"/>
                <w:szCs w:val="17"/>
              </w:rPr>
              <w:t xml:space="preserve"># Core scientific stack</w:t>
            </w:r>
          </w:p>
          <w:p>
            <w:pPr>
              <w:spacing w:after="0"/>
            </w:pPr>
            <w:r>
              <w:rPr>
                <w:rFonts w:ascii="Courier New" w:cs="Courier New" w:eastAsia="Courier New" w:hAnsi="Courier New"/>
                <w:color w:val="D4D4D4"/>
                <w:sz w:val="17"/>
                <w:szCs w:val="17"/>
              </w:rPr>
              <w:t xml:space="preserve">pandas&gt;=2.0</w:t>
            </w:r>
          </w:p>
          <w:p>
            <w:pPr>
              <w:spacing w:after="0"/>
            </w:pPr>
            <w:r>
              <w:rPr>
                <w:rFonts w:ascii="Courier New" w:cs="Courier New" w:eastAsia="Courier New" w:hAnsi="Courier New"/>
                <w:color w:val="D4D4D4"/>
                <w:sz w:val="17"/>
                <w:szCs w:val="17"/>
              </w:rPr>
              <w:t xml:space="preserve">numpy&gt;=1.24</w:t>
            </w:r>
          </w:p>
          <w:p>
            <w:pPr>
              <w:spacing w:after="0"/>
            </w:pPr>
            <w:r>
              <w:rPr>
                <w:rFonts w:ascii="Courier New" w:cs="Courier New" w:eastAsia="Courier New" w:hAnsi="Courier New"/>
                <w:color w:val="D4D4D4"/>
                <w:sz w:val="17"/>
                <w:szCs w:val="17"/>
              </w:rPr>
              <w:t xml:space="preserve">xarray&gt;=2023.6</w:t>
            </w:r>
          </w:p>
          <w:p>
            <w:pPr>
              <w:spacing w:after="0"/>
            </w:pPr>
            <w:r>
              <w:rPr>
                <w:rFonts w:ascii="Courier New" w:cs="Courier New" w:eastAsia="Courier New" w:hAnsi="Courier New"/>
                <w:color w:val="D4D4D4"/>
                <w:sz w:val="17"/>
                <w:szCs w:val="17"/>
              </w:rPr>
              <w:t xml:space="preserve">dask[array]&gt;=2023.6</w:t>
            </w:r>
          </w:p>
          <w:p>
            <w:pPr>
              <w:spacing w:after="0"/>
            </w:pPr>
            <w:r>
              <w:rPr>
                <w:rFonts w:ascii="Courier New" w:cs="Courier New" w:eastAsia="Courier New" w:hAnsi="Courier New"/>
                <w:color w:val="D4D4D4"/>
                <w:sz w:val="17"/>
                <w:szCs w:val="17"/>
              </w:rPr>
              <w:t xml:space="preserve"/>
            </w:r>
          </w:p>
          <w:p>
            <w:pPr>
              <w:spacing w:after="0"/>
            </w:pPr>
            <w:r>
              <w:rPr>
                <w:rFonts w:ascii="Courier New" w:cs="Courier New" w:eastAsia="Courier New" w:hAnsi="Courier New"/>
                <w:color w:val="D4D4D4"/>
                <w:sz w:val="17"/>
                <w:szCs w:val="17"/>
              </w:rPr>
              <w:t xml:space="preserve"># Data acquisition</w:t>
            </w:r>
          </w:p>
          <w:p>
            <w:pPr>
              <w:spacing w:after="0"/>
            </w:pPr>
            <w:r>
              <w:rPr>
                <w:rFonts w:ascii="Courier New" w:cs="Courier New" w:eastAsia="Courier New" w:hAnsi="Courier New"/>
                <w:color w:val="D4D4D4"/>
                <w:sz w:val="17"/>
                <w:szCs w:val="17"/>
              </w:rPr>
              <w:t xml:space="preserve">eptr2              # EPIAS API client</w:t>
            </w:r>
          </w:p>
          <w:p>
            <w:pPr>
              <w:spacing w:after="0"/>
            </w:pPr>
            <w:r>
              <w:rPr>
                <w:rFonts w:ascii="Courier New" w:cs="Courier New" w:eastAsia="Courier New" w:hAnsi="Courier New"/>
                <w:color w:val="D4D4D4"/>
                <w:sz w:val="17"/>
                <w:szCs w:val="17"/>
              </w:rPr>
              <w:t xml:space="preserve">cdsapi             # Copernicus CDS client (ERA5)</w:t>
            </w:r>
          </w:p>
          <w:p>
            <w:pPr>
              <w:spacing w:after="0"/>
            </w:pPr>
            <w:r>
              <w:rPr>
                <w:rFonts w:ascii="Courier New" w:cs="Courier New" w:eastAsia="Courier New" w:hAnsi="Courier New"/>
                <w:color w:val="D4D4D4"/>
                <w:sz w:val="17"/>
                <w:szCs w:val="17"/>
              </w:rPr>
              <w:t xml:space="preserve"/>
            </w:r>
          </w:p>
          <w:p>
            <w:pPr>
              <w:spacing w:after="0"/>
            </w:pPr>
            <w:r>
              <w:rPr>
                <w:rFonts w:ascii="Courier New" w:cs="Courier New" w:eastAsia="Courier New" w:hAnsi="Courier New"/>
                <w:color w:val="D4D4D4"/>
                <w:sz w:val="17"/>
                <w:szCs w:val="17"/>
              </w:rPr>
              <w:t xml:space="preserve"># Hijri calendar</w:t>
            </w:r>
          </w:p>
          <w:p>
            <w:pPr>
              <w:spacing w:after="0"/>
            </w:pPr>
            <w:r>
              <w:rPr>
                <w:rFonts w:ascii="Courier New" w:cs="Courier New" w:eastAsia="Courier New" w:hAnsi="Courier New"/>
                <w:color w:val="D4D4D4"/>
                <w:sz w:val="17"/>
                <w:szCs w:val="17"/>
              </w:rPr>
              <w:t xml:space="preserve">hijridate&gt;=1.4</w:t>
            </w:r>
          </w:p>
          <w:p>
            <w:pPr>
              <w:spacing w:after="0"/>
            </w:pPr>
            <w:r>
              <w:rPr>
                <w:rFonts w:ascii="Courier New" w:cs="Courier New" w:eastAsia="Courier New" w:hAnsi="Courier New"/>
                <w:color w:val="D4D4D4"/>
                <w:sz w:val="17"/>
                <w:szCs w:val="17"/>
              </w:rPr>
              <w:t xml:space="preserve"/>
            </w:r>
          </w:p>
          <w:p>
            <w:pPr>
              <w:spacing w:after="0"/>
            </w:pPr>
            <w:r>
              <w:rPr>
                <w:rFonts w:ascii="Courier New" w:cs="Courier New" w:eastAsia="Courier New" w:hAnsi="Courier New"/>
                <w:color w:val="D4D4D4"/>
                <w:sz w:val="17"/>
                <w:szCs w:val="17"/>
              </w:rPr>
              <w:t xml:space="preserve"># ERA5 NetCDF I/O</w:t>
            </w:r>
          </w:p>
          <w:p>
            <w:pPr>
              <w:spacing w:after="0"/>
            </w:pPr>
            <w:r>
              <w:rPr>
                <w:rFonts w:ascii="Courier New" w:cs="Courier New" w:eastAsia="Courier New" w:hAnsi="Courier New"/>
                <w:color w:val="D4D4D4"/>
                <w:sz w:val="17"/>
                <w:szCs w:val="17"/>
              </w:rPr>
              <w:t xml:space="preserve">netCDF4            # or h5netcdf as alternative backend</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8.2  Environment Variables</w:t>
      </w:r>
    </w:p>
    <w:p>
      <w:pPr>
        <w:spacing w:after="120"/>
      </w:pPr>
      <w:r>
        <w:rPr>
          <w:rFonts w:ascii="Arial" w:cs="Arial" w:eastAsia="Arial" w:hAnsi="Arial"/>
          <w:sz w:val="21"/>
          <w:szCs w:val="21"/>
        </w:rPr>
        <w:t xml:space="preserve">The EPIAS client requires a valid TGT token, managed via a </w:t>
      </w:r>
      <w:r>
        <w:rPr>
          <w:rFonts w:ascii="Courier New" w:cs="Courier New" w:eastAsia="Courier New" w:hAnsi="Courier New"/>
          <w:sz w:val="18"/>
          <w:szCs w:val="18"/>
        </w:rPr>
        <w:t xml:space="preserve">.env</w:t>
      </w:r>
      <w:r>
        <w:rPr>
          <w:rFonts w:ascii="Arial" w:cs="Arial" w:eastAsia="Arial" w:hAnsi="Arial"/>
          <w:sz w:val="21"/>
          <w:szCs w:val="21"/>
        </w:rPr>
        <w:t xml:space="preserve"> file at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7" w:sz="4"/>
              <w:left w:val="single" w:color="1B3557" w:sz="4"/>
              <w:bottom w:val="single" w:color="1B3557" w:sz="4"/>
              <w:right w:val="single" w:color="1B3557" w:sz="4"/>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7"/>
                <w:szCs w:val="17"/>
              </w:rPr>
              <w:t xml:space="preserve"># .env</w:t>
            </w:r>
          </w:p>
          <w:p>
            <w:pPr>
              <w:spacing w:after="0"/>
            </w:pPr>
            <w:r>
              <w:rPr>
                <w:rFonts w:ascii="Courier New" w:cs="Courier New" w:eastAsia="Courier New" w:hAnsi="Courier New"/>
                <w:color w:val="D4D4D4"/>
                <w:sz w:val="17"/>
                <w:szCs w:val="17"/>
              </w:rPr>
              <w:t xml:space="preserve">EPIAS_USERNAME=&lt;your_username&gt;</w:t>
            </w:r>
          </w:p>
          <w:p>
            <w:pPr>
              <w:spacing w:after="0"/>
            </w:pPr>
            <w:r>
              <w:rPr>
                <w:rFonts w:ascii="Courier New" w:cs="Courier New" w:eastAsia="Courier New" w:hAnsi="Courier New"/>
                <w:color w:val="D4D4D4"/>
                <w:sz w:val="17"/>
                <w:szCs w:val="17"/>
              </w:rPr>
              <w:t xml:space="preserve">EPIAS_PASSWORD=&lt;your_password&gt;</w:t>
            </w:r>
          </w:p>
          <w:p>
            <w:pPr>
              <w:spacing w:after="0"/>
            </w:pPr>
            <w:r>
              <w:rPr>
                <w:rFonts w:ascii="Courier New" w:cs="Courier New" w:eastAsia="Courier New" w:hAnsi="Courier New"/>
                <w:color w:val="D4D4D4"/>
                <w:sz w:val="17"/>
                <w:szCs w:val="17"/>
              </w:rPr>
              <w:t xml:space="preserve"># recycle_tgt=True in EPTR2() refreshes the token automatically</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8.3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557" w:sz="4"/>
              <w:left w:val="single" w:color="1B3557" w:sz="4"/>
              <w:bottom w:val="single" w:color="1B3557" w:sz="4"/>
              <w:right w:val="single" w:color="1B3557" w:sz="4"/>
            </w:tcBorders>
            <w:shd w:fill="1E1E2E" w:val="clear"/>
            <w:tcMar>
              <w:top w:type="dxa" w:w="120"/>
              <w:left w:type="dxa" w:w="200"/>
              <w:bottom w:type="dxa" w:w="120"/>
              <w:right w:type="dxa" w:w="200"/>
            </w:tcMar>
          </w:tcPr>
          <w:p>
            <w:pPr>
              <w:spacing w:after="0"/>
            </w:pPr>
            <w:r>
              <w:rPr>
                <w:rFonts w:ascii="Courier New" w:cs="Courier New" w:eastAsia="Courier New" w:hAnsi="Courier New"/>
                <w:color w:val="D4D4D4"/>
                <w:sz w:val="17"/>
                <w:szCs w:val="17"/>
              </w:rPr>
              <w:t xml:space="preserve"># Step 1 — download raw data (one-time; ~40 GB total for ERA5)</w:t>
            </w:r>
          </w:p>
          <w:p>
            <w:pPr>
              <w:spacing w:after="0"/>
            </w:pPr>
            <w:r>
              <w:rPr>
                <w:rFonts w:ascii="Courier New" w:cs="Courier New" w:eastAsia="Courier New" w:hAnsi="Courier New"/>
                <w:color w:val="D4D4D4"/>
                <w:sz w:val="17"/>
                <w:szCs w:val="17"/>
              </w:rPr>
              <w:t xml:space="preserve">python src/data_download.py</w:t>
            </w:r>
          </w:p>
          <w:p>
            <w:pPr>
              <w:spacing w:after="0"/>
            </w:pPr>
            <w:r>
              <w:rPr>
                <w:rFonts w:ascii="Courier New" w:cs="Courier New" w:eastAsia="Courier New" w:hAnsi="Courier New"/>
                <w:color w:val="D4D4D4"/>
                <w:sz w:val="17"/>
                <w:szCs w:val="17"/>
              </w:rPr>
              <w:t xml:space="preserve"/>
            </w:r>
          </w:p>
          <w:p>
            <w:pPr>
              <w:spacing w:after="0"/>
            </w:pPr>
            <w:r>
              <w:rPr>
                <w:rFonts w:ascii="Courier New" w:cs="Courier New" w:eastAsia="Courier New" w:hAnsi="Courier New"/>
                <w:color w:val="D4D4D4"/>
                <w:sz w:val="17"/>
                <w:szCs w:val="17"/>
              </w:rPr>
              <w:t xml:space="preserve"># Step 2 — preprocess load + engineer Hijri features</w:t>
            </w:r>
          </w:p>
          <w:p>
            <w:pPr>
              <w:spacing w:after="0"/>
            </w:pPr>
            <w:r>
              <w:rPr>
                <w:rFonts w:ascii="Courier New" w:cs="Courier New" w:eastAsia="Courier New" w:hAnsi="Courier New"/>
                <w:color w:val="D4D4D4"/>
                <w:sz w:val="17"/>
                <w:szCs w:val="17"/>
              </w:rPr>
              <w:t xml:space="preserve">python src/epias_preprocessing.py</w:t>
            </w:r>
          </w:p>
          <w:p>
            <w:pPr>
              <w:spacing w:after="0"/>
            </w:pPr>
            <w:r>
              <w:rPr>
                <w:rFonts w:ascii="Courier New" w:cs="Courier New" w:eastAsia="Courier New" w:hAnsi="Courier New"/>
                <w:color w:val="D4D4D4"/>
                <w:sz w:val="17"/>
                <w:szCs w:val="17"/>
              </w:rPr>
              <w:t xml:space="preserve"/>
            </w:r>
          </w:p>
          <w:p>
            <w:pPr>
              <w:spacing w:after="0"/>
            </w:pPr>
            <w:r>
              <w:rPr>
                <w:rFonts w:ascii="Courier New" w:cs="Courier New" w:eastAsia="Courier New" w:hAnsi="Courier New"/>
                <w:color w:val="D4D4D4"/>
                <w:sz w:val="17"/>
                <w:szCs w:val="17"/>
              </w:rPr>
              <w:t xml:space="preserve"># Step 3 — build weather proxy and merge</w:t>
            </w:r>
          </w:p>
          <w:p>
            <w:pPr>
              <w:spacing w:after="0"/>
            </w:pPr>
            <w:r>
              <w:rPr>
                <w:rFonts w:ascii="Courier New" w:cs="Courier New" w:eastAsia="Courier New" w:hAnsi="Courier New"/>
                <w:color w:val="D4D4D4"/>
                <w:sz w:val="17"/>
                <w:szCs w:val="17"/>
              </w:rPr>
              <w:t xml:space="preserve">python src/spatial_weights.py</w:t>
            </w:r>
          </w:p>
          <w:p>
            <w:pPr>
              <w:spacing w:after="0"/>
            </w:pPr>
            <w:r>
              <w:rPr>
                <w:rFonts w:ascii="Courier New" w:cs="Courier New" w:eastAsia="Courier New" w:hAnsi="Courier New"/>
                <w:color w:val="D4D4D4"/>
                <w:sz w:val="17"/>
                <w:szCs w:val="17"/>
              </w:rPr>
              <w:t xml:space="preserve"/>
            </w:r>
          </w:p>
          <w:p>
            <w:pPr>
              <w:spacing w:after="0"/>
            </w:pPr>
            <w:r>
              <w:rPr>
                <w:rFonts w:ascii="Courier New" w:cs="Courier New" w:eastAsia="Courier New" w:hAnsi="Courier New"/>
                <w:color w:val="D4D4D4"/>
                <w:sz w:val="17"/>
                <w:szCs w:val="17"/>
              </w:rPr>
              <w:t xml:space="preserve"># Output: data/processed/final_training_set_v1.csv</w:t>
            </w:r>
          </w:p>
        </w:tc>
      </w:tr>
    </w:tbl>
    <w:p>
      <w:pPr>
        <w:spacing w:after="60"/>
      </w:pPr>
      <w:r>
        <w:rPr>
          <w:rFonts w:ascii="Arial" w:cs="Arial" w:eastAsia="Arial" w:hAnsi="Arial"/>
        </w:rPr>
        <w:t xml:space="preserve"/>
      </w:r>
    </w:p>
    <w:p>
      <w:pPr>
        <w:pStyle w:val="Heading2"/>
        <w:spacing w:after="120" w:before="280"/>
      </w:pPr>
      <w:r>
        <w:rPr>
          <w:rFonts w:ascii="Arial" w:cs="Arial" w:eastAsia="Arial" w:hAnsi="Arial"/>
          <w:b/>
          <w:bCs/>
          <w:color w:val="2E6DB4"/>
          <w:sz w:val="26"/>
          <w:szCs w:val="26"/>
        </w:rPr>
        <w:t xml:space="preserve">8.4  Runtime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Stage</w:t>
            </w:r>
          </w:p>
        </w:tc>
        <w:tc>
          <w:tcPr>
            <w:tcW w:type="dxa" w:w="22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Estimated Runtime</w:t>
            </w:r>
          </w:p>
        </w:tc>
        <w:tc>
          <w:tcPr>
            <w:tcW w:type="dxa" w:w="47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Bottleneck</w:t>
            </w:r>
          </w:p>
        </w:tc>
      </w:tr>
      <w:tr>
        <w:tc>
          <w:tcPr>
            <w:tcW w:type="dxa" w:w="2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ERA5 download (40 NC files)</w:t>
            </w:r>
          </w:p>
        </w:tc>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~4–8 hours (network-bound)</w:t>
            </w:r>
          </w:p>
        </w:tc>
        <w:tc>
          <w:tcPr>
            <w:tcW w:type="dxa" w:w="4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CDS API rate limits</w:t>
            </w:r>
          </w:p>
        </w:tc>
      </w:tr>
      <w:tr>
        <w:tc>
          <w:tcPr>
            <w:tcW w:type="dxa" w:w="24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EPIAS download (8 years)</w:t>
            </w:r>
          </w:p>
        </w:tc>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~5–10 minutes</w:t>
            </w:r>
          </w:p>
        </w:tc>
        <w:tc>
          <w:tcPr>
            <w:tcW w:type="dxa" w:w="47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API call latency</w:t>
            </w:r>
          </w:p>
        </w:tc>
      </w:tr>
      <w:tr>
        <w:tc>
          <w:tcPr>
            <w:tcW w:type="dxa" w:w="2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Stage 1 (Hijri feature engineering)</w:t>
            </w:r>
          </w:p>
        </w:tc>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~3–6 minutes</w:t>
            </w:r>
          </w:p>
        </w:tc>
        <w:tc>
          <w:tcPr>
            <w:tcW w:type="dxa" w:w="4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apply() over 63k rows</w:t>
            </w:r>
          </w:p>
        </w:tc>
      </w:tr>
      <w:tr>
        <w:tc>
          <w:tcPr>
            <w:tcW w:type="dxa" w:w="24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Stage 2 (spatial weights, all variables)</w:t>
            </w:r>
          </w:p>
        </w:tc>
        <w:tc>
          <w:tcPr>
            <w:tcW w:type="dxa" w:w="22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~8–15 minutes</w:t>
            </w:r>
          </w:p>
        </w:tc>
        <w:tc>
          <w:tcPr>
            <w:tcW w:type="dxa" w:w="47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xarray compute() per city per variable</w:t>
            </w:r>
          </w:p>
        </w:tc>
      </w:tr>
      <w:tr>
        <w:tc>
          <w:tcPr>
            <w:tcW w:type="dxa" w:w="24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Stage 3 (merge + write)</w:t>
            </w:r>
          </w:p>
        </w:tc>
        <w:tc>
          <w:tcPr>
            <w:tcW w:type="dxa" w:w="22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&lt; 30 seconds</w:t>
            </w:r>
          </w:p>
        </w:tc>
        <w:tc>
          <w:tcPr>
            <w:tcW w:type="dxa" w:w="47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Pandas merge + CSV I/O</w:t>
            </w:r>
          </w:p>
        </w:tc>
      </w:tr>
    </w:tbl>
    <w:p>
      <w:pPr>
        <w:spacing w:after="60"/>
      </w:pPr>
      <w:r>
        <w:rPr>
          <w:rFonts w:ascii="Arial" w:cs="Arial" w:eastAsia="Arial" w:hAnsi="Arial"/>
        </w:rPr>
        <w:t xml:space="preserve"/>
      </w:r>
    </w:p>
    <w:p>
      <w:pPr>
        <w:pStyle w:val="Heading1"/>
        <w:pBdr>
          <w:bottom w:val="single" w:color="2E6DB4" w:sz="8" w:space="4"/>
        </w:pBdr>
        <w:spacing w:after="160" w:before="360"/>
      </w:pPr>
      <w:r>
        <w:rPr>
          <w:rFonts w:ascii="Arial" w:cs="Arial" w:eastAsia="Arial" w:hAnsi="Arial"/>
          <w:b/>
          <w:bCs/>
          <w:color w:val="1B3557"/>
          <w:sz w:val="32"/>
          <w:szCs w:val="32"/>
        </w:rPr>
        <w:t xml:space="preserve">9. Quality Assurance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Check</w:t>
            </w:r>
          </w:p>
        </w:tc>
        <w:tc>
          <w:tcPr>
            <w:tcW w:type="dxa" w:w="380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Implementation</w:t>
            </w:r>
          </w:p>
        </w:tc>
        <w:tc>
          <w:tcPr>
            <w:tcW w:type="dxa" w:w="3560"/>
            <w:tcBorders>
              <w:top w:val="single" w:color="1B3557" w:sz="4"/>
              <w:left w:val="single" w:color="1B3557" w:sz="4"/>
              <w:bottom w:val="single" w:color="1B3557" w:sz="4"/>
              <w:right w:val="single" w:color="1B3557" w:sz="4"/>
            </w:tcBorders>
            <w:shd w:fill="1B3557"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Pass Condition</w:t>
            </w:r>
          </w:p>
        </w:tc>
      </w:tr>
      <w:tr>
        <w:tc>
          <w:tcPr>
            <w:tcW w:type="dxa" w:w="2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No future leakage in lags</w:t>
            </w:r>
          </w:p>
        </w:tc>
        <w:tc>
          <w:tcPr>
            <w:tcW w:type="dxa" w:w="38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shift(1) before rolling; all lag references are t−k for k ≥ 1</w:t>
            </w:r>
          </w:p>
        </w:tc>
        <w:tc>
          <w:tcPr>
            <w:tcW w:type="dxa" w:w="35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Rolling window never touches hour t</w:t>
            </w:r>
          </w:p>
        </w:tc>
      </w:tr>
      <w:tr>
        <w:tc>
          <w:tcPr>
            <w:tcW w:type="dxa" w:w="2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No future leakage in splits</w:t>
            </w:r>
          </w:p>
        </w:tc>
        <w:tc>
          <w:tcPr>
            <w:tcW w:type="dxa" w:w="38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Train/val/test defined by strict date boundaries</w:t>
            </w:r>
          </w:p>
        </w:tc>
        <w:tc>
          <w:tcPr>
            <w:tcW w:type="dxa" w:w="35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Test set never used for any hyperparameter selection</w:t>
            </w:r>
          </w:p>
        </w:tc>
      </w:tr>
      <w:tr>
        <w:tc>
          <w:tcPr>
            <w:tcW w:type="dxa" w:w="2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Physical range (temp)</w:t>
            </w:r>
          </w:p>
        </w:tc>
        <w:tc>
          <w:tcPr>
            <w:tcW w:type="dxa" w:w="38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assert (-60 &lt; temp_c &lt; 60).all()</w:t>
            </w:r>
          </w:p>
        </w:tc>
        <w:tc>
          <w:tcPr>
            <w:tcW w:type="dxa" w:w="35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All values in physiological range for Turkey</w:t>
            </w:r>
          </w:p>
        </w:tc>
      </w:tr>
      <w:tr>
        <w:tc>
          <w:tcPr>
            <w:tcW w:type="dxa" w:w="2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Physical range (solar)</w:t>
            </w:r>
          </w:p>
        </w:tc>
        <w:tc>
          <w:tcPr>
            <w:tcW w:type="dxa" w:w="38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assert (solar_rad ≥ 0).all()</w:t>
            </w:r>
          </w:p>
        </w:tc>
        <w:tc>
          <w:tcPr>
            <w:tcW w:type="dxa" w:w="35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No negative irradiance post de-accumulation</w:t>
            </w:r>
          </w:p>
        </w:tc>
      </w:tr>
      <w:tr>
        <w:tc>
          <w:tcPr>
            <w:tcW w:type="dxa" w:w="2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Physical range (wind)</w:t>
            </w:r>
          </w:p>
        </w:tc>
        <w:tc>
          <w:tcPr>
            <w:tcW w:type="dxa" w:w="38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assert (wind_speed ≥ 0).all()</w:t>
            </w:r>
          </w:p>
        </w:tc>
        <w:tc>
          <w:tcPr>
            <w:tcW w:type="dxa" w:w="35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Magnitude is always non-negative</w:t>
            </w:r>
          </w:p>
        </w:tc>
      </w:tr>
      <w:tr>
        <w:tc>
          <w:tcPr>
            <w:tcW w:type="dxa" w:w="2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UTC alignment</w:t>
            </w:r>
          </w:p>
        </w:tc>
        <w:tc>
          <w:tcPr>
            <w:tcW w:type="dxa" w:w="38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Both DataFrames reindexed to FULL_INDEX before merge</w:t>
            </w:r>
          </w:p>
        </w:tc>
        <w:tc>
          <w:tcPr>
            <w:tcW w:type="dxa" w:w="35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Timestamp join key is identical type and timezone</w:t>
            </w:r>
          </w:p>
        </w:tc>
      </w:tr>
      <w:tr>
        <w:tc>
          <w:tcPr>
            <w:tcW w:type="dxa" w:w="20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NaN audit</w:t>
            </w:r>
          </w:p>
        </w:tc>
        <w:tc>
          <w:tcPr>
            <w:tcW w:type="dxa" w:w="380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isna().sum() printed at each stage; assertions after interpolation</w:t>
            </w:r>
          </w:p>
        </w:tc>
        <w:tc>
          <w:tcPr>
            <w:tcW w:type="dxa" w:w="3560"/>
            <w:tcBorders>
              <w:top w:val="single" w:color="BECFE8" w:sz="4"/>
              <w:left w:val="single" w:color="BECFE8" w:sz="4"/>
              <w:bottom w:val="single" w:color="BECFE8" w:sz="4"/>
              <w:right w:val="single" w:color="BECFE8" w:sz="4"/>
            </w:tcBorders>
            <w:shd w:fill="EBF2FA" w:val="clear"/>
            <w:tcMar>
              <w:top w:type="dxa" w:w="70"/>
              <w:left w:type="dxa" w:w="100"/>
              <w:bottom w:type="dxa" w:w="70"/>
              <w:right w:type="dxa" w:w="100"/>
            </w:tcMar>
          </w:tcPr>
          <w:p>
            <w:pPr>
              <w:spacing w:after="0"/>
            </w:pPr>
            <w:r>
              <w:rPr>
                <w:rFonts w:ascii="Arial" w:cs="Arial" w:eastAsia="Arial" w:hAnsi="Arial"/>
                <w:sz w:val="18"/>
                <w:szCs w:val="18"/>
              </w:rPr>
              <w:t xml:space="preserve">Zero NaN in final_training_set_v1.csv</w:t>
            </w:r>
          </w:p>
        </w:tc>
      </w:tr>
      <w:tr>
        <w:tc>
          <w:tcPr>
            <w:tcW w:type="dxa" w:w="20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Buffer removal</w:t>
            </w:r>
          </w:p>
        </w:tc>
        <w:tc>
          <w:tcPr>
            <w:tcW w:type="dxa" w:w="380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Slice to timestamp ≥ 2018-01-01 after feature computation</w:t>
            </w:r>
          </w:p>
        </w:tc>
        <w:tc>
          <w:tcPr>
            <w:tcW w:type="dxa" w:w="3560"/>
            <w:tcBorders>
              <w:top w:val="single" w:color="BECFE8" w:sz="4"/>
              <w:left w:val="single" w:color="BECFE8" w:sz="4"/>
              <w:bottom w:val="single" w:color="BECFE8" w:sz="4"/>
              <w:right w:val="single" w:color="BECFE8"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No 2017 rows in any output CSV</w:t>
            </w:r>
          </w:p>
        </w:tc>
      </w:tr>
    </w:tbl>
    <w:p>
      <w:pPr>
        <w:spacing w:after="60"/>
      </w:pPr>
      <w:r>
        <w:rPr>
          <w:rFonts w:ascii="Arial" w:cs="Arial" w:eastAsia="Arial" w:hAnsi="Arial"/>
        </w:rPr>
        <w:t xml:space="preserve"/>
      </w:r>
    </w:p>
    <w:p>
      <w:pPr>
        <w:pStyle w:val="Heading1"/>
        <w:pBdr>
          <w:bottom w:val="single" w:color="2E6DB4" w:sz="8" w:space="4"/>
        </w:pBdr>
        <w:spacing w:after="160" w:before="360"/>
      </w:pPr>
      <w:r>
        <w:rPr>
          <w:rFonts w:ascii="Arial" w:cs="Arial" w:eastAsia="Arial" w:hAnsi="Arial"/>
          <w:b/>
          <w:bCs/>
          <w:color w:val="1B3557"/>
          <w:sz w:val="32"/>
          <w:szCs w:val="32"/>
        </w:rPr>
        <w:t xml:space="preserve">10. References</w:t>
      </w:r>
    </w:p>
    <w:p>
      <w:pPr>
        <w:spacing w:after="120"/>
      </w:pPr>
      <w:r>
        <w:rPr>
          <w:rFonts w:ascii="Arial" w:cs="Arial" w:eastAsia="Arial" w:hAnsi="Arial"/>
          <w:sz w:val="21"/>
          <w:szCs w:val="21"/>
        </w:rPr>
        <w:t xml:space="preserve">Hersbach, H. et al. (2020). The ERA5 global reanalysis. </w:t>
      </w:r>
      <w:r>
        <w:rPr>
          <w:rFonts w:ascii="Arial" w:cs="Arial" w:eastAsia="Arial" w:hAnsi="Arial"/>
          <w:i/>
          <w:iCs/>
          <w:sz w:val="21"/>
          <w:szCs w:val="21"/>
        </w:rPr>
        <w:t xml:space="preserve">Quarterly Journal of the Royal Meteorological Society</w:t>
      </w:r>
      <w:r>
        <w:rPr>
          <w:rFonts w:ascii="Arial" w:cs="Arial" w:eastAsia="Arial" w:hAnsi="Arial"/>
          <w:sz w:val="21"/>
          <w:szCs w:val="21"/>
        </w:rPr>
        <w:t xml:space="preserve">, 146(730), 1999–2049.</w:t>
      </w:r>
    </w:p>
    <w:p>
      <w:pPr>
        <w:spacing w:after="120"/>
      </w:pPr>
      <w:r>
        <w:rPr>
          <w:rFonts w:ascii="Arial" w:cs="Arial" w:eastAsia="Arial" w:hAnsi="Arial"/>
          <w:sz w:val="21"/>
          <w:szCs w:val="21"/>
        </w:rPr>
        <w:t xml:space="preserve">EPIAS (Energy Exchange Istanbul). Real-time electricity consumption data. Retrieved via eptr2 Python client. </w:t>
      </w:r>
      <w:r>
        <w:rPr>
          <w:rFonts w:ascii="Arial" w:cs="Arial" w:eastAsia="Arial" w:hAnsi="Arial"/>
          <w:i/>
          <w:iCs/>
          <w:sz w:val="21"/>
          <w:szCs w:val="21"/>
        </w:rPr>
        <w:t xml:space="preserve">https://seffaflik.epias.com.tr</w:t>
      </w:r>
    </w:p>
    <w:p>
      <w:pPr>
        <w:spacing w:after="120"/>
      </w:pPr>
      <w:r>
        <w:rPr>
          <w:rFonts w:ascii="Arial" w:cs="Arial" w:eastAsia="Arial" w:hAnsi="Arial"/>
          <w:sz w:val="21"/>
          <w:szCs w:val="21"/>
        </w:rPr>
        <w:t xml:space="preserve">Copernicus Climate Change Service (2023). ERA5 hourly data on single levels from 1940 to present. Copernicus Climate Change Service (C3S) Climate Data Store (CDS). </w:t>
      </w:r>
      <w:r>
        <w:rPr>
          <w:rFonts w:ascii="Arial" w:cs="Arial" w:eastAsia="Arial" w:hAnsi="Arial"/>
          <w:i/>
          <w:iCs/>
          <w:sz w:val="21"/>
          <w:szCs w:val="21"/>
        </w:rPr>
        <w:t xml:space="preserve">https://cds.climate.copernicus.eu</w:t>
      </w:r>
    </w:p>
    <w:p>
      <w:pPr>
        <w:spacing w:after="120"/>
      </w:pPr>
      <w:r>
        <w:rPr>
          <w:rFonts w:ascii="Arial" w:cs="Arial" w:eastAsia="Arial" w:hAnsi="Arial"/>
          <w:sz w:val="21"/>
          <w:szCs w:val="21"/>
        </w:rPr>
        <w:t xml:space="preserve">hijridate Python library. Hijri-Gregorian date converter based on Umm al-Qura calendar. </w:t>
      </w:r>
      <w:r>
        <w:rPr>
          <w:rFonts w:ascii="Arial" w:cs="Arial" w:eastAsia="Arial" w:hAnsi="Arial"/>
          <w:i/>
          <w:iCs/>
          <w:sz w:val="21"/>
          <w:szCs w:val="21"/>
        </w:rPr>
        <w:t xml:space="preserve">https://pypi.org/project/hijridate</w:t>
      </w:r>
    </w:p>
    <w:p>
      <w:pPr>
        <w:spacing w:after="120"/>
      </w:pPr>
      <w:r>
        <w:rPr>
          <w:rFonts w:ascii="Arial" w:cs="Arial" w:eastAsia="Arial" w:hAnsi="Arial"/>
          <w:sz w:val="21"/>
          <w:szCs w:val="21"/>
        </w:rPr>
        <w:t xml:space="preserve">Ansari, A. F. et al. (2024). Chronos: Learning the Language of Time Series. </w:t>
      </w:r>
      <w:r>
        <w:rPr>
          <w:rFonts w:ascii="Arial" w:cs="Arial" w:eastAsia="Arial" w:hAnsi="Arial"/>
          <w:i/>
          <w:iCs/>
          <w:sz w:val="21"/>
          <w:szCs w:val="21"/>
        </w:rPr>
        <w:t xml:space="preserve">arXiv:2403.07815.</w:t>
      </w:r>
    </w:p>
    <w:p>
      <w:pPr>
        <w:spacing w:after="120"/>
      </w:pPr>
      <w:r>
        <w:rPr>
          <w:rFonts w:ascii="Arial" w:cs="Arial" w:eastAsia="Arial" w:hAnsi="Arial"/>
          <w:sz w:val="21"/>
          <w:szCs w:val="21"/>
        </w:rPr>
        <w:t xml:space="preserve">Meyer, M. et al. (2024). Benchmarking TSFMs for Short-Term Household Load Forecasting. </w:t>
      </w:r>
      <w:r>
        <w:rPr>
          <w:rFonts w:ascii="Arial" w:cs="Arial" w:eastAsia="Arial" w:hAnsi="Arial"/>
          <w:i/>
          <w:iCs/>
          <w:sz w:val="21"/>
          <w:szCs w:val="21"/>
        </w:rPr>
        <w:t xml:space="preserve">arXiv:2410.09487.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ECFE8" w:sz="4" w:space="4"/>
      </w:pBdr>
      <w:tabs>
        <w:tab w:val="right" w:pos="10080"/>
      </w:tabs>
      <w:spacing w:after="0"/>
    </w:pPr>
    <w:r>
      <w:rPr>
        <w:rFonts w:ascii="Arial" w:cs="Arial" w:eastAsia="Arial" w:hAnsi="Arial"/>
        <w:color w:val="5A6472"/>
        <w:sz w:val="16"/>
        <w:szCs w:val="16"/>
      </w:rPr>
      <w:t xml:space="preserve">Ramadan-Aware STLF Capstone  |  Omar Shafiy · Eiad Essam · Omar Sharaf · Shady Adham</w:t>
    </w:r>
    <w:r>
      <w:rPr>
        <w:rFonts w:ascii="Arial" w:cs="Arial" w:eastAsia="Arial" w:hAnsi="Arial"/>
        <w:color w:val="5A6472"/>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2E6DB4" w:sz="6"/>
            <w:right w:val="none" w:color="FFFFFF" w:sz="0"/>
          </w:tcBorders>
          <w:tcMar>
            <w:bottom w:type="dxa" w:w="60"/>
          </w:tcMar>
        </w:tcPr>
        <w:p>
          <w:pPr>
            <w:spacing w:after="0"/>
          </w:pPr>
          <w:r>
            <w:rPr>
              <w:rFonts w:ascii="Arial" w:cs="Arial" w:eastAsia="Arial" w:hAnsi="Arial"/>
              <w:b/>
              <w:bCs/>
              <w:color w:val="1B3557"/>
              <w:sz w:val="18"/>
              <w:szCs w:val="18"/>
            </w:rPr>
            <w:t xml:space="preserve">Preprocessing Pipeline — Technical Report</w:t>
          </w:r>
        </w:p>
      </w:tc>
      <w:tc>
        <w:tcPr>
          <w:tcW w:type="dxa" w:w="4080"/>
          <w:tcBorders>
            <w:top w:val="none" w:color="FFFFFF" w:sz="0"/>
            <w:left w:val="none" w:color="FFFFFF" w:sz="0"/>
            <w:bottom w:val="single" w:color="2E6DB4" w:sz="6"/>
            <w:right w:val="none" w:color="FFFFFF" w:sz="0"/>
          </w:tcBorders>
          <w:tcMar>
            <w:bottom w:type="dxa" w:w="60"/>
          </w:tcMar>
        </w:tcPr>
        <w:p>
          <w:pPr>
            <w:spacing w:after="0"/>
            <w:jc w:val="right"/>
          </w:pPr>
          <w:r>
            <w:rPr>
              <w:rFonts w:ascii="Arial" w:cs="Arial" w:eastAsia="Arial" w:hAnsi="Arial"/>
              <w:color w:val="5A6472"/>
              <w:sz w:val="17"/>
              <w:szCs w:val="17"/>
            </w:rPr>
            <w:t xml:space="preserve">Egypt University of Informatics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5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2026-05-10T15:27:30.095Z</dcterms:created>
  <dcterms:modified xsi:type="dcterms:W3CDTF">2026-05-10T15:27:30.095Z</dcterms:modified>
</cp:coreProperties>
</file>

<file path=docProps/custom.xml><?xml version="1.0" encoding="utf-8"?>
<Properties xmlns="http://schemas.openxmlformats.org/officeDocument/2006/custom-properties" xmlns:vt="http://schemas.openxmlformats.org/officeDocument/2006/docPropsVTypes"/>
</file>