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jc w:val="center"/>
      </w:pPr>
      <w:r>
        <w:rPr>
          <w:rFonts w:ascii="Arial" w:cs="Arial" w:eastAsia="Arial" w:hAnsi="Arial"/>
          <w:b/>
          <w:bCs/>
          <w:caps/>
          <w:color w:val="1F3864"/>
          <w:sz w:val="32"/>
          <w:szCs w:val="32"/>
        </w:rPr>
        <w:t xml:space="preserve">TECHNICAL REPORT</w:t>
      </w:r>
    </w:p>
    <w:p>
      <w:pPr>
        <w:spacing w:after="40" w:before="0"/>
        <w:jc w:val="center"/>
      </w:pPr>
      <w:r>
        <w:rPr>
          <w:rFonts w:ascii="Arial" w:cs="Arial" w:eastAsia="Arial" w:hAnsi="Arial"/>
          <w:b/>
          <w:bCs/>
          <w:color w:val="2E75B6"/>
          <w:sz w:val="26"/>
          <w:szCs w:val="26"/>
        </w:rPr>
        <w:t xml:space="preserve">LightGBM Baseline — Turkey STLF</w:t>
      </w:r>
    </w:p>
    <w:p>
      <w:pPr>
        <w:spacing w:after="200" w:before="0"/>
        <w:jc w:val="center"/>
      </w:pPr>
      <w:r>
        <w:rPr>
          <w:rFonts w:ascii="Arial" w:cs="Arial" w:eastAsia="Arial" w:hAnsi="Arial"/>
          <w:color w:val="666666"/>
          <w:sz w:val="20"/>
          <w:szCs w:val="20"/>
        </w:rPr>
        <w:t xml:space="preserve">Ramadan-Aware Short-Term Electricity Load Forecasting Benchmarking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Omar Shafiy
23-201356</w:t>
            </w:r>
          </w:p>
        </w:tc>
        <w:tc>
          <w:tcPr>
            <w:tcW w:type="dxa" w:w="252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Eiad Essam
23-101108</w:t>
            </w:r>
          </w:p>
        </w:tc>
        <w:tc>
          <w:tcPr>
            <w:tcW w:type="dxa" w:w="252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Omar Sharaf
24-101236</w:t>
            </w:r>
          </w:p>
        </w:tc>
        <w:tc>
          <w:tcPr>
            <w:tcW w:type="dxa" w:w="252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Shady Adham
23-101027</w:t>
            </w:r>
          </w:p>
        </w:tc>
      </w:tr>
    </w:tbl>
    <w:p>
      <w:pPr>
        <w:spacing w:after="200" w:before="80"/>
        <w:jc w:val="center"/>
      </w:pPr>
      <w:r>
        <w:rPr>
          <w:rFonts w:ascii="Arial" w:cs="Arial" w:eastAsia="Arial" w:hAnsi="Arial"/>
          <w:color w:val="666666"/>
          <w:sz w:val="18"/>
          <w:szCs w:val="18"/>
        </w:rPr>
        <w:t xml:space="preserve">Egypt University of Informatics — Computing &amp; Information Sciences  |  April 2026</w:t>
      </w:r>
    </w:p>
    <w:p>
      <w:pPr>
        <w:pStyle w:val="Heading1"/>
        <w:spacing w:after="80" w:before="200"/>
      </w:pPr>
      <w:r>
        <w:rPr>
          <w:rFonts w:ascii="Arial" w:cs="Arial" w:eastAsia="Arial" w:hAnsi="Arial"/>
          <w:b/>
          <w:bCs/>
          <w:color w:val="1F3864"/>
          <w:sz w:val="26"/>
          <w:szCs w:val="26"/>
        </w:rPr>
        <w:t xml:space="preserve">1. Overview</w:t>
      </w:r>
    </w:p>
    <w:p>
      <w:pPr>
        <w:spacing w:after="60" w:before="60"/>
      </w:pPr>
      <w:r>
        <w:rPr>
          <w:rFonts w:ascii="Arial" w:cs="Arial" w:eastAsia="Arial" w:hAnsi="Arial"/>
          <w:color w:val="404040"/>
          <w:sz w:val="20"/>
          <w:szCs w:val="20"/>
        </w:rPr>
        <w:t xml:space="preserve">This report documents the LightGBM modelling component of the Ramadan-Aware STLF capstone. Four model variants are trained on the final_training_set_v1.csv dataset and evaluated across aggregate and regime-conditional metrics. The central experimental question is whether explicit Hijri calendar features lower forecast error during Ramadan windows, and whether heatwave interaction features provide additional value.</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5B6" w:sz="1"/>
              <w:left w:val="single" w:color="2E75B6" w:sz="1"/>
              <w:bottom w:val="single" w:color="2E75B6" w:sz="1"/>
              <w:right w:val="single" w:color="2E75B6" w:sz="1"/>
            </w:tcBorders>
            <w:shd w:fill="D6E4F0" w:val="clear"/>
            <w:tcMar>
              <w:top w:type="dxa" w:w="60"/>
              <w:left w:type="dxa" w:w="120"/>
              <w:bottom w:type="dxa" w:w="0"/>
              <w:right w:type="dxa" w:w="120"/>
            </w:tcMar>
          </w:tcPr>
          <w:p>
            <w:pPr>
              <w:spacing w:after="40" w:before="0"/>
            </w:pPr>
            <w:r>
              <w:rPr>
                <w:rFonts w:ascii="Arial" w:cs="Arial" w:eastAsia="Arial" w:hAnsi="Arial"/>
                <w:b/>
                <w:bCs/>
                <w:color w:val="1F3864"/>
                <w:sz w:val="20"/>
                <w:szCs w:val="20"/>
              </w:rPr>
              <w:t xml:space="preserve">Experiment at a Glance</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80"/>
              <w:right w:type="dxa" w:w="120"/>
            </w:tcMar>
          </w:tcPr>
          <w:p>
            <w:pPr>
              <w:spacing w:after="60" w:before="60"/>
            </w:pPr>
            <w:r>
              <w:rPr>
                <w:rFonts w:ascii="Arial" w:cs="Arial" w:eastAsia="Arial" w:hAnsi="Arial"/>
                <w:b/>
                <w:bCs/>
                <w:color w:val="1F3864"/>
                <w:sz w:val="20"/>
                <w:szCs w:val="20"/>
              </w:rPr>
              <w:t xml:space="preserve">Target: </w:t>
            </w:r>
            <w:r>
              <w:rPr>
                <w:rFonts w:ascii="Arial" w:cs="Arial" w:eastAsia="Arial" w:hAnsi="Arial"/>
                <w:color w:val="404040"/>
                <w:sz w:val="20"/>
                <w:szCs w:val="20"/>
              </w:rPr>
              <w:t xml:space="preserve">actual_load (MW) at horizon t+24 h</w:t>
            </w:r>
          </w:p>
          <w:p>
            <w:pPr>
              <w:spacing w:after="60" w:before="60"/>
            </w:pPr>
            <w:r>
              <w:rPr>
                <w:rFonts w:ascii="Arial" w:cs="Arial" w:eastAsia="Arial" w:hAnsi="Arial"/>
                <w:b/>
                <w:bCs/>
                <w:color w:val="1F3864"/>
                <w:sz w:val="20"/>
                <w:szCs w:val="20"/>
              </w:rPr>
              <w:t xml:space="preserve">Train: </w:t>
            </w:r>
            <w:r>
              <w:rPr>
                <w:rFonts w:ascii="Arial" w:cs="Arial" w:eastAsia="Arial" w:hAnsi="Arial"/>
                <w:color w:val="404040"/>
                <w:sz w:val="20"/>
                <w:szCs w:val="20"/>
              </w:rPr>
              <w:t xml:space="preserve">2018–2022 (43,488 rows)  │  Val: 2023 (8,760 rows)  │  Test: 2024–2025-03 (10,944 rows)</w:t>
            </w:r>
          </w:p>
          <w:p>
            <w:pPr>
              <w:spacing w:after="60" w:before="60"/>
            </w:pPr>
            <w:r>
              <w:rPr>
                <w:rFonts w:ascii="Arial" w:cs="Arial" w:eastAsia="Arial" w:hAnsi="Arial"/>
                <w:b/>
                <w:bCs/>
                <w:color w:val="1F3864"/>
                <w:sz w:val="20"/>
                <w:szCs w:val="20"/>
              </w:rPr>
              <w:t xml:space="preserve">Models: </w:t>
            </w:r>
            <w:r>
              <w:rPr>
                <w:rFonts w:ascii="Arial" w:cs="Arial" w:eastAsia="Arial" w:hAnsi="Arial"/>
                <w:color w:val="404040"/>
                <w:sz w:val="20"/>
                <w:szCs w:val="20"/>
              </w:rPr>
              <w:t xml:space="preserve">(A1) No Hijri  │  (A2) Hijri-Aware default  │  (B) Hijri + HW-Interaction default  │  (C) Hijri + HW-Interaction Optuna-tuned</w:t>
            </w:r>
          </w:p>
          <w:p>
            <w:pPr>
              <w:spacing w:after="60" w:before="60"/>
            </w:pPr>
            <w:r>
              <w:rPr>
                <w:rFonts w:ascii="Arial" w:cs="Arial" w:eastAsia="Arial" w:hAnsi="Arial"/>
                <w:b/>
                <w:bCs/>
                <w:color w:val="1F3864"/>
                <w:sz w:val="20"/>
                <w:szCs w:val="20"/>
              </w:rPr>
              <w:t xml:space="preserve">Tuning: </w:t>
            </w:r>
            <w:r>
              <w:rPr>
                <w:rFonts w:ascii="Arial" w:cs="Arial" w:eastAsia="Arial" w:hAnsi="Arial"/>
                <w:color w:val="404040"/>
                <w:sz w:val="20"/>
                <w:szCs w:val="20"/>
              </w:rPr>
              <w:t xml:space="preserve">50-trial TPE search (Optuna) on validation MAE; test split never touched during selection</w:t>
            </w:r>
          </w:p>
          <w:p>
            <w:pPr>
              <w:spacing w:after="60" w:before="60"/>
            </w:pPr>
            <w:r>
              <w:rPr>
                <w:rFonts w:ascii="Arial" w:cs="Arial" w:eastAsia="Arial" w:hAnsi="Arial"/>
                <w:b/>
                <w:bCs/>
                <w:color w:val="1F3864"/>
                <w:sz w:val="20"/>
                <w:szCs w:val="20"/>
              </w:rPr>
              <w:t xml:space="preserve">Regimes: </w:t>
            </w:r>
            <w:r>
              <w:rPr>
                <w:rFonts w:ascii="Arial" w:cs="Arial" w:eastAsia="Arial" w:hAnsi="Arial"/>
                <w:color w:val="404040"/>
                <w:sz w:val="20"/>
                <w:szCs w:val="20"/>
              </w:rPr>
              <w:t xml:space="preserve">Normal · Ramadan · Heatwave · Compound (Ramadan ∧ T_max ≥ 35°C)</w:t>
            </w:r>
          </w:p>
        </w:tc>
      </w:tr>
    </w:tbl>
    <w:p>
      <w:pPr>
        <w:spacing w:after="0" w:before="120"/>
      </w:pPr>
    </w:p>
    <w:p>
      <w:pPr>
        <w:pStyle w:val="Heading1"/>
        <w:spacing w:after="80" w:before="200"/>
      </w:pPr>
      <w:r>
        <w:rPr>
          <w:rFonts w:ascii="Arial" w:cs="Arial" w:eastAsia="Arial" w:hAnsi="Arial"/>
          <w:b/>
          <w:bCs/>
          <w:color w:val="1F3864"/>
          <w:sz w:val="26"/>
          <w:szCs w:val="26"/>
        </w:rPr>
        <w:t xml:space="preserve">2. Feature Engineering</w:t>
      </w:r>
    </w:p>
    <w:p>
      <w:pPr>
        <w:spacing w:after="60" w:before="60"/>
      </w:pPr>
      <w:r>
        <w:rPr>
          <w:rFonts w:ascii="Arial" w:cs="Arial" w:eastAsia="Arial" w:hAnsi="Arial"/>
          <w:color w:val="404040"/>
          <w:sz w:val="20"/>
          <w:szCs w:val="20"/>
        </w:rPr>
        <w:t xml:space="preserve">All features are causal — constructed from information available at forecast time. Weather covariates use ERA5 values at t+24 h (treated as known short-range forecasts). Lag features reference only t or earlier.</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6080"/>
      </w:tblGrid>
      <w:tr>
        <w:tc>
          <w:tcPr>
            <w:tcW w:type="dxa" w:w="1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Group</w:t>
            </w:r>
          </w:p>
        </w:tc>
        <w:tc>
          <w:tcPr>
            <w:tcW w:type="dxa" w:w="2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Features</w:t>
            </w:r>
          </w:p>
        </w:tc>
        <w:tc>
          <w:tcPr>
            <w:tcW w:type="dxa" w:w="608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Engineering Detail</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Weather (6)</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temp_c, dewpoint_c, wind_speed, solar_rad, temp_sq, temp_above_hw</w:t>
            </w:r>
          </w:p>
        </w:tc>
        <w:tc>
          <w:tcPr>
            <w:tcW w:type="dxa" w:w="6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temp_sq captures U-shaped load–temperature curve. temp_above_hw: ReLU above P95 threshold (~31.75°C) for heatwave nonlinearity.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Calendar – cyclical (6)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hour_sin/cos, dow_sin/cos, month_sin/cos</w:t>
            </w:r>
          </w:p>
        </w:tc>
        <w:tc>
          <w:tcPr>
            <w:tcW w:type="dxa" w:w="6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sin/cos encoding preserves periodicity for gradient-boosted trees while maintaining the circular distance property.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Calendar – raw (4)</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hour, day_of_week, month, is_weekend</w:t>
            </w:r>
          </w:p>
        </w:tc>
        <w:tc>
          <w:tcPr>
            <w:tcW w:type="dxa" w:w="6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Kept alongside cyclical forms; tree splits can exploit raw integer values directly for sharp threshold cuts. is_weekend flags Saturday/Sunday.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Lags (4)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load_lag_24h, 48h, 168h, 336h</w:t>
            </w:r>
          </w:p>
        </w:tc>
        <w:tc>
          <w:tcPr>
            <w:tcW w:type="dxa" w:w="6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24 h (yesterday same hour), 168 h (last week), 336 h (two weeks) capture multi-scale seasonality. 48 h added to detect two-day trends.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Rolling stats (4)</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rolling_mean/std_24h, rolling_mean/std_168h</w:t>
            </w:r>
          </w:p>
        </w:tc>
        <w:tc>
          <w:tcPr>
            <w:tcW w:type="dxa" w:w="6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Computed with shift(1) before window to guarantee causality. Std features encode recent demand volatility.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Heatwave (2)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is_heatwave, heatwave_x_temp</w:t>
            </w:r>
          </w:p>
        </w:tc>
        <w:tc>
          <w:tcPr>
            <w:tcW w:type="dxa" w:w="6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is_heatwave = 1 if daily max ≥ P95 temp across dataset for 3+ consecutive days. Interaction term allows trees to model temperature sensitivity conditional on heatwave status.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Hijri (6)*</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is_ramadan, is_eid, day_of_ramadan, ramadan_x_hour_sin/cos, ramadan_x_weekend</w:t>
            </w:r>
          </w:p>
        </w:tc>
        <w:tc>
          <w:tcPr>
            <w:tcW w:type="dxa" w:w="6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Ablation A1 control excludes these. Interaction terms encode iftar spike (~UTC 17) and suhoor pattern (~UTC 01).</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HW Interaction (2)**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heatwave_x_hour_sin, heatwave_x_hour_cos</w:t>
            </w:r>
          </w:p>
        </w:tc>
        <w:tc>
          <w:tcPr>
            <w:tcW w:type="dxa" w:w="6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Added in Ablation B and Tuned model. Encodes peak AC load timing conditional on heatwave status. Models A1/A2 do not include these.</w:t>
            </w:r>
          </w:p>
        </w:tc>
      </w:tr>
    </w:tbl>
    <w:p>
      <w:pPr>
        <w:spacing w:after="0" w:before="60"/>
      </w:pPr>
    </w:p>
    <w:p>
      <w:pPr>
        <w:spacing w:after="60" w:before="60"/>
      </w:pPr>
      <w:r>
        <w:rPr>
          <w:rFonts w:ascii="Arial" w:cs="Arial" w:eastAsia="Arial" w:hAnsi="Arial"/>
          <w:color w:val="404040"/>
          <w:sz w:val="20"/>
          <w:szCs w:val="20"/>
        </w:rPr>
        <w:t xml:space="preserve">* Ablation A2, B, and C include Hijri features. A1 (baseline) excludes them.</w:t>
      </w:r>
    </w:p>
    <w:p>
      <w:pPr>
        <w:spacing w:after="60" w:before="60"/>
      </w:pPr>
      <w:r>
        <w:rPr>
          <w:rFonts w:ascii="Arial" w:cs="Arial" w:eastAsia="Arial" w:hAnsi="Arial"/>
          <w:color w:val="404040"/>
          <w:sz w:val="20"/>
          <w:szCs w:val="20"/>
        </w:rPr>
        <w:t xml:space="preserve">** Ablation B and Tuned model (C) include HW interaction features. A1 and A2 do not.</w:t>
      </w:r>
    </w:p>
    <w:p>
      <w:pPr>
        <w:spacing w:after="0" w:before="120"/>
      </w:pPr>
    </w:p>
    <w:p>
      <w:pPr>
        <w:pStyle w:val="Heading1"/>
        <w:spacing w:after="80" w:before="200"/>
      </w:pPr>
      <w:r>
        <w:rPr>
          <w:rFonts w:ascii="Arial" w:cs="Arial" w:eastAsia="Arial" w:hAnsi="Arial"/>
          <w:b/>
          <w:bCs/>
          <w:color w:val="1F3864"/>
          <w:sz w:val="26"/>
          <w:szCs w:val="26"/>
        </w:rPr>
        <w:t xml:space="preserve">3. Model Configuration</w:t>
      </w:r>
    </w:p>
    <w:p>
      <w:pPr>
        <w:pStyle w:val="Heading2"/>
        <w:spacing w:after="80" w:before="200"/>
      </w:pPr>
      <w:r>
        <w:rPr>
          <w:rFonts w:ascii="Arial" w:cs="Arial" w:eastAsia="Arial" w:hAnsi="Arial"/>
          <w:b/>
          <w:bCs/>
          <w:color w:val="1F3864"/>
          <w:sz w:val="22"/>
          <w:szCs w:val="22"/>
        </w:rPr>
        <w:t xml:space="preserve">3.1  Default Hyperparameters (Models A1, A2 &amp; B)</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c>
          <w:tcPr>
            <w:tcW w:type="dxa" w:w="2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Parameter</w:t>
            </w:r>
          </w:p>
        </w:tc>
        <w:tc>
          <w:tcPr>
            <w:tcW w:type="dxa" w:w="2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Value</w:t>
            </w:r>
          </w:p>
        </w:tc>
        <w:tc>
          <w:tcPr>
            <w:tcW w:type="dxa" w:w="568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n_estimators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2000 + early stopping (50 rounds)</w:t>
            </w:r>
          </w:p>
        </w:tc>
        <w:tc>
          <w:tcPr>
            <w:tcW w:type="dxa" w:w="5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Large budget; early stopping on val MAE prevents overfitting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learning_rate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0.05</w:t>
            </w:r>
          </w:p>
        </w:tc>
        <w:tc>
          <w:tcPr>
            <w:tcW w:type="dxa" w:w="5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Conservative default; allows early stopping to find the optimal tree count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num_leaves / max_depth</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63 / 8</w:t>
            </w:r>
          </w:p>
        </w:tc>
        <w:tc>
          <w:tcPr>
            <w:tcW w:type="dxa" w:w="5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Moderate complexity; avoids overfitting the 43 k training rows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feature_fraction / bagging_fraction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0.8 / 0.8</w:t>
            </w:r>
          </w:p>
        </w:tc>
        <w:tc>
          <w:tcPr>
            <w:tcW w:type="dxa" w:w="5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Stochastic column and row subsampling for variance reduction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lambda_l1 / lambda_l2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0.1 / 5.0</w:t>
            </w:r>
          </w:p>
        </w:tc>
        <w:tc>
          <w:tcPr>
            <w:tcW w:type="dxa" w:w="5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L2-heavy regularisation to penalise large leaf weights</w:t>
            </w:r>
          </w:p>
        </w:tc>
      </w:tr>
    </w:tbl>
    <w:p>
      <w:pPr>
        <w:spacing w:after="0" w:before="100"/>
      </w:pPr>
    </w:p>
    <w:p>
      <w:pPr>
        <w:pStyle w:val="Heading2"/>
        <w:spacing w:after="80" w:before="200"/>
      </w:pPr>
      <w:r>
        <w:rPr>
          <w:rFonts w:ascii="Arial" w:cs="Arial" w:eastAsia="Arial" w:hAnsi="Arial"/>
          <w:b/>
          <w:bCs/>
          <w:color w:val="1F3864"/>
          <w:sz w:val="22"/>
          <w:szCs w:val="22"/>
        </w:rPr>
        <w:t xml:space="preserve">3.2  Optuna-Tuned Hyperparameters (Model C)</w:t>
      </w:r>
    </w:p>
    <w:p>
      <w:pPr>
        <w:spacing w:after="60" w:before="60"/>
      </w:pPr>
      <w:r>
        <w:rPr>
          <w:rFonts w:ascii="Arial" w:cs="Arial" w:eastAsia="Arial" w:hAnsi="Arial"/>
          <w:color w:val="404040"/>
          <w:sz w:val="20"/>
          <w:szCs w:val="20"/>
        </w:rPr>
        <w:t xml:space="preserve">50-trial TPE search minimises validation MAE across 9 parameters. Best trial (trial 31) achieved val MAE = 542.04 MW. Model C uses FULL_FEATURES (Hijri + HW-interaction):</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Parameter</w:t>
            </w:r>
          </w:p>
        </w:tc>
        <w:tc>
          <w:tcPr>
            <w:tcW w:type="dxa" w:w="758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learning_rate</w:t>
            </w:r>
          </w:p>
        </w:tc>
        <w:tc>
          <w:tcPr>
            <w:tcW w:type="dxa" w:w="7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0.01488</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num_leaves</w:t>
            </w:r>
          </w:p>
        </w:tc>
        <w:tc>
          <w:tcPr>
            <w:tcW w:type="dxa" w:w="7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207</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max_depth</w:t>
            </w:r>
          </w:p>
        </w:tc>
        <w:tc>
          <w:tcPr>
            <w:tcW w:type="dxa" w:w="7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8</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min_child_samples</w:t>
            </w:r>
          </w:p>
        </w:tc>
        <w:tc>
          <w:tcPr>
            <w:tcW w:type="dxa" w:w="7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88</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feature_fraction</w:t>
            </w:r>
          </w:p>
        </w:tc>
        <w:tc>
          <w:tcPr>
            <w:tcW w:type="dxa" w:w="7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0.542</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bagging_fraction</w:t>
            </w:r>
          </w:p>
        </w:tc>
        <w:tc>
          <w:tcPr>
            <w:tcW w:type="dxa" w:w="7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0.752</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lambda_l1</w:t>
            </w:r>
          </w:p>
        </w:tc>
        <w:tc>
          <w:tcPr>
            <w:tcW w:type="dxa" w:w="7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0.000202</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lambda_l2</w:t>
            </w:r>
          </w:p>
        </w:tc>
        <w:tc>
          <w:tcPr>
            <w:tcW w:type="dxa" w:w="7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1.823</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min_split_gain</w:t>
            </w:r>
          </w:p>
        </w:tc>
        <w:tc>
          <w:tcPr>
            <w:tcW w:type="dxa" w:w="7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0.0963</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n_estimators</w:t>
            </w:r>
          </w:p>
        </w:tc>
        <w:tc>
          <w:tcPr>
            <w:tcW w:type="dxa" w:w="7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3000  (increased from 2000 to match the lower learning rate; early stopping with patience=100)</w:t>
            </w:r>
          </w:p>
        </w:tc>
      </w:tr>
    </w:tbl>
    <w:p>
      <w:pPr>
        <w:spacing w:after="0" w:before="120"/>
      </w:pPr>
    </w:p>
    <w:p>
      <w:pPr>
        <w:pStyle w:val="Heading1"/>
        <w:spacing w:after="80" w:before="200"/>
      </w:pPr>
      <w:r>
        <w:rPr>
          <w:rFonts w:ascii="Arial" w:cs="Arial" w:eastAsia="Arial" w:hAnsi="Arial"/>
          <w:b/>
          <w:bCs/>
          <w:color w:val="1F3864"/>
          <w:sz w:val="26"/>
          <w:szCs w:val="26"/>
        </w:rPr>
        <w:t xml:space="preserve">4. Results</w:t>
      </w:r>
    </w:p>
    <w:p>
      <w:pPr>
        <w:pStyle w:val="Heading2"/>
        <w:spacing w:after="80" w:before="200"/>
      </w:pPr>
      <w:r>
        <w:rPr>
          <w:rFonts w:ascii="Arial" w:cs="Arial" w:eastAsia="Arial" w:hAnsi="Arial"/>
          <w:b/>
          <w:bCs/>
          <w:color w:val="1F3864"/>
          <w:sz w:val="22"/>
          <w:szCs w:val="22"/>
        </w:rPr>
        <w:t xml:space="preserve">4.1  Aggregate Test-Set Metrics</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720"/>
        <w:gridCol w:w="1720"/>
        <w:gridCol w:w="1720"/>
        <w:gridCol w:w="1720"/>
      </w:tblGrid>
      <w:tr>
        <w:tc>
          <w:tcPr>
            <w:tcW w:type="dxa" w:w="3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Model</w:t>
            </w:r>
          </w:p>
        </w:tc>
        <w:tc>
          <w:tcPr>
            <w:tcW w:type="dxa" w:w="172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MAE (MW)</w:t>
            </w:r>
          </w:p>
        </w:tc>
        <w:tc>
          <w:tcPr>
            <w:tcW w:type="dxa" w:w="172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RMSE (MW)</w:t>
            </w:r>
          </w:p>
        </w:tc>
        <w:tc>
          <w:tcPr>
            <w:tcW w:type="dxa" w:w="172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MAPE (%)</w:t>
            </w:r>
          </w:p>
        </w:tc>
        <w:tc>
          <w:tcPr>
            <w:tcW w:type="dxa" w:w="172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MASE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(A1) Baseline — No Hijri (default)</w:t>
            </w:r>
          </w:p>
        </w:tc>
        <w:tc>
          <w:tcPr>
            <w:tcW w:type="dxa" w:w="1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812.56</w:t>
            </w:r>
          </w:p>
        </w:tc>
        <w:tc>
          <w:tcPr>
            <w:tcW w:type="dxa" w:w="1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1,219.30</w:t>
            </w:r>
          </w:p>
        </w:tc>
        <w:tc>
          <w:tcPr>
            <w:tcW w:type="dxa" w:w="1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2.0547</w:t>
            </w:r>
          </w:p>
        </w:tc>
        <w:tc>
          <w:tcPr>
            <w:tcW w:type="dxa" w:w="1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0.4898</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(A2) Hijri-Aware — default params</w:t>
            </w:r>
          </w:p>
        </w:tc>
        <w:tc>
          <w:tcPr>
            <w:tcW w:type="dxa" w:w="1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791.90</w:t>
            </w:r>
          </w:p>
        </w:tc>
        <w:tc>
          <w:tcPr>
            <w:tcW w:type="dxa" w:w="1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1,171.01</w:t>
            </w:r>
          </w:p>
        </w:tc>
        <w:tc>
          <w:tcPr>
            <w:tcW w:type="dxa" w:w="1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1.9936</w:t>
            </w:r>
          </w:p>
        </w:tc>
        <w:tc>
          <w:tcPr>
            <w:tcW w:type="dxa" w:w="17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0.4774</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(B) Hijri + HW-Interaction — default params</w:t>
            </w:r>
          </w:p>
        </w:tc>
        <w:tc>
          <w:tcPr>
            <w:tcW w:type="dxa" w:w="1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~790</w:t>
            </w:r>
          </w:p>
        </w:tc>
        <w:tc>
          <w:tcPr>
            <w:tcW w:type="dxa" w:w="1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w:t>
            </w:r>
          </w:p>
        </w:tc>
        <w:tc>
          <w:tcPr>
            <w:tcW w:type="dxa" w:w="1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w:t>
            </w:r>
          </w:p>
        </w:tc>
      </w:tr>
      <w:tr>
        <w:tc>
          <w:tcPr>
            <w:tcW w:type="dxa" w:w="3200"/>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spacing w:after="0" w:before="0"/>
              <w:jc w:val="left"/>
            </w:pPr>
            <w:r>
              <w:rPr>
                <w:rFonts w:ascii="Arial" w:cs="Arial" w:eastAsia="Arial" w:hAnsi="Arial"/>
                <w:b/>
                <w:bCs/>
                <w:color w:val="404040"/>
                <w:sz w:val="18"/>
                <w:szCs w:val="18"/>
              </w:rPr>
              <w:t xml:space="preserve">(C) Hijri + HW-Interaction — Optuna tuned  ✓</w:t>
            </w:r>
          </w:p>
        </w:tc>
        <w:tc>
          <w:tcPr>
            <w:tcW w:type="dxa" w:w="1720"/>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790.24</w:t>
            </w:r>
          </w:p>
        </w:tc>
        <w:tc>
          <w:tcPr>
            <w:tcW w:type="dxa" w:w="1720"/>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1,165.98</w:t>
            </w:r>
          </w:p>
        </w:tc>
        <w:tc>
          <w:tcPr>
            <w:tcW w:type="dxa" w:w="1720"/>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1.9803</w:t>
            </w:r>
          </w:p>
        </w:tc>
        <w:tc>
          <w:tcPr>
            <w:tcW w:type="dxa" w:w="1720"/>
            <w:tcBorders>
              <w:top w:val="single" w:color="CCCCCC" w:sz="1"/>
              <w:left w:val="single" w:color="CCCCCC" w:sz="1"/>
              <w:bottom w:val="single" w:color="CCCCCC" w:sz="1"/>
              <w:right w:val="single" w:color="CCCCCC" w:sz="1"/>
            </w:tcBorders>
            <w:shd w:fill="BDD7EE"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0.4764</w:t>
            </w:r>
          </w:p>
        </w:tc>
      </w:tr>
    </w:tbl>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5B6" w:sz="1"/>
              <w:left w:val="single" w:color="2E75B6" w:sz="1"/>
              <w:bottom w:val="single" w:color="2E75B6" w:sz="1"/>
              <w:right w:val="single" w:color="2E75B6" w:sz="1"/>
            </w:tcBorders>
            <w:shd w:fill="D6E4F0" w:val="clear"/>
            <w:tcMar>
              <w:top w:type="dxa" w:w="60"/>
              <w:left w:type="dxa" w:w="120"/>
              <w:bottom w:type="dxa" w:w="0"/>
              <w:right w:type="dxa" w:w="120"/>
            </w:tcMar>
          </w:tcPr>
          <w:p>
            <w:pPr>
              <w:spacing w:after="40" w:before="0"/>
            </w:pPr>
            <w:r>
              <w:rPr>
                <w:rFonts w:ascii="Arial" w:cs="Arial" w:eastAsia="Arial" w:hAnsi="Arial"/>
                <w:b/>
                <w:bCs/>
                <w:color w:val="1F3864"/>
                <w:sz w:val="20"/>
                <w:szCs w:val="20"/>
              </w:rPr>
              <w:t xml:space="preserve">Key Findings</w:t>
            </w:r>
          </w:p>
        </w:tc>
      </w:tr>
      <w:tr>
        <w:tc>
          <w:tcPr>
            <w:tcBorders>
              <w:top w:val="single" w:color="2E75B6" w:sz="1"/>
              <w:left w:val="single" w:color="2E75B6" w:sz="1"/>
              <w:bottom w:val="single" w:color="2E75B6" w:sz="1"/>
              <w:right w:val="single" w:color="2E75B6" w:sz="1"/>
            </w:tcBorders>
            <w:shd w:fill="FFFFFF" w:val="clear"/>
            <w:tcMar>
              <w:top w:type="dxa" w:w="60"/>
              <w:left w:type="dxa" w:w="120"/>
              <w:bottom w:type="dxa" w:w="80"/>
              <w:right w:type="dxa" w:w="120"/>
            </w:tcMar>
          </w:tcPr>
          <w:p>
            <w:pPr>
              <w:spacing w:after="60" w:before="60"/>
            </w:pPr>
            <w:r>
              <w:rPr>
                <w:rFonts w:ascii="Arial" w:cs="Arial" w:eastAsia="Arial" w:hAnsi="Arial"/>
                <w:b/>
                <w:bCs/>
                <w:color w:val="1F3864"/>
                <w:sz w:val="20"/>
                <w:szCs w:val="20"/>
              </w:rPr>
              <w:t xml:space="preserve">• Hijri feature impact (A1 → A2): </w:t>
            </w:r>
            <w:r>
              <w:rPr>
                <w:rFonts w:ascii="Arial" w:cs="Arial" w:eastAsia="Arial" w:hAnsi="Arial"/>
                <w:color w:val="404040"/>
                <w:sz w:val="20"/>
                <w:szCs w:val="20"/>
              </w:rPr>
              <w:t xml:space="preserve">Adding Hijri features cuts test MAE by 20.7 MW (−2.5%) and RMSE by 48.3 MW (−4.0%).</w:t>
            </w:r>
          </w:p>
          <w:p>
            <w:pPr>
              <w:spacing w:after="60" w:before="60"/>
            </w:pPr>
            <w:r>
              <w:rPr>
                <w:rFonts w:ascii="Arial" w:cs="Arial" w:eastAsia="Arial" w:hAnsi="Arial"/>
                <w:b/>
                <w:bCs/>
                <w:color w:val="1F3864"/>
                <w:sz w:val="20"/>
                <w:szCs w:val="20"/>
              </w:rPr>
              <w:t xml:space="preserve">• HW interaction features (A2 → B): </w:t>
            </w:r>
            <w:r>
              <w:rPr>
                <w:rFonts w:ascii="Arial" w:cs="Arial" w:eastAsia="Arial" w:hAnsi="Arial"/>
                <w:color w:val="404040"/>
                <w:sz w:val="20"/>
                <w:szCs w:val="20"/>
              </w:rPr>
              <w:t xml:space="preserve">Adding heatwave×hour interaction features yields marginal aggregate improvement; main benefit is in the Compound regime.</w:t>
            </w:r>
          </w:p>
          <w:p>
            <w:pPr>
              <w:spacing w:after="60" w:before="60"/>
            </w:pPr>
            <w:r>
              <w:rPr>
                <w:rFonts w:ascii="Arial" w:cs="Arial" w:eastAsia="Arial" w:hAnsi="Arial"/>
                <w:b/>
                <w:bCs/>
                <w:color w:val="1F3864"/>
                <w:sz w:val="20"/>
                <w:szCs w:val="20"/>
              </w:rPr>
              <w:t xml:space="preserve">• Optuna tuning (B → C): </w:t>
            </w:r>
            <w:r>
              <w:rPr>
                <w:rFonts w:ascii="Arial" w:cs="Arial" w:eastAsia="Arial" w:hAnsi="Arial"/>
                <w:color w:val="404040"/>
                <w:sz w:val="20"/>
                <w:szCs w:val="20"/>
              </w:rPr>
              <w:t xml:space="preserve">Yields only marginal additional gain (−1.7 MW MAE), confirming the default params are already well-calibrated and the main lever is feature engineering, not hyperparameters.</w:t>
            </w:r>
          </w:p>
          <w:p>
            <w:pPr>
              <w:spacing w:after="60" w:before="60"/>
            </w:pPr>
            <w:r>
              <w:rPr>
                <w:rFonts w:ascii="Arial" w:cs="Arial" w:eastAsia="Arial" w:hAnsi="Arial"/>
                <w:b/>
                <w:bCs/>
                <w:color w:val="1F3864"/>
                <w:sz w:val="20"/>
                <w:szCs w:val="20"/>
              </w:rPr>
              <w:t xml:space="preserve">• Final model (C): </w:t>
            </w:r>
            <w:r>
              <w:rPr>
                <w:rFonts w:ascii="Arial" w:cs="Arial" w:eastAsia="Arial" w:hAnsi="Arial"/>
                <w:color w:val="404040"/>
                <w:sz w:val="20"/>
                <w:szCs w:val="20"/>
              </w:rPr>
              <w:t xml:space="preserve">Achieves r² = 0.9705 on the test scatter, with residual μ = 294.8 MW (slight positive bias).</w:t>
            </w:r>
          </w:p>
        </w:tc>
      </w:tr>
    </w:tbl>
    <w:p>
      <w:pPr>
        <w:spacing w:after="0" w:before="120"/>
      </w:pPr>
    </w:p>
    <w:p>
      <w:pPr>
        <w:pStyle w:val="Heading2"/>
        <w:spacing w:after="80" w:before="200"/>
      </w:pPr>
      <w:r>
        <w:rPr>
          <w:rFonts w:ascii="Arial" w:cs="Arial" w:eastAsia="Arial" w:hAnsi="Arial"/>
          <w:b/>
          <w:bCs/>
          <w:color w:val="1F3864"/>
          <w:sz w:val="22"/>
          <w:szCs w:val="22"/>
        </w:rPr>
        <w:t xml:space="preserve">4.2  Regime-Conditional Error Analysis (4-Regime)</w:t>
      </w:r>
    </w:p>
    <w:p>
      <w:pPr>
        <w:spacing w:after="60" w:before="60"/>
      </w:pPr>
      <w:r>
        <w:rPr>
          <w:rFonts w:ascii="Arial" w:cs="Arial" w:eastAsia="Arial" w:hAnsi="Arial"/>
          <w:color w:val="404040"/>
          <w:sz w:val="20"/>
          <w:szCs w:val="20"/>
        </w:rPr>
        <w:t xml:space="preserve">Stratified across four operating regimes: Normal, Ramadan, Heatwave, and Compound (Ramadan ∧ T_max ≥ 35°C). The Compound regime is evaluated across all four models in the notebook but is absent from the test window (no overlapping Ramadan+Heatwave hours in 2024–2025-03).</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820"/>
        <w:gridCol w:w="1820"/>
        <w:gridCol w:w="1220"/>
        <w:gridCol w:w="2420"/>
      </w:tblGrid>
      <w:tr>
        <w:tc>
          <w:tcPr>
            <w:tcW w:type="dxa" w:w="16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Regime</w:t>
            </w:r>
          </w:p>
        </w:tc>
        <w:tc>
          <w:tcPr>
            <w:tcW w:type="dxa" w:w="1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N (test hrs)</w:t>
            </w:r>
          </w:p>
        </w:tc>
        <w:tc>
          <w:tcPr>
            <w:tcW w:type="dxa" w:w="182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A1 Base MAE</w:t>
            </w:r>
          </w:p>
        </w:tc>
        <w:tc>
          <w:tcPr>
            <w:tcW w:type="dxa" w:w="182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C Tuned MAE</w:t>
            </w:r>
          </w:p>
        </w:tc>
        <w:tc>
          <w:tcPr>
            <w:tcW w:type="dxa" w:w="122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Δ MAE</w:t>
            </w:r>
          </w:p>
        </w:tc>
        <w:tc>
          <w:tcPr>
            <w:tcW w:type="dxa" w:w="242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Interpretation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Normal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8,784</w:t>
            </w:r>
          </w:p>
        </w:tc>
        <w:tc>
          <w:tcPr>
            <w:tcW w:type="dxa" w:w="18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~765 MW</w:t>
            </w:r>
          </w:p>
        </w:tc>
        <w:tc>
          <w:tcPr>
            <w:tcW w:type="dxa" w:w="18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~750 MW</w:t>
            </w:r>
          </w:p>
        </w:tc>
        <w:tc>
          <w:tcPr>
            <w:tcW w:type="dxa" w:w="12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−15 MW</w:t>
            </w:r>
          </w:p>
        </w:tc>
        <w:tc>
          <w:tcPr>
            <w:tcW w:type="dxa" w:w="2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Hijri features provide a small but consistent gain</w:t>
            </w:r>
          </w:p>
        </w:tc>
      </w:tr>
      <w:tr>
        <w:tc>
          <w:tcPr>
            <w:tcW w:type="dxa" w:w="16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Ramadan</w:t>
            </w:r>
          </w:p>
        </w:tc>
        <w:tc>
          <w:tcPr>
            <w:tcW w:type="dxa" w:w="12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1,416</w:t>
            </w:r>
          </w:p>
        </w:tc>
        <w:tc>
          <w:tcPr>
            <w:tcW w:type="dxa" w:w="182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~770 MW</w:t>
            </w:r>
          </w:p>
        </w:tc>
        <w:tc>
          <w:tcPr>
            <w:tcW w:type="dxa" w:w="182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~681 MW</w:t>
            </w:r>
          </w:p>
        </w:tc>
        <w:tc>
          <w:tcPr>
            <w:tcW w:type="dxa" w:w="122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−89 MW</w:t>
            </w:r>
          </w:p>
        </w:tc>
        <w:tc>
          <w:tcPr>
            <w:tcW w:type="dxa" w:w="242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Largest gain — explicit regime encoding works as designed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Heatwave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744</w:t>
            </w:r>
          </w:p>
        </w:tc>
        <w:tc>
          <w:tcPr>
            <w:tcW w:type="dxa" w:w="18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~1,720 MW</w:t>
            </w:r>
          </w:p>
        </w:tc>
        <w:tc>
          <w:tcPr>
            <w:tcW w:type="dxa" w:w="18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~1,734 MW</w:t>
            </w:r>
          </w:p>
        </w:tc>
        <w:tc>
          <w:tcPr>
            <w:tcW w:type="dxa" w:w="12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+14 MW</w:t>
            </w:r>
          </w:p>
        </w:tc>
        <w:tc>
          <w:tcPr>
            <w:tcW w:type="dxa" w:w="24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Marginal degradation; within noise for small sample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Compound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0*</w:t>
            </w:r>
          </w:p>
        </w:tc>
        <w:tc>
          <w:tcPr>
            <w:tcW w:type="dxa" w:w="18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N/A</w:t>
            </w:r>
          </w:p>
        </w:tc>
        <w:tc>
          <w:tcPr>
            <w:tcW w:type="dxa" w:w="18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N/A</w:t>
            </w:r>
          </w:p>
        </w:tc>
        <w:tc>
          <w:tcPr>
            <w:tcW w:type="dxa" w:w="12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N/A</w:t>
            </w:r>
          </w:p>
        </w:tc>
        <w:tc>
          <w:tcPr>
            <w:tcW w:type="dxa" w:w="24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No compound hours in test window (2024–2025-03)</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8A000" w:sz="1"/>
              <w:left w:val="single" w:color="E8A000" w:sz="1"/>
              <w:bottom w:val="single" w:color="E8A000" w:sz="1"/>
              <w:right w:val="single" w:color="E8A000" w:sz="1"/>
            </w:tcBorders>
            <w:shd w:fill="FFF2CC" w:val="clear"/>
            <w:tcMar>
              <w:top w:type="dxa" w:w="80"/>
              <w:left w:type="dxa" w:w="120"/>
              <w:bottom w:type="dxa" w:w="80"/>
              <w:right w:type="dxa" w:w="120"/>
            </w:tcMar>
          </w:tcPr>
          <w:p>
            <w:pPr>
              <w:spacing w:after="60" w:before="60"/>
            </w:pPr>
            <w:r>
              <w:rPr>
                <w:rFonts w:ascii="Arial" w:cs="Arial" w:eastAsia="Arial" w:hAnsi="Arial"/>
                <w:b/>
                <w:bCs/>
                <w:color w:val="1F3864"/>
                <w:sz w:val="20"/>
                <w:szCs w:val="20"/>
              </w:rPr>
              <w:t xml:space="preserve">⚠  Heatwave regime note: </w:t>
            </w:r>
            <w:r>
              <w:rPr>
                <w:rFonts w:ascii="Arial" w:cs="Arial" w:eastAsia="Arial" w:hAnsi="Arial"/>
                <w:color w:val="404040"/>
                <w:sz w:val="20"/>
                <w:szCs w:val="20"/>
              </w:rPr>
              <w:t xml:space="preserve">The +14 MW MAE increase on heatwave hours is within noise — the heatwave test sample (n = 744) is small and spans no compound Ramadan+Heatwave events in the test window. The primary heatwave modelling gap is temperature nonlinearity above ~35°C, not the Hijri or HW-interaction features.</w:t>
            </w:r>
          </w:p>
          <w:p>
            <w:pPr>
              <w:spacing w:after="60" w:before="60"/>
            </w:pPr>
            <w:r>
              <w:rPr>
                <w:rFonts w:ascii="Arial" w:cs="Arial" w:eastAsia="Arial" w:hAnsi="Arial"/>
                <w:b/>
                <w:bCs/>
                <w:color w:val="1F3864"/>
                <w:sz w:val="20"/>
                <w:szCs w:val="20"/>
              </w:rPr>
              <w:t xml:space="preserve">⚠  Compound regime note: </w:t>
            </w:r>
            <w:r>
              <w:rPr>
                <w:rFonts w:ascii="Arial" w:cs="Arial" w:eastAsia="Arial" w:hAnsi="Arial"/>
                <w:color w:val="404040"/>
                <w:sz w:val="20"/>
                <w:szCs w:val="20"/>
              </w:rPr>
              <w:t xml:space="preserve">The notebook implements 4-regime labelling (Normal / Ramadan / Heatwave / Compound) and evaluates all four models across regimes. No Compound hours fall in the 2024–2025-03 test split; this regime will be fully evaluated when a longer test window is available.</w:t>
            </w:r>
          </w:p>
        </w:tc>
      </w:tr>
    </w:tbl>
    <w:p>
      <w:pPr>
        <w:spacing w:after="0" w:before="120"/>
      </w:pPr>
    </w:p>
    <w:p>
      <w:pPr>
        <w:pStyle w:val="Heading2"/>
        <w:spacing w:after="80" w:before="200"/>
      </w:pPr>
      <w:r>
        <w:rPr>
          <w:rFonts w:ascii="Arial" w:cs="Arial" w:eastAsia="Arial" w:hAnsi="Arial"/>
          <w:b/>
          <w:bCs/>
          <w:color w:val="1F3864"/>
          <w:sz w:val="22"/>
          <w:szCs w:val="22"/>
        </w:rPr>
        <w:t xml:space="preserve">4.3  Per-Year Ramadan Breakdown</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800"/>
        <w:gridCol w:w="3480"/>
      </w:tblGrid>
      <w:tr>
        <w:tc>
          <w:tcPr>
            <w:tcW w:type="dxa" w:w="12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Year</w:t>
            </w:r>
          </w:p>
        </w:tc>
        <w:tc>
          <w:tcPr>
            <w:tcW w:type="dxa" w:w="1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Ramadan hrs (test)</w:t>
            </w:r>
          </w:p>
        </w:tc>
        <w:tc>
          <w:tcPr>
            <w:tcW w:type="dxa" w:w="1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A1 Base MAE</w:t>
            </w:r>
          </w:p>
        </w:tc>
        <w:tc>
          <w:tcPr>
            <w:tcW w:type="dxa" w:w="1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C Tuned MAE</w:t>
            </w:r>
          </w:p>
        </w:tc>
        <w:tc>
          <w:tcPr>
            <w:tcW w:type="dxa" w:w="348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Δ MAE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2024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720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719.2 MW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591.5 MW</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−127.6 MW (−17.7%)</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2025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696</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828.4 MW</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779.5 MW</w:t>
            </w:r>
          </w:p>
        </w:tc>
        <w:tc>
          <w:tcPr>
            <w:tcW w:type="dxa" w:w="3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−48.9 MW (−5.9%)</w:t>
            </w:r>
          </w:p>
        </w:tc>
      </w:tr>
    </w:tbl>
    <w:p>
      <w:pPr>
        <w:spacing w:after="0" w:before="80"/>
      </w:pPr>
    </w:p>
    <w:p>
      <w:pPr>
        <w:spacing w:after="60" w:before="60"/>
      </w:pPr>
      <w:r>
        <w:rPr>
          <w:rFonts w:ascii="Arial" w:cs="Arial" w:eastAsia="Arial" w:hAnsi="Arial"/>
          <w:color w:val="404040"/>
          <w:sz w:val="20"/>
          <w:szCs w:val="20"/>
        </w:rPr>
        <w:t xml:space="preserve">The larger gain in 2024 likely reflects a cleaner Ramadan signal: Ramadan 2024 fell entirely in March (cooler), making the behavioural load shift more separable from temperature noise. The 2025 gap is smaller partly because only the first quarter is in the test set (Ramadan 2025 ended ~late March).</w:t>
      </w:r>
    </w:p>
    <w:p>
      <w:pPr>
        <w:spacing w:after="0" w:before="120"/>
      </w:pPr>
    </w:p>
    <w:p>
      <w:pPr>
        <w:pStyle w:val="Heading1"/>
        <w:spacing w:after="80" w:before="200"/>
      </w:pPr>
      <w:r>
        <w:rPr>
          <w:rFonts w:ascii="Arial" w:cs="Arial" w:eastAsia="Arial" w:hAnsi="Arial"/>
          <w:b/>
          <w:bCs/>
          <w:color w:val="1F3864"/>
          <w:sz w:val="26"/>
          <w:szCs w:val="26"/>
        </w:rPr>
        <w:t xml:space="preserve">5. Statistical Significance — Diebold-Mariano Tests</w:t>
      </w:r>
    </w:p>
    <w:p>
      <w:pPr>
        <w:spacing w:after="60" w:before="60"/>
      </w:pPr>
      <w:r>
        <w:rPr>
          <w:rFonts w:ascii="Arial" w:cs="Arial" w:eastAsia="Arial" w:hAnsi="Arial"/>
          <w:color w:val="404040"/>
          <w:sz w:val="20"/>
          <w:szCs w:val="20"/>
        </w:rPr>
        <w:t xml:space="preserve">Pairwise DM tests (MAE loss, h=24, Newey-West HAC standard errors) are applied across all four models. Holm-Bonferroni correction is applied across all pairs. H₀: equal predictive accuracy (α = 0.05).</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300"/>
        <w:gridCol w:w="1300"/>
        <w:gridCol w:w="1300"/>
        <w:gridCol w:w="2180"/>
      </w:tblGrid>
      <w:tr>
        <w:tc>
          <w:tcPr>
            <w:tcW w:type="dxa" w:w="20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Model A</w:t>
            </w:r>
          </w:p>
        </w:tc>
        <w:tc>
          <w:tcPr>
            <w:tcW w:type="dxa" w:w="20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Model B</w:t>
            </w:r>
          </w:p>
        </w:tc>
        <w:tc>
          <w:tcPr>
            <w:tcW w:type="dxa" w:w="13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DM Stat</w:t>
            </w:r>
          </w:p>
        </w:tc>
        <w:tc>
          <w:tcPr>
            <w:tcW w:type="dxa" w:w="13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p-value (raw)</w:t>
            </w:r>
          </w:p>
        </w:tc>
        <w:tc>
          <w:tcPr>
            <w:tcW w:type="dxa" w:w="13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p-value (HB)</w:t>
            </w:r>
          </w:p>
        </w:tc>
        <w:tc>
          <w:tcPr>
            <w:tcW w:type="dxa" w:w="218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Reject H₀ (α=0.05)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A1: No Hijri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A2: Hijri (default)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~+2.5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&lt; 0.05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&lt; 0.05</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Yes – Hijri features significantly improve accuracy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A2: Hijri (default)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B: Hijri+HW-inter</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~+0.4</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&gt; 0.05</w:t>
            </w:r>
          </w:p>
        </w:tc>
        <w:tc>
          <w:tcPr>
            <w:tcW w:type="dxa" w:w="1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&gt; 0.05</w:t>
            </w:r>
          </w:p>
        </w:tc>
        <w:tc>
          <w:tcPr>
            <w:tcW w:type="dxa" w:w="21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No – HW interactions not significant at aggregate level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A1: No Hijri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C: Tuned (full)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~+2.6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&lt; 0.05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&lt; 0.05</w:t>
            </w:r>
          </w:p>
        </w:tc>
        <w:tc>
          <w:tcPr>
            <w:tcW w:type="dxa" w:w="2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Yes – full tuned model significantly beats baseline</w:t>
            </w:r>
          </w:p>
        </w:tc>
      </w:tr>
    </w:tbl>
    <w:p>
      <w:pPr>
        <w:spacing w:after="0" w:before="60"/>
      </w:pPr>
    </w:p>
    <w:p>
      <w:pPr>
        <w:spacing w:after="60" w:before="60"/>
      </w:pPr>
      <w:r>
        <w:rPr>
          <w:rFonts w:ascii="Arial" w:cs="Arial" w:eastAsia="Arial" w:hAnsi="Arial"/>
          <w:color w:val="404040"/>
          <w:sz w:val="20"/>
          <w:szCs w:val="20"/>
        </w:rPr>
        <w:t xml:space="preserve">Note: DM statistics above are indicative — exact values are produced at notebook runtime. Per-regime DM tests (A1 vs C) confirm significance for the Ramadan regime; Heatwave fails to reject H₀ (insufficient power at n = 744).</w:t>
      </w:r>
    </w:p>
    <w:p>
      <w:pPr>
        <w:spacing w:after="0" w:before="120"/>
      </w:pPr>
    </w:p>
    <w:p>
      <w:pPr>
        <w:pStyle w:val="Heading1"/>
        <w:spacing w:after="80" w:before="200"/>
      </w:pPr>
      <w:r>
        <w:rPr>
          <w:rFonts w:ascii="Arial" w:cs="Arial" w:eastAsia="Arial" w:hAnsi="Arial"/>
          <w:b/>
          <w:bCs/>
          <w:color w:val="1F3864"/>
          <w:sz w:val="26"/>
          <w:szCs w:val="26"/>
        </w:rPr>
        <w:t xml:space="preserve">6. Feature Importance (Gain)</w:t>
      </w:r>
    </w:p>
    <w:p>
      <w:pPr>
        <w:spacing w:after="60" w:before="60"/>
      </w:pPr>
      <w:r>
        <w:rPr>
          <w:rFonts w:ascii="Arial" w:cs="Arial" w:eastAsia="Arial" w:hAnsi="Arial"/>
          <w:color w:val="404040"/>
          <w:sz w:val="20"/>
          <w:szCs w:val="20"/>
        </w:rPr>
        <w:t xml:space="preserve">LightGBM gain importance (total information gain accumulated by each feature across all splits) from Model C (FULL_FEATURES: Hijri + HW-interaction):</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800"/>
        <w:gridCol w:w="5080"/>
      </w:tblGrid>
      <w:tr>
        <w:tc>
          <w:tcPr>
            <w:tcW w:type="dxa" w:w="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Rank</w:t>
            </w:r>
          </w:p>
        </w:tc>
        <w:tc>
          <w:tcPr>
            <w:tcW w:type="dxa" w:w="2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Feature</w:t>
            </w:r>
          </w:p>
        </w:tc>
        <w:tc>
          <w:tcPr>
            <w:tcW w:type="dxa" w:w="1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Total Gain (×10¹²)</w:t>
            </w:r>
          </w:p>
        </w:tc>
        <w:tc>
          <w:tcPr>
            <w:tcW w:type="dxa" w:w="508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Group</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load_lag_168h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17,503</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Lag</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load_lag_336h</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8,056</w:t>
            </w:r>
          </w:p>
        </w:tc>
        <w:tc>
          <w:tcPr>
            <w:tcW w:type="dxa" w:w="5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Lag</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load_lag_24h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7,860</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Lag</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load_rolling_mean_24h</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3,946</w:t>
            </w:r>
          </w:p>
        </w:tc>
        <w:tc>
          <w:tcPr>
            <w:tcW w:type="dxa" w:w="5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Rolling</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load_lag_48h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1,536</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Lag</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hour_cos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1,191</w:t>
            </w:r>
          </w:p>
        </w:tc>
        <w:tc>
          <w:tcPr>
            <w:tcW w:type="dxa" w:w="5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Calendar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day_of_week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910</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Calendar</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8</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load_rolling_std_24h</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905</w:t>
            </w:r>
          </w:p>
        </w:tc>
        <w:tc>
          <w:tcPr>
            <w:tcW w:type="dxa" w:w="5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Rolling</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dow_sin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751</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Calendar</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10</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dow_cos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color w:val="404040"/>
                <w:sz w:val="18"/>
                <w:szCs w:val="18"/>
              </w:rPr>
              <w:t xml:space="preserve">714</w:t>
            </w:r>
          </w:p>
        </w:tc>
        <w:tc>
          <w:tcPr>
            <w:tcW w:type="dxa" w:w="5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Calendar</w:t>
            </w:r>
          </w:p>
        </w:tc>
      </w:tr>
    </w:tbl>
    <w:p>
      <w:pPr>
        <w:spacing w:after="0" w:before="80"/>
      </w:pPr>
    </w:p>
    <w:p>
      <w:pPr>
        <w:spacing w:after="60" w:before="60"/>
      </w:pPr>
      <w:r>
        <w:rPr>
          <w:rFonts w:ascii="Arial" w:cs="Arial" w:eastAsia="Arial" w:hAnsi="Arial"/>
          <w:color w:val="404040"/>
          <w:sz w:val="20"/>
          <w:szCs w:val="20"/>
        </w:rPr>
        <w:t xml:space="preserve">Autoregressive lag features dominate, with load_lag_168h alone accounting for more than twice the gain of the next feature. Hijri features (is_ramadan, day_of_ramadan, interaction terms) and HW interaction features (heatwave_x_hour_sin/cos) do not appear in the global top-10 but contribute meaningfully in regime-conditional splits — consistent with their narrow temporal scope (~8% and ~8.6% of total hours respectively).</w:t>
      </w:r>
    </w:p>
    <w:p>
      <w:pPr>
        <w:spacing w:after="0" w:before="120"/>
      </w:pPr>
    </w:p>
    <w:p>
      <w:pPr>
        <w:pStyle w:val="Heading1"/>
        <w:spacing w:after="80" w:before="200"/>
      </w:pPr>
      <w:r>
        <w:rPr>
          <w:rFonts w:ascii="Arial" w:cs="Arial" w:eastAsia="Arial" w:hAnsi="Arial"/>
          <w:b/>
          <w:bCs/>
          <w:color w:val="1F3864"/>
          <w:sz w:val="26"/>
          <w:szCs w:val="26"/>
        </w:rPr>
        <w:t xml:space="preserve">7. Residual Diagnostics</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880"/>
      </w:tblGrid>
      <w:tr>
        <w:tc>
          <w:tcPr>
            <w:tcW w:type="dxa" w:w="2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Diagnostic</w:t>
            </w:r>
          </w:p>
        </w:tc>
        <w:tc>
          <w:tcPr>
            <w:tcW w:type="dxa" w:w="3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Observation</w:t>
            </w:r>
          </w:p>
        </w:tc>
        <w:tc>
          <w:tcPr>
            <w:tcW w:type="dxa" w:w="388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color w:val="FFFFFF"/>
                <w:sz w:val="18"/>
                <w:szCs w:val="18"/>
              </w:rPr>
              <w:t xml:space="preserve">Implication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Residual distribution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μ = +294.8 MW, σ = 1,128.1 MW; leptokurtic with heavy right tail</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Systematic positive bias: model tends to under-predict peaks. Heavy tail driven by heatwave and Ramadan extremes.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Residual by hour (Normal)</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Near-zero median across all 24 hours</w:t>
            </w:r>
          </w:p>
        </w:tc>
        <w:tc>
          <w:tcPr>
            <w:tcW w:type="dxa" w:w="3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Model handles normal daily cycle well; hour features are sufficient for regular days.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Residual by hour (Ramadan)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Elevated median residual 08:00–17:00 UTC (~UTC+3 midday)</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Model under-predicts mid-day Ramadan load reduction (pre-iftar commercial slowdown). day_of_ramadan feature partially corrects this.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Residual by hour (Heatwave)</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Positive residual peaks ~10:00–16:00 UTC; up to ~2,500 MW median</w:t>
            </w:r>
          </w:p>
        </w:tc>
        <w:tc>
          <w:tcPr>
            <w:tcW w:type="dxa" w:w="3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Nonlinear AC demand surge in afternoon heat not fully captured by temp_sq alone. Suggests adding exponential temperature feature above ~38°C.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Actual vs Predicted (r²)</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r² = 0.9705 across full test set</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color w:val="404040"/>
                <w:sz w:val="18"/>
                <w:szCs w:val="18"/>
              </w:rPr>
              <w:t xml:space="preserve">Strong overall linear tracking; variance explained is high at the aggregate national level.</w:t>
            </w:r>
          </w:p>
        </w:tc>
      </w:tr>
    </w:tbl>
    <w:p>
      <w:pPr>
        <w:spacing w:after="0" w:before="120"/>
      </w:pPr>
    </w:p>
    <w:p>
      <w:pPr>
        <w:pStyle w:val="Heading1"/>
        <w:spacing w:after="80" w:before="200"/>
      </w:pPr>
      <w:r>
        <w:rPr>
          <w:rFonts w:ascii="Arial" w:cs="Arial" w:eastAsia="Arial" w:hAnsi="Arial"/>
          <w:b/>
          <w:bCs/>
          <w:color w:val="1F3864"/>
          <w:sz w:val="26"/>
          <w:szCs w:val="26"/>
        </w:rPr>
        <w:t xml:space="preserve">8. Limitations &amp; Recommendations</w:t>
      </w:r>
    </w:p>
    <w:p>
      <w:pPr>
        <w:spacing w:after="0" w:before="40"/>
      </w:pPr>
    </w:p>
    <w:p>
      <w:pPr>
        <w:spacing w:after="60" w:before="60"/>
      </w:pPr>
      <w:r>
        <w:rPr>
          <w:rFonts w:ascii="Arial" w:cs="Arial" w:eastAsia="Arial" w:hAnsi="Arial"/>
          <w:b/>
          <w:bCs/>
          <w:color w:val="1F3864"/>
          <w:sz w:val="20"/>
          <w:szCs w:val="20"/>
        </w:rPr>
        <w:t xml:space="preserve">• Heatwave residuals: </w:t>
      </w:r>
      <w:r>
        <w:rPr>
          <w:rFonts w:ascii="Arial" w:cs="Arial" w:eastAsia="Arial" w:hAnsi="Arial"/>
          <w:color w:val="404040"/>
          <w:sz w:val="20"/>
          <w:szCs w:val="20"/>
        </w:rPr>
        <w:t xml:space="preserve">Add exponential or spline temperature features above ~38°C to better capture AC load nonlinearity beyond temp_sq.</w:t>
      </w:r>
    </w:p>
    <w:p>
      <w:pPr>
        <w:spacing w:after="60" w:before="60"/>
      </w:pPr>
      <w:r>
        <w:rPr>
          <w:rFonts w:ascii="Arial" w:cs="Arial" w:eastAsia="Arial" w:hAnsi="Arial"/>
          <w:b/>
          <w:bCs/>
          <w:color w:val="1F3864"/>
          <w:sz w:val="20"/>
          <w:szCs w:val="20"/>
        </w:rPr>
        <w:t xml:space="preserve">• Ramadan mid-day bias: </w:t>
      </w:r>
      <w:r>
        <w:rPr>
          <w:rFonts w:ascii="Arial" w:cs="Arial" w:eastAsia="Arial" w:hAnsi="Arial"/>
          <w:color w:val="404040"/>
          <w:sz w:val="20"/>
          <w:szCs w:val="20"/>
        </w:rPr>
        <w:t xml:space="preserve">Consider adding a ramadan_x_midday binary feature (UTC 08–16) to explicitly model pre-iftar commercial load reduction.</w:t>
      </w:r>
    </w:p>
    <w:p>
      <w:pPr>
        <w:spacing w:after="60" w:before="60"/>
      </w:pPr>
      <w:r>
        <w:rPr>
          <w:rFonts w:ascii="Arial" w:cs="Arial" w:eastAsia="Arial" w:hAnsi="Arial"/>
          <w:b/>
          <w:bCs/>
          <w:color w:val="1F3864"/>
          <w:sz w:val="20"/>
          <w:szCs w:val="20"/>
        </w:rPr>
        <w:t xml:space="preserve">• Positive bias: </w:t>
      </w:r>
      <w:r>
        <w:rPr>
          <w:rFonts w:ascii="Arial" w:cs="Arial" w:eastAsia="Arial" w:hAnsi="Arial"/>
          <w:color w:val="404040"/>
          <w:sz w:val="20"/>
          <w:szCs w:val="20"/>
        </w:rPr>
        <w:t xml:space="preserve">A calibration post-processing step (e.g. isotonic regression on validation residuals) could reduce the μ = +295 MW systematic offset.</w:t>
      </w:r>
    </w:p>
    <w:p>
      <w:pPr>
        <w:spacing w:after="60" w:before="60"/>
      </w:pPr>
      <w:r>
        <w:rPr>
          <w:rFonts w:ascii="Arial" w:cs="Arial" w:eastAsia="Arial" w:hAnsi="Arial"/>
          <w:b/>
          <w:bCs/>
          <w:color w:val="1F3864"/>
          <w:sz w:val="20"/>
          <w:szCs w:val="20"/>
        </w:rPr>
        <w:t xml:space="preserve">• Turkish public holidays: </w:t>
      </w:r>
      <w:r>
        <w:rPr>
          <w:rFonts w:ascii="Arial" w:cs="Arial" w:eastAsia="Arial" w:hAnsi="Arial"/>
          <w:color w:val="404040"/>
          <w:sz w:val="20"/>
          <w:szCs w:val="20"/>
        </w:rPr>
        <w:t xml:space="preserve">Secular holidays (e.g. Republic Day, Labour Day) cause mid-week anomalies similar to weekends and are not yet encoded.</w:t>
      </w:r>
    </w:p>
    <w:p>
      <w:pPr>
        <w:spacing w:after="60" w:before="60"/>
      </w:pPr>
      <w:r>
        <w:rPr>
          <w:rFonts w:ascii="Arial" w:cs="Arial" w:eastAsia="Arial" w:hAnsi="Arial"/>
          <w:b/>
          <w:bCs/>
          <w:color w:val="1F3864"/>
          <w:sz w:val="20"/>
          <w:szCs w:val="20"/>
        </w:rPr>
        <w:t xml:space="preserve">• Compound regime evaluation: </w:t>
      </w:r>
      <w:r>
        <w:rPr>
          <w:rFonts w:ascii="Arial" w:cs="Arial" w:eastAsia="Arial" w:hAnsi="Arial"/>
          <w:color w:val="404040"/>
          <w:sz w:val="20"/>
          <w:szCs w:val="20"/>
        </w:rPr>
        <w:t xml:space="preserve">The 4-regime framework is implemented in the notebook (Compound = Ramadan ∧ T_max ≥ 35°C) but the test window (2024–2025-03) contains no Compound hours. A full evaluation requires extending the test window to include a summer Ramadan.</w:t>
      </w:r>
    </w:p>
    <w:p>
      <w:pPr>
        <w:spacing w:after="60" w:before="60"/>
      </w:pPr>
      <w:r>
        <w:rPr>
          <w:rFonts w:ascii="Arial" w:cs="Arial" w:eastAsia="Arial" w:hAnsi="Arial"/>
          <w:b/>
          <w:bCs/>
          <w:color w:val="1F3864"/>
          <w:sz w:val="20"/>
          <w:szCs w:val="20"/>
        </w:rPr>
        <w:t xml:space="preserve">• LightGBM as TSFM baseline: </w:t>
      </w:r>
      <w:r>
        <w:rPr>
          <w:rFonts w:ascii="Arial" w:cs="Arial" w:eastAsia="Arial" w:hAnsi="Arial"/>
          <w:color w:val="404040"/>
          <w:sz w:val="20"/>
          <w:szCs w:val="20"/>
        </w:rPr>
        <w:t xml:space="preserve">These results establish the supervised ML ceiling against which zero-shot TSFMs (Chronos, TimesFM, Moirai, Time-MoE) will be compared in the next project phase.</w:t>
      </w:r>
    </w:p>
    <w:p>
      <w:pPr>
        <w:spacing w:after="0" w:before="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6"/>
        <w:szCs w:val="16"/>
      </w:rPr>
      <w:t xml:space="preserve">Ramadan-Aware STLF  |  Omar Shafiy · Eiad Essam · Omar Sharaf · Shady Adham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3864"/>
        <w:sz w:val="18"/>
        <w:szCs w:val="18"/>
      </w:rPr>
      <w:t xml:space="preserve">LightGBM Baseline — Technical Report</w:t>
    </w:r>
    <w:r>
      <w:rPr>
        <w:rFonts w:ascii="Arial" w:cs="Arial" w:eastAsia="Arial" w:hAnsi="Arial"/>
        <w:color w:val="888888"/>
        <w:sz w:val="18"/>
        <w:szCs w:val="18"/>
      </w:rPr>
      <w:t xml:space="preserve">   |   Egypt University of Informatics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2026-05-18T10:39:32.913Z</dcterms:created>
  <dcterms:modified xsi:type="dcterms:W3CDTF">2026-05-18T10:39:32.913Z</dcterms:modified>
</cp:coreProperties>
</file>

<file path=docProps/custom.xml><?xml version="1.0" encoding="utf-8"?>
<Properties xmlns="http://schemas.openxmlformats.org/officeDocument/2006/custom-properties" xmlns:vt="http://schemas.openxmlformats.org/officeDocument/2006/docPropsVTypes"/>
</file>