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5A37" w:rsidRPr="00940F34" w:rsidRDefault="00A45A37">
      <w:pPr>
        <w:spacing w:after="200" w:line="480" w:lineRule="auto"/>
        <w:jc w:val="center"/>
        <w:rPr>
          <w:rFonts w:cs="Times New Roman"/>
          <w:b/>
          <w:bCs/>
          <w:sz w:val="28"/>
          <w:szCs w:val="28"/>
        </w:rPr>
      </w:pPr>
    </w:p>
    <w:p w:rsidR="00A45A37" w:rsidRDefault="00A45A37">
      <w:pPr>
        <w:spacing w:after="200" w:line="480" w:lineRule="auto"/>
        <w:jc w:val="center"/>
        <w:rPr>
          <w:rFonts w:cs="Times New Roman"/>
          <w:b/>
          <w:bCs/>
          <w:sz w:val="28"/>
          <w:szCs w:val="28"/>
        </w:rPr>
      </w:pPr>
    </w:p>
    <w:p w:rsidR="00A45A37" w:rsidRDefault="00A45A37">
      <w:pPr>
        <w:spacing w:after="200" w:line="480" w:lineRule="auto"/>
        <w:jc w:val="center"/>
        <w:rPr>
          <w:rFonts w:cs="Times New Roman"/>
          <w:b/>
          <w:bCs/>
          <w:sz w:val="28"/>
          <w:szCs w:val="28"/>
        </w:rPr>
      </w:pPr>
    </w:p>
    <w:p w:rsidR="00A45A37" w:rsidRDefault="00A45A37">
      <w:pPr>
        <w:spacing w:after="200" w:line="480" w:lineRule="auto"/>
        <w:jc w:val="center"/>
        <w:rPr>
          <w:rFonts w:cs="Times New Roman"/>
          <w:b/>
          <w:bCs/>
          <w:sz w:val="28"/>
          <w:szCs w:val="28"/>
        </w:rPr>
      </w:pPr>
    </w:p>
    <w:p w:rsidR="00A45A37" w:rsidRDefault="00A45A37">
      <w:pPr>
        <w:spacing w:after="200" w:line="480" w:lineRule="auto"/>
        <w:jc w:val="center"/>
        <w:rPr>
          <w:rFonts w:cs="Times New Roman"/>
          <w:b/>
          <w:bCs/>
          <w:sz w:val="28"/>
          <w:szCs w:val="28"/>
        </w:rPr>
      </w:pPr>
    </w:p>
    <w:p w:rsidR="00DF6896" w:rsidRDefault="00000000">
      <w:pPr>
        <w:spacing w:after="200" w:line="480" w:lineRule="auto"/>
        <w:jc w:val="center"/>
      </w:pPr>
      <w:r>
        <w:rPr>
          <w:rFonts w:cs="Times New Roman"/>
          <w:b/>
          <w:bCs/>
          <w:sz w:val="28"/>
          <w:szCs w:val="28"/>
        </w:rPr>
        <w:t>Orbital Deep-UV Raman Spectroscopy for Asteroid Organic Detection:</w:t>
      </w:r>
    </w:p>
    <w:p w:rsidR="00DF6896" w:rsidRDefault="00000000">
      <w:pPr>
        <w:spacing w:after="400" w:line="480" w:lineRule="auto"/>
        <w:jc w:val="center"/>
      </w:pPr>
      <w:r>
        <w:rPr>
          <w:rFonts w:cs="Times New Roman"/>
          <w:b/>
          <w:bCs/>
          <w:sz w:val="28"/>
          <w:szCs w:val="28"/>
        </w:rPr>
        <w:t>A Feasibility Study with Quantum Enhancement Analysis</w:t>
      </w:r>
    </w:p>
    <w:p w:rsidR="00DF6896" w:rsidRDefault="00A45A37">
      <w:pPr>
        <w:spacing w:after="200" w:line="480" w:lineRule="auto"/>
        <w:jc w:val="center"/>
      </w:pPr>
      <w:r>
        <w:t>Sharahil Mahmud</w:t>
      </w:r>
    </w:p>
    <w:p w:rsidR="00DF6896" w:rsidRDefault="00A45A37">
      <w:pPr>
        <w:spacing w:after="400" w:line="480" w:lineRule="auto"/>
        <w:jc w:val="center"/>
      </w:pPr>
      <w:r>
        <w:rPr>
          <w:rFonts w:cs="Times New Roman"/>
          <w:i/>
          <w:iCs/>
        </w:rPr>
        <w:t>Thomas Jefferson Highschool for Science and Technology</w:t>
      </w:r>
    </w:p>
    <w:p w:rsidR="00A45A37" w:rsidRDefault="00A45A37">
      <w:pPr>
        <w:pStyle w:val="Heading1"/>
      </w:pPr>
    </w:p>
    <w:p w:rsidR="00A45A37" w:rsidRDefault="00A45A37">
      <w:pPr>
        <w:pStyle w:val="Heading1"/>
      </w:pPr>
    </w:p>
    <w:p w:rsidR="00A45A37" w:rsidRDefault="00A45A37">
      <w:pPr>
        <w:pStyle w:val="Heading1"/>
      </w:pPr>
    </w:p>
    <w:p w:rsidR="00A45A37" w:rsidRDefault="00A45A37">
      <w:pPr>
        <w:pStyle w:val="Heading1"/>
      </w:pPr>
    </w:p>
    <w:p w:rsidR="00A45A37" w:rsidRDefault="00A45A37">
      <w:pPr>
        <w:pStyle w:val="Heading1"/>
      </w:pPr>
    </w:p>
    <w:p w:rsidR="00A45A37" w:rsidRDefault="00A45A37">
      <w:pPr>
        <w:pStyle w:val="Heading1"/>
      </w:pPr>
    </w:p>
    <w:p w:rsidR="00A45A37" w:rsidRDefault="00A45A37">
      <w:pPr>
        <w:pStyle w:val="Heading1"/>
      </w:pPr>
    </w:p>
    <w:p w:rsidR="00A45A37" w:rsidRDefault="00A45A37" w:rsidP="00A45A37">
      <w:pPr>
        <w:pStyle w:val="Heading1"/>
        <w:jc w:val="left"/>
      </w:pPr>
    </w:p>
    <w:p w:rsidR="00DF6896" w:rsidRDefault="00000000" w:rsidP="00A45A37">
      <w:pPr>
        <w:pStyle w:val="Heading1"/>
        <w:ind w:left="3600" w:firstLine="720"/>
        <w:jc w:val="left"/>
      </w:pPr>
      <w:r>
        <w:lastRenderedPageBreak/>
        <w:t>Abstract</w:t>
      </w:r>
    </w:p>
    <w:p w:rsidR="00DF6896" w:rsidRDefault="00000000">
      <w:pPr>
        <w:spacing w:after="200" w:line="480" w:lineRule="auto"/>
        <w:jc w:val="both"/>
      </w:pPr>
      <w:r>
        <w:rPr>
          <w:rFonts w:cs="Times New Roman"/>
        </w:rPr>
        <w:t xml:space="preserve">This paper develops and </w:t>
      </w:r>
      <w:proofErr w:type="gramStart"/>
      <w:r>
        <w:rPr>
          <w:rFonts w:cs="Times New Roman"/>
        </w:rPr>
        <w:t>evaluate</w:t>
      </w:r>
      <w:proofErr w:type="gramEnd"/>
      <w:r>
        <w:rPr>
          <w:rFonts w:cs="Times New Roman"/>
        </w:rPr>
        <w:t xml:space="preserve"> a photon budget model for detecting organic compounds on asteroid (101955) Bennu via orbital deep-ultraviolet (DUV) resonance-enhanced Raman spectroscopy at 248 nm. The model is calibrated with OSIRIS-REx Visible and InfraRed Spectrometer (OVIRS) organic distribution maps and OSIRIS-REx Thermal Emission Spectrometer (OTES) surface temperature </w:t>
      </w:r>
      <w:proofErr w:type="gramStart"/>
      <w:r>
        <w:rPr>
          <w:rFonts w:cs="Times New Roman"/>
        </w:rPr>
        <w:t>measurements, and</w:t>
      </w:r>
      <w:proofErr w:type="gramEnd"/>
      <w:r>
        <w:rPr>
          <w:rFonts w:cs="Times New Roman"/>
        </w:rPr>
        <w:t xml:space="preserve"> evaluated across the full range of OSIRIS-REx mission phase distances (50–1600 m). At each distance, the model computes signal-to-noise ratios (SNR) for multiple organic concentrations, instrument configurations, and surface environment conditions. The analysis then applies the model to two problems. First, the analysis propagates parameter uncertainties through 10,000 Monte Carlo trials, identifying organic concentration as the dominant uncertainty driver (Spearman ρ = 0.79). Second, the analysis assesses whether quantum-enhanced detection — via squeezed-light injection or photon correlation analysis — could extend the detection envelope. Using both the analytical loss-degradation formula and </w:t>
      </w:r>
      <w:proofErr w:type="spellStart"/>
      <w:r>
        <w:rPr>
          <w:rFonts w:cs="Times New Roman"/>
        </w:rPr>
        <w:t>QuTiP</w:t>
      </w:r>
      <w:proofErr w:type="spellEnd"/>
      <w:r>
        <w:rPr>
          <w:rFonts w:cs="Times New Roman"/>
        </w:rPr>
        <w:t xml:space="preserve"> quantum state simulation, the analysis shows that squeezing is ineffective at the ~4.5% total optical efficiency characteristic of current space instrumentation, yielding only 0.18 dB effective noise reduction from 10 dB of ideal squeezing. A minimum efficiency of ~30% would be required for meaningful quantum advantage. Despite its heuristic nature, the photon budget model reliably identifies the feasibility boundary: detection is achievable during Reconnaissance (~375 m, SNR ≈ 11 for 5% organics) but marginal at Orbital B (~680 m, SNR ≈ 3.4). the paper discusses the advantages of DUV excitation, including its ~200× enhancement over visible Raman, and the applicability of this framework to other carbonaceous asteroid targets.</w:t>
      </w:r>
    </w:p>
    <w:p w:rsidR="00DF6896" w:rsidRDefault="00000000">
      <w:pPr>
        <w:spacing w:after="200" w:line="480" w:lineRule="auto"/>
        <w:jc w:val="both"/>
      </w:pPr>
      <w:r>
        <w:rPr>
          <w:rFonts w:cs="Times New Roman"/>
          <w:i/>
          <w:iCs/>
        </w:rPr>
        <w:lastRenderedPageBreak/>
        <w:t xml:space="preserve">Keywords: </w:t>
      </w:r>
      <w:r>
        <w:rPr>
          <w:rFonts w:cs="Times New Roman"/>
        </w:rPr>
        <w:t>Raman spectroscopy, asteroid Bennu, OSIRIS-REx, deep ultraviolet, organic detection, quantum sensing, photon budget, Monte Carlo</w:t>
      </w:r>
    </w:p>
    <w:p w:rsidR="00DF6896" w:rsidRDefault="00000000">
      <w:pPr>
        <w:pStyle w:val="Heading1"/>
      </w:pPr>
      <w:r>
        <w:t>1. Introduction</w:t>
      </w:r>
    </w:p>
    <w:p w:rsidR="00DF6896" w:rsidRDefault="00000000">
      <w:pPr>
        <w:spacing w:after="200" w:line="480" w:lineRule="auto"/>
        <w:ind w:firstLine="720"/>
        <w:jc w:val="both"/>
      </w:pPr>
      <w:r>
        <w:rPr>
          <w:rFonts w:cs="Times New Roman"/>
        </w:rPr>
        <w:t xml:space="preserve">The organic inventory of primitive asteroids constrains models of prebiotic chemistry and the exogenous delivery of life’s building blocks to early Earth (Lauretta &amp; McSween, 2006; Pizzarello &amp; Shock, 2010). Sample return from asteroid Bennu by OSIRIS-REx has revealed 4.0–4.7 </w:t>
      </w:r>
      <w:proofErr w:type="spellStart"/>
      <w:r>
        <w:rPr>
          <w:rFonts w:cs="Times New Roman"/>
        </w:rPr>
        <w:t>wt</w:t>
      </w:r>
      <w:proofErr w:type="spellEnd"/>
      <w:r>
        <w:rPr>
          <w:rFonts w:cs="Times New Roman"/>
        </w:rPr>
        <w:t xml:space="preserve">% total carbon (Lauretta et al., 2024), 33 amino acids and all five nucleobases (Glavin et al., 2025), ribose (Furukawa et al., 2025), and nitrogen-rich polymeric organics formed by pre-aqueous </w:t>
      </w:r>
      <w:proofErr w:type="spellStart"/>
      <w:r>
        <w:rPr>
          <w:rFonts w:cs="Times New Roman"/>
        </w:rPr>
        <w:t>cryochemistry</w:t>
      </w:r>
      <w:proofErr w:type="spellEnd"/>
      <w:r>
        <w:rPr>
          <w:rFonts w:cs="Times New Roman"/>
        </w:rPr>
        <w:t xml:space="preserve"> (Sandford et al., 2025). Earlier remote-sensing observations by the OVIRS instrument detected widespread 3.4 </w:t>
      </w:r>
      <w:proofErr w:type="spellStart"/>
      <w:r>
        <w:rPr>
          <w:rFonts w:cs="Times New Roman"/>
        </w:rPr>
        <w:t>μm</w:t>
      </w:r>
      <w:proofErr w:type="spellEnd"/>
      <w:r>
        <w:rPr>
          <w:rFonts w:cs="Times New Roman"/>
        </w:rPr>
        <w:t xml:space="preserve"> organic absorptions across Bennu’s surface (Simon et al., 2020; Kaplan et al., 2021). These findings establish Bennu as one of the most organically rich bodies yet characterized.</w:t>
      </w:r>
    </w:p>
    <w:p w:rsidR="00DF6896" w:rsidRDefault="00000000">
      <w:pPr>
        <w:spacing w:after="200" w:line="480" w:lineRule="auto"/>
        <w:ind w:firstLine="720"/>
        <w:jc w:val="both"/>
      </w:pPr>
      <w:r>
        <w:rPr>
          <w:rFonts w:cs="Times New Roman"/>
        </w:rPr>
        <w:t>Raman spectroscopy provides vibrational fingerprints that can distinguish mineral phases and organic functional groups with high molecular specificity (Long, 2002; Ferraro et al., 2003). Three Raman instruments now operate or are planned for planetary surfaces. The SHERLOC instrument on Mars Perseverance uses a 248.6 nm pulsed laser for DUV Raman and fluorescence mapping at 48 mm standoff (Bhartia et al., 2021), detecting minerals (</w:t>
      </w:r>
      <w:proofErr w:type="spellStart"/>
      <w:r>
        <w:rPr>
          <w:rFonts w:cs="Times New Roman"/>
        </w:rPr>
        <w:t>Corpolongo</w:t>
      </w:r>
      <w:proofErr w:type="spellEnd"/>
      <w:r>
        <w:rPr>
          <w:rFonts w:cs="Times New Roman"/>
        </w:rPr>
        <w:t xml:space="preserve"> et al., 2023) and organic-mineral associations (Sharma et al., 2023). </w:t>
      </w:r>
      <w:proofErr w:type="spellStart"/>
      <w:r>
        <w:rPr>
          <w:rFonts w:cs="Times New Roman"/>
        </w:rPr>
        <w:t>SuperCam</w:t>
      </w:r>
      <w:proofErr w:type="spellEnd"/>
      <w:r>
        <w:rPr>
          <w:rFonts w:cs="Times New Roman"/>
        </w:rPr>
        <w:t xml:space="preserve"> performs standoff Raman at 2–12 m using 532 nm excitation (Wiens et al., 2021; Maurice et al., 2021). The ExoMars RLS is a 532 nm contact instrument for the Rosalind Franklin rover (Rull et al., 2017). Terrestrial standoff Raman has been demonstrated at 430 m (Acosta-Maeda et al., 2016) and single-pulse daytime detection at 120 m (Misra et al., 2012).</w:t>
      </w:r>
    </w:p>
    <w:p w:rsidR="00DF6896" w:rsidRDefault="00000000">
      <w:pPr>
        <w:spacing w:after="200" w:line="480" w:lineRule="auto"/>
        <w:ind w:firstLine="720"/>
        <w:jc w:val="both"/>
      </w:pPr>
      <w:r>
        <w:rPr>
          <w:rFonts w:cs="Times New Roman"/>
        </w:rPr>
        <w:lastRenderedPageBreak/>
        <w:t>However, no Raman measurement has been attempted at orbital distances — hundreds of meters to kilometers. While prior work has established Raman spectroscopy for planetary surfaces (Bhartia et al., 2021) and long-range terrestrial applications (Acosta-Maeda et al., 2016), the feasibility of performing such measurements from orbital altitudes at an extraterrestrial target has remained a theoretical assertion. Angel et al. (2012) noted the possibility but concluded it would require careful optimization, and no quantitative, data-driven assessment has followed. An “orbital gap” thus persists between the 48 mm standoff of SHERLOC and the hundreds-of-meters distances characteristic of asteroid proximity operations.</w:t>
      </w:r>
    </w:p>
    <w:p w:rsidR="00DF6896" w:rsidRDefault="00000000">
      <w:pPr>
        <w:spacing w:after="200" w:line="480" w:lineRule="auto"/>
        <w:ind w:firstLine="720"/>
        <w:jc w:val="both"/>
      </w:pPr>
      <w:r>
        <w:rPr>
          <w:rFonts w:cs="Times New Roman"/>
        </w:rPr>
        <w:t xml:space="preserve">This work is motivated by a simple question: </w:t>
      </w:r>
      <w:r>
        <w:rPr>
          <w:rFonts w:cs="Times New Roman"/>
          <w:i/>
          <w:iCs/>
        </w:rPr>
        <w:t>Can Raman spectroscopy detect organics on an asteroid from orbit?</w:t>
      </w:r>
    </w:p>
    <w:p w:rsidR="00DF6896" w:rsidRDefault="00000000">
      <w:pPr>
        <w:spacing w:after="200" w:line="480" w:lineRule="auto"/>
        <w:ind w:firstLine="720"/>
        <w:jc w:val="both"/>
      </w:pPr>
      <w:r>
        <w:rPr>
          <w:rFonts w:cs="Times New Roman"/>
        </w:rPr>
        <w:t>Although Raman has been applied to returned asteroid samples — Hayabusa2-returned Ryugu particles were characterized via D and G band analysis (Bonal et al., 2024) — the possibility of performing such measurements remotely, from a spacecraft in proximity orbit, has not been quantitatively assessed. The OSIRIS-REx dataset provides an ideal testbed: the organic distribution, surface temperature, and albedo are all well-constrained by flight data, and the mission phase distances span the exact range of interest.</w:t>
      </w:r>
    </w:p>
    <w:p w:rsidR="00DF6896" w:rsidRDefault="00000000">
      <w:pPr>
        <w:pStyle w:val="Heading2"/>
        <w:spacing w:before="360" w:after="240"/>
      </w:pPr>
      <w:r>
        <w:t>1.1 Contribution</w:t>
      </w:r>
    </w:p>
    <w:p w:rsidR="00DF6896" w:rsidRDefault="00000000">
      <w:pPr>
        <w:spacing w:after="200" w:line="480" w:lineRule="auto"/>
        <w:ind w:firstLine="720"/>
        <w:jc w:val="both"/>
      </w:pPr>
      <w:r>
        <w:rPr>
          <w:rFonts w:cs="Times New Roman"/>
        </w:rPr>
        <w:t xml:space="preserve">It is emphasized that the goal of this work is not to propose a Raman instrument that outperforms existing compositional mapping techniques at orbital distances. Reflectance spectroscopy, as demonstrated by OVIRS and OTES, remains the most efficient approach for global-scale mapping. Rather, the interest in orbital Raman lies in its unique molecular specificity </w:t>
      </w:r>
      <w:r>
        <w:rPr>
          <w:rFonts w:cs="Times New Roman"/>
        </w:rPr>
        <w:lastRenderedPageBreak/>
        <w:t xml:space="preserve">— the ability to distinguish individual organic species rather than bulk absorption features — and in the quantitative question of where the feasibility boundary </w:t>
      </w:r>
      <w:proofErr w:type="spellStart"/>
      <w:r>
        <w:rPr>
          <w:rFonts w:cs="Times New Roman"/>
        </w:rPr>
        <w:t>lies</w:t>
      </w:r>
      <w:proofErr w:type="spellEnd"/>
      <w:r>
        <w:rPr>
          <w:rFonts w:cs="Times New Roman"/>
        </w:rPr>
        <w:t>.</w:t>
      </w:r>
    </w:p>
    <w:p w:rsidR="00DF6896" w:rsidRDefault="00000000">
      <w:pPr>
        <w:spacing w:after="200" w:line="480" w:lineRule="auto"/>
        <w:ind w:firstLine="720"/>
        <w:jc w:val="both"/>
      </w:pPr>
      <w:r>
        <w:rPr>
          <w:rFonts w:cs="Times New Roman"/>
        </w:rPr>
        <w:t>A central element of this approach is the combination of a calibrated photon budget model with real OSIRIS-REx data. By calibrating with OVIRS-derived organic concentration maps (786,432 spatial records) and OTES surface temperatures, the calibration replaces key model assumptions with empirical measurements, providing the highest-fidelity assessment of orbital Raman feasibility to date. This data-driven calibration distinguishes the present work from purely theoretical models that rely on assumed target parameters. The analysis is then extended in two directions: Monte Carlo uncertainty quantification, which identifies the parameters that most strongly control detection feasibility, and quantum enhancement assessment, which evaluates whether squeezed light or photon correlation techniques could push the detection boundary to larger distances. The resulting systems-level framework connects instrument parameters, mission design, and target properties into a single cohesive model suitable for trade studies in future mission proposals. The insights gained from Bennu form a foundation for applying this framework to other carbonaceous asteroid targets.</w:t>
      </w:r>
    </w:p>
    <w:p w:rsidR="00DF6896" w:rsidRDefault="00000000">
      <w:pPr>
        <w:pStyle w:val="Heading2"/>
        <w:spacing w:before="360" w:after="240"/>
      </w:pPr>
      <w:r>
        <w:t>1.2 Paper Organization</w:t>
      </w:r>
    </w:p>
    <w:p w:rsidR="00DF6896" w:rsidRDefault="00000000">
      <w:pPr>
        <w:spacing w:after="200" w:line="480" w:lineRule="auto"/>
        <w:ind w:firstLine="720"/>
        <w:jc w:val="both"/>
      </w:pPr>
      <w:r>
        <w:rPr>
          <w:rFonts w:cs="Times New Roman"/>
        </w:rPr>
        <w:t>This paper is structured as follows. Section 2 introduces the photon budget model, its calibration, and the resulting structure of the detection problem. Section 3 presents the wavelength selection analysis. The model’s performance is evaluated in Section 4 across mission phases and in Section 5 via Monte Carlo uncertainty quantification. Quantum enhancement is assessed in Section 6 (squeezed light) and Section 7 (photon correlations). Additional discussion and concluding remarks are provided in Section 8. Technical details about the environment model and the Raman backscatter parameterization are provided in Appendices A and B.</w:t>
      </w:r>
    </w:p>
    <w:p w:rsidR="00DF6896" w:rsidRDefault="00000000">
      <w:pPr>
        <w:pStyle w:val="Heading1"/>
      </w:pPr>
      <w:r>
        <w:lastRenderedPageBreak/>
        <w:t>2. Photon Budget Model</w:t>
      </w:r>
    </w:p>
    <w:p w:rsidR="00DF6896" w:rsidRDefault="00000000">
      <w:pPr>
        <w:pStyle w:val="Heading2"/>
        <w:spacing w:before="360" w:after="240"/>
      </w:pPr>
      <w:r>
        <w:t>2.1 Signal Model</w:t>
      </w:r>
    </w:p>
    <w:p w:rsidR="00DF6896" w:rsidRDefault="00000000">
      <w:pPr>
        <w:spacing w:after="200" w:line="480" w:lineRule="auto"/>
        <w:ind w:firstLine="720"/>
        <w:jc w:val="both"/>
      </w:pPr>
      <w:r>
        <w:rPr>
          <w:rFonts w:cs="Times New Roman"/>
        </w:rPr>
        <w:t xml:space="preserve">The detected Raman signal follows the pulsed lidar return equation adapted for surface-backscattered photons. For a pulsed laser system with pulse energy </w:t>
      </w:r>
      <w:proofErr w:type="spellStart"/>
      <w:r>
        <w:rPr>
          <w:rFonts w:cs="Times New Roman"/>
        </w:rPr>
        <w:t>E_p</w:t>
      </w:r>
      <w:proofErr w:type="spellEnd"/>
      <w:r>
        <w:rPr>
          <w:rFonts w:cs="Times New Roman"/>
        </w:rPr>
        <w:t xml:space="preserve">, repetition rate </w:t>
      </w:r>
      <w:proofErr w:type="spellStart"/>
      <w:r>
        <w:rPr>
          <w:rFonts w:cs="Times New Roman"/>
        </w:rPr>
        <w:t>f_rep</w:t>
      </w:r>
      <w:proofErr w:type="spellEnd"/>
      <w:r>
        <w:rPr>
          <w:rFonts w:cs="Times New Roman"/>
        </w:rPr>
        <w:t>, and integration time T, the number of detected signal photons is</w:t>
      </w:r>
    </w:p>
    <w:p w:rsidR="00DF6896" w:rsidRPr="00A45A37" w:rsidRDefault="00000000">
      <w:pPr>
        <w:spacing w:after="200" w:line="480" w:lineRule="auto"/>
        <w:jc w:val="center"/>
        <w:rPr>
          <w:lang w:val="es-ES"/>
        </w:rPr>
      </w:pPr>
      <w:proofErr w:type="spellStart"/>
      <w:r w:rsidRPr="00A45A37">
        <w:rPr>
          <w:rFonts w:cs="Times New Roman"/>
          <w:i/>
          <w:iCs/>
          <w:lang w:val="es-ES"/>
        </w:rPr>
        <w:t>N_signal</w:t>
      </w:r>
      <w:proofErr w:type="spellEnd"/>
      <w:r w:rsidRPr="00A45A37">
        <w:rPr>
          <w:rFonts w:cs="Times New Roman"/>
          <w:i/>
          <w:iCs/>
          <w:lang w:val="es-ES"/>
        </w:rPr>
        <w:t xml:space="preserve"> = (</w:t>
      </w:r>
      <w:proofErr w:type="spellStart"/>
      <w:r w:rsidRPr="00A45A37">
        <w:rPr>
          <w:rFonts w:cs="Times New Roman"/>
          <w:i/>
          <w:iCs/>
          <w:lang w:val="es-ES"/>
        </w:rPr>
        <w:t>E_p</w:t>
      </w:r>
      <w:proofErr w:type="spellEnd"/>
      <w:r w:rsidRPr="00A45A37">
        <w:rPr>
          <w:rFonts w:cs="Times New Roman"/>
          <w:i/>
          <w:iCs/>
          <w:lang w:val="es-ES"/>
        </w:rPr>
        <w:t xml:space="preserve"> / </w:t>
      </w:r>
      <w:proofErr w:type="spellStart"/>
      <w:r w:rsidRPr="00A45A37">
        <w:rPr>
          <w:rFonts w:cs="Times New Roman"/>
          <w:i/>
          <w:iCs/>
          <w:lang w:val="es-ES"/>
        </w:rPr>
        <w:t>E_photon</w:t>
      </w:r>
      <w:proofErr w:type="spellEnd"/>
      <w:r w:rsidRPr="00A45A37">
        <w:rPr>
          <w:rFonts w:cs="Times New Roman"/>
          <w:i/>
          <w:iCs/>
          <w:lang w:val="es-ES"/>
        </w:rPr>
        <w:t xml:space="preserve">) · K_R · </w:t>
      </w:r>
      <w:r>
        <w:rPr>
          <w:rFonts w:cs="Times New Roman"/>
          <w:i/>
          <w:iCs/>
        </w:rPr>
        <w:t>Ω</w:t>
      </w:r>
      <w:r w:rsidRPr="00A45A37">
        <w:rPr>
          <w:rFonts w:cs="Times New Roman"/>
          <w:i/>
          <w:iCs/>
          <w:lang w:val="es-ES"/>
        </w:rPr>
        <w:t>_</w:t>
      </w:r>
      <w:proofErr w:type="spellStart"/>
      <w:r w:rsidRPr="00A45A37">
        <w:rPr>
          <w:rFonts w:cs="Times New Roman"/>
          <w:i/>
          <w:iCs/>
          <w:lang w:val="es-ES"/>
        </w:rPr>
        <w:t>tel</w:t>
      </w:r>
      <w:proofErr w:type="spellEnd"/>
      <w:r w:rsidRPr="00A45A37">
        <w:rPr>
          <w:rFonts w:cs="Times New Roman"/>
          <w:i/>
          <w:iCs/>
          <w:lang w:val="es-ES"/>
        </w:rPr>
        <w:t xml:space="preserve"> · </w:t>
      </w:r>
      <w:proofErr w:type="spellStart"/>
      <w:r w:rsidRPr="00A45A37">
        <w:rPr>
          <w:rFonts w:cs="Times New Roman"/>
          <w:i/>
          <w:iCs/>
          <w:lang w:val="es-ES"/>
        </w:rPr>
        <w:t>n_pulses</w:t>
      </w:r>
      <w:proofErr w:type="spellEnd"/>
      <w:r w:rsidRPr="00A45A37">
        <w:rPr>
          <w:rFonts w:cs="Times New Roman"/>
          <w:i/>
          <w:iCs/>
          <w:lang w:val="es-ES"/>
        </w:rPr>
        <w:t xml:space="preserve"> · QE</w:t>
      </w:r>
      <w:r w:rsidRPr="00A45A37">
        <w:rPr>
          <w:rFonts w:cs="Times New Roman"/>
          <w:lang w:val="es-ES"/>
        </w:rPr>
        <w:t xml:space="preserve">  </w:t>
      </w:r>
      <w:proofErr w:type="gramStart"/>
      <w:r w:rsidRPr="00A45A37">
        <w:rPr>
          <w:rFonts w:cs="Times New Roman"/>
          <w:lang w:val="es-ES"/>
        </w:rPr>
        <w:t xml:space="preserve">   (</w:t>
      </w:r>
      <w:proofErr w:type="gramEnd"/>
      <w:r w:rsidRPr="00A45A37">
        <w:rPr>
          <w:rFonts w:cs="Times New Roman"/>
          <w:lang w:val="es-ES"/>
        </w:rPr>
        <w:t>1)</w:t>
      </w:r>
    </w:p>
    <w:p w:rsidR="00DF6896" w:rsidRDefault="00000000">
      <w:pPr>
        <w:spacing w:after="200" w:line="480" w:lineRule="auto"/>
        <w:ind w:firstLine="720"/>
        <w:jc w:val="both"/>
      </w:pPr>
      <w:r>
        <w:rPr>
          <w:rFonts w:cs="Times New Roman"/>
        </w:rPr>
        <w:t xml:space="preserve">where </w:t>
      </w:r>
      <w:proofErr w:type="spellStart"/>
      <w:r>
        <w:rPr>
          <w:rFonts w:cs="Times New Roman"/>
        </w:rPr>
        <w:t>E_photon</w:t>
      </w:r>
      <w:proofErr w:type="spellEnd"/>
      <w:r>
        <w:rPr>
          <w:rFonts w:cs="Times New Roman"/>
        </w:rPr>
        <w:t xml:space="preserve"> = </w:t>
      </w:r>
      <w:proofErr w:type="spellStart"/>
      <w:r>
        <w:rPr>
          <w:rFonts w:cs="Times New Roman"/>
        </w:rPr>
        <w:t>hc</w:t>
      </w:r>
      <w:proofErr w:type="spellEnd"/>
      <w:r>
        <w:rPr>
          <w:rFonts w:cs="Times New Roman"/>
        </w:rPr>
        <w:t xml:space="preserve">/λ is the laser photon energy, </w:t>
      </w:r>
      <w:proofErr w:type="spellStart"/>
      <w:r>
        <w:rPr>
          <w:rFonts w:cs="Times New Roman"/>
        </w:rPr>
        <w:t>Ω_tel</w:t>
      </w:r>
      <w:proofErr w:type="spellEnd"/>
      <w:r>
        <w:rPr>
          <w:rFonts w:cs="Times New Roman"/>
        </w:rPr>
        <w:t xml:space="preserve"> = </w:t>
      </w:r>
      <w:proofErr w:type="spellStart"/>
      <w:r>
        <w:rPr>
          <w:rFonts w:cs="Times New Roman"/>
        </w:rPr>
        <w:t>A_tel</w:t>
      </w:r>
      <w:proofErr w:type="spellEnd"/>
      <w:r>
        <w:rPr>
          <w:rFonts w:cs="Times New Roman"/>
        </w:rPr>
        <w:t xml:space="preserve">/R² is the solid angle subtended by the telescope at range R, </w:t>
      </w:r>
      <w:proofErr w:type="spellStart"/>
      <w:r>
        <w:rPr>
          <w:rFonts w:cs="Times New Roman"/>
        </w:rPr>
        <w:t>n_pulses</w:t>
      </w:r>
      <w:proofErr w:type="spellEnd"/>
      <w:r>
        <w:rPr>
          <w:rFonts w:cs="Times New Roman"/>
        </w:rPr>
        <w:t xml:space="preserve"> = </w:t>
      </w:r>
      <w:proofErr w:type="spellStart"/>
      <w:r>
        <w:rPr>
          <w:rFonts w:cs="Times New Roman"/>
        </w:rPr>
        <w:t>f_rep</w:t>
      </w:r>
      <w:proofErr w:type="spellEnd"/>
      <w:r>
        <w:rPr>
          <w:rFonts w:cs="Times New Roman"/>
        </w:rPr>
        <w:t xml:space="preserve"> · T, and QE is the detector quantum efficiency. The Raman backscatter coefficient K_R (sr⁻¹ m⁻²) encapsulates the product of molecular cross-section, surface density, and sampling depth:</w:t>
      </w:r>
    </w:p>
    <w:p w:rsidR="00DF6896" w:rsidRDefault="00000000">
      <w:pPr>
        <w:spacing w:after="200" w:line="480" w:lineRule="auto"/>
        <w:jc w:val="center"/>
      </w:pPr>
      <w:r>
        <w:rPr>
          <w:rFonts w:cs="Times New Roman"/>
          <w:i/>
          <w:iCs/>
        </w:rPr>
        <w:t>K_R = K_R</w:t>
      </w:r>
      <w:proofErr w:type="gramStart"/>
      <w:r>
        <w:rPr>
          <w:rFonts w:cs="Times New Roman"/>
          <w:i/>
          <w:iCs/>
        </w:rPr>
        <w:t>^(</w:t>
      </w:r>
      <w:proofErr w:type="gramEnd"/>
      <w:r>
        <w:rPr>
          <w:rFonts w:cs="Times New Roman"/>
          <w:i/>
          <w:iCs/>
        </w:rPr>
        <w:t>1%,532) · (</w:t>
      </w:r>
      <w:proofErr w:type="spellStart"/>
      <w:r>
        <w:rPr>
          <w:rFonts w:cs="Times New Roman"/>
          <w:i/>
          <w:iCs/>
        </w:rPr>
        <w:t>C_org</w:t>
      </w:r>
      <w:proofErr w:type="spellEnd"/>
      <w:r>
        <w:rPr>
          <w:rFonts w:cs="Times New Roman"/>
          <w:i/>
          <w:iCs/>
        </w:rPr>
        <w:t>/1%) · (532/</w:t>
      </w:r>
      <w:proofErr w:type="gramStart"/>
      <w:r>
        <w:rPr>
          <w:rFonts w:cs="Times New Roman"/>
          <w:i/>
          <w:iCs/>
        </w:rPr>
        <w:t>λ)⁴</w:t>
      </w:r>
      <w:proofErr w:type="gramEnd"/>
      <w:r>
        <w:rPr>
          <w:rFonts w:cs="Times New Roman"/>
          <w:i/>
          <w:iCs/>
        </w:rPr>
        <w:t xml:space="preserve"> · </w:t>
      </w:r>
      <w:proofErr w:type="spellStart"/>
      <w:r>
        <w:rPr>
          <w:rFonts w:cs="Times New Roman"/>
          <w:i/>
          <w:iCs/>
        </w:rPr>
        <w:t>f_res</w:t>
      </w:r>
      <w:proofErr w:type="spellEnd"/>
      <w:r>
        <w:rPr>
          <w:rFonts w:cs="Times New Roman"/>
          <w:i/>
          <w:iCs/>
        </w:rPr>
        <w:t xml:space="preserve"> · </w:t>
      </w:r>
      <w:proofErr w:type="spellStart"/>
      <w:r>
        <w:rPr>
          <w:rFonts w:cs="Times New Roman"/>
          <w:i/>
          <w:iCs/>
        </w:rPr>
        <w:t>f_env</w:t>
      </w:r>
      <w:proofErr w:type="spellEnd"/>
      <w:r>
        <w:rPr>
          <w:rFonts w:cs="Times New Roman"/>
        </w:rPr>
        <w:t xml:space="preserve">  </w:t>
      </w:r>
      <w:proofErr w:type="gramStart"/>
      <w:r>
        <w:rPr>
          <w:rFonts w:cs="Times New Roman"/>
        </w:rPr>
        <w:t xml:space="preserve">   (</w:t>
      </w:r>
      <w:proofErr w:type="gramEnd"/>
      <w:r>
        <w:rPr>
          <w:rFonts w:cs="Times New Roman"/>
        </w:rPr>
        <w:t>2)</w:t>
      </w:r>
    </w:p>
    <w:p w:rsidR="00DF6896" w:rsidRDefault="00000000">
      <w:pPr>
        <w:spacing w:after="200" w:line="480" w:lineRule="auto"/>
        <w:ind w:firstLine="720"/>
        <w:jc w:val="both"/>
      </w:pPr>
      <w:r>
        <w:rPr>
          <w:rFonts w:cs="Times New Roman"/>
        </w:rPr>
        <w:t>Here</w:t>
      </w:r>
      <w:r w:rsidR="00A45A37">
        <w:rPr>
          <w:rFonts w:cs="Times New Roman"/>
        </w:rPr>
        <w:t>,</w:t>
      </w:r>
      <w:r>
        <w:rPr>
          <w:rFonts w:cs="Times New Roman"/>
        </w:rPr>
        <w:t xml:space="preserve"> K_R</w:t>
      </w:r>
      <w:proofErr w:type="gramStart"/>
      <w:r>
        <w:rPr>
          <w:rFonts w:cs="Times New Roman"/>
        </w:rPr>
        <w:t>^(</w:t>
      </w:r>
      <w:proofErr w:type="gramEnd"/>
      <w:r>
        <w:rPr>
          <w:rFonts w:cs="Times New Roman"/>
        </w:rPr>
        <w:t>1%,532) = 10⁻¹¹ sr⁻¹ m⁻² is the baseline coefficient for 1% organics at 532 nm, the (532/</w:t>
      </w:r>
      <w:proofErr w:type="gramStart"/>
      <w:r>
        <w:rPr>
          <w:rFonts w:cs="Times New Roman"/>
        </w:rPr>
        <w:t>λ)⁴</w:t>
      </w:r>
      <w:proofErr w:type="gramEnd"/>
      <w:r>
        <w:rPr>
          <w:rFonts w:cs="Times New Roman"/>
        </w:rPr>
        <w:t xml:space="preserve"> term captures the ν⁴ Raman scattering dependence (Asher, 1993), </w:t>
      </w:r>
      <w:proofErr w:type="spellStart"/>
      <w:r>
        <w:rPr>
          <w:rFonts w:cs="Times New Roman"/>
        </w:rPr>
        <w:t>f_res</w:t>
      </w:r>
      <w:proofErr w:type="spellEnd"/>
      <w:r>
        <w:rPr>
          <w:rFonts w:cs="Times New Roman"/>
        </w:rPr>
        <w:t xml:space="preserve"> is the resonance enhancement factor, and </w:t>
      </w:r>
      <w:proofErr w:type="spellStart"/>
      <w:r>
        <w:rPr>
          <w:rFonts w:cs="Times New Roman"/>
        </w:rPr>
        <w:t>f_env</w:t>
      </w:r>
      <w:proofErr w:type="spellEnd"/>
      <w:r>
        <w:rPr>
          <w:rFonts w:cs="Times New Roman"/>
        </w:rPr>
        <w:t xml:space="preserve"> accounts for surface environment effects. For 248 nm excitation, the wavelength scaling provides (532/</w:t>
      </w:r>
      <w:proofErr w:type="gramStart"/>
      <w:r>
        <w:rPr>
          <w:rFonts w:cs="Times New Roman"/>
        </w:rPr>
        <w:t>248)⁴</w:t>
      </w:r>
      <w:proofErr w:type="gramEnd"/>
      <w:r>
        <w:rPr>
          <w:rFonts w:cs="Times New Roman"/>
        </w:rPr>
        <w:t xml:space="preserve"> ≈ 21.2×, and resonance enhancement of aromatic modes contributes </w:t>
      </w:r>
      <w:proofErr w:type="spellStart"/>
      <w:r>
        <w:rPr>
          <w:rFonts w:cs="Times New Roman"/>
        </w:rPr>
        <w:t>f_res</w:t>
      </w:r>
      <w:proofErr w:type="spellEnd"/>
      <w:r>
        <w:rPr>
          <w:rFonts w:cs="Times New Roman"/>
        </w:rPr>
        <w:t xml:space="preserve"> ≈ 10 below 260 nm (Abbey et al., 2017; </w:t>
      </w:r>
      <w:proofErr w:type="spellStart"/>
      <w:r>
        <w:rPr>
          <w:rFonts w:cs="Times New Roman"/>
        </w:rPr>
        <w:t>Razzell</w:t>
      </w:r>
      <w:proofErr w:type="spellEnd"/>
      <w:r>
        <w:rPr>
          <w:rFonts w:cs="Times New Roman"/>
        </w:rPr>
        <w:t xml:space="preserve"> Hollis et al., 2023; Gares et al., 2016). The total enhancement relative to 532 nm is therefore ~212×.</w:t>
      </w:r>
    </w:p>
    <w:p w:rsidR="00DF6896" w:rsidRDefault="00000000">
      <w:pPr>
        <w:pStyle w:val="Heading2"/>
        <w:spacing w:before="360" w:after="240"/>
      </w:pPr>
      <w:r>
        <w:t>2.2 Background and Noise Model</w:t>
      </w:r>
    </w:p>
    <w:p w:rsidR="00DF6896" w:rsidRDefault="00000000">
      <w:pPr>
        <w:spacing w:after="200" w:line="480" w:lineRule="auto"/>
        <w:ind w:firstLine="720"/>
        <w:jc w:val="both"/>
      </w:pPr>
      <w:r>
        <w:rPr>
          <w:rFonts w:cs="Times New Roman"/>
        </w:rPr>
        <w:t>Three background contributions enter the noise budget. Solar scattered background, reduced by pulsed time-gating with a 20 ns gate per pulse (duty cycle ~4 × 10⁻⁷), is computed as</w:t>
      </w:r>
    </w:p>
    <w:p w:rsidR="00DF6896" w:rsidRDefault="00000000">
      <w:pPr>
        <w:spacing w:after="200" w:line="480" w:lineRule="auto"/>
        <w:jc w:val="center"/>
      </w:pPr>
      <w:proofErr w:type="spellStart"/>
      <w:r>
        <w:rPr>
          <w:rFonts w:cs="Times New Roman"/>
          <w:i/>
          <w:iCs/>
        </w:rPr>
        <w:t>N_solar</w:t>
      </w:r>
      <w:proofErr w:type="spellEnd"/>
      <w:r>
        <w:rPr>
          <w:rFonts w:cs="Times New Roman"/>
          <w:i/>
          <w:iCs/>
        </w:rPr>
        <w:t xml:space="preserve"> = (</w:t>
      </w:r>
      <w:proofErr w:type="spellStart"/>
      <w:r>
        <w:rPr>
          <w:rFonts w:cs="Times New Roman"/>
          <w:i/>
          <w:iCs/>
        </w:rPr>
        <w:t>F_solar</w:t>
      </w:r>
      <w:proofErr w:type="spellEnd"/>
      <w:r>
        <w:rPr>
          <w:rFonts w:cs="Times New Roman"/>
          <w:i/>
          <w:iCs/>
        </w:rPr>
        <w:t xml:space="preserve"> · </w:t>
      </w:r>
      <w:proofErr w:type="spellStart"/>
      <w:r>
        <w:rPr>
          <w:rFonts w:cs="Times New Roman"/>
          <w:i/>
          <w:iCs/>
        </w:rPr>
        <w:t>Δλ</w:t>
      </w:r>
      <w:proofErr w:type="spellEnd"/>
      <w:r>
        <w:rPr>
          <w:rFonts w:cs="Times New Roman"/>
          <w:i/>
          <w:iCs/>
        </w:rPr>
        <w:t xml:space="preserve"> / </w:t>
      </w:r>
      <w:proofErr w:type="spellStart"/>
      <w:r>
        <w:rPr>
          <w:rFonts w:cs="Times New Roman"/>
          <w:i/>
          <w:iCs/>
        </w:rPr>
        <w:t>E_photon</w:t>
      </w:r>
      <w:proofErr w:type="spellEnd"/>
      <w:r>
        <w:rPr>
          <w:rFonts w:cs="Times New Roman"/>
          <w:i/>
          <w:iCs/>
        </w:rPr>
        <w:t xml:space="preserve">) · (α/π) · </w:t>
      </w:r>
      <w:proofErr w:type="spellStart"/>
      <w:r>
        <w:rPr>
          <w:rFonts w:cs="Times New Roman"/>
          <w:i/>
          <w:iCs/>
        </w:rPr>
        <w:t>A_spot</w:t>
      </w:r>
      <w:proofErr w:type="spellEnd"/>
      <w:r>
        <w:rPr>
          <w:rFonts w:cs="Times New Roman"/>
          <w:i/>
          <w:iCs/>
        </w:rPr>
        <w:t xml:space="preserve"> · </w:t>
      </w:r>
      <w:proofErr w:type="spellStart"/>
      <w:r>
        <w:rPr>
          <w:rFonts w:cs="Times New Roman"/>
          <w:i/>
          <w:iCs/>
        </w:rPr>
        <w:t>Ω_tel</w:t>
      </w:r>
      <w:proofErr w:type="spellEnd"/>
      <w:r>
        <w:rPr>
          <w:rFonts w:cs="Times New Roman"/>
          <w:i/>
          <w:iCs/>
        </w:rPr>
        <w:t xml:space="preserve"> · </w:t>
      </w:r>
      <w:proofErr w:type="spellStart"/>
      <w:r>
        <w:rPr>
          <w:rFonts w:cs="Times New Roman"/>
          <w:i/>
          <w:iCs/>
        </w:rPr>
        <w:t>Δt_gate</w:t>
      </w:r>
      <w:proofErr w:type="spellEnd"/>
      <w:r>
        <w:rPr>
          <w:rFonts w:cs="Times New Roman"/>
          <w:i/>
          <w:iCs/>
        </w:rPr>
        <w:t xml:space="preserve"> · </w:t>
      </w:r>
      <w:proofErr w:type="spellStart"/>
      <w:r>
        <w:rPr>
          <w:rFonts w:cs="Times New Roman"/>
          <w:i/>
          <w:iCs/>
        </w:rPr>
        <w:t>n_pulses</w:t>
      </w:r>
      <w:proofErr w:type="spellEnd"/>
      <w:r>
        <w:rPr>
          <w:rFonts w:cs="Times New Roman"/>
          <w:i/>
          <w:iCs/>
        </w:rPr>
        <w:t xml:space="preserve"> · QE</w:t>
      </w:r>
      <w:r>
        <w:rPr>
          <w:rFonts w:cs="Times New Roman"/>
        </w:rPr>
        <w:t xml:space="preserve">  </w:t>
      </w:r>
      <w:proofErr w:type="gramStart"/>
      <w:r>
        <w:rPr>
          <w:rFonts w:cs="Times New Roman"/>
        </w:rPr>
        <w:t xml:space="preserve">   (</w:t>
      </w:r>
      <w:proofErr w:type="gramEnd"/>
      <w:r>
        <w:rPr>
          <w:rFonts w:cs="Times New Roman"/>
        </w:rPr>
        <w:t>3)</w:t>
      </w:r>
    </w:p>
    <w:p w:rsidR="00DF6896" w:rsidRDefault="00000000">
      <w:pPr>
        <w:spacing w:after="200" w:line="480" w:lineRule="auto"/>
        <w:ind w:firstLine="720"/>
        <w:jc w:val="both"/>
      </w:pPr>
      <w:r>
        <w:rPr>
          <w:rFonts w:cs="Times New Roman"/>
        </w:rPr>
        <w:lastRenderedPageBreak/>
        <w:t xml:space="preserve">where </w:t>
      </w:r>
      <w:proofErr w:type="spellStart"/>
      <w:r>
        <w:rPr>
          <w:rFonts w:cs="Times New Roman"/>
        </w:rPr>
        <w:t>F_solar</w:t>
      </w:r>
      <w:proofErr w:type="spellEnd"/>
      <w:r>
        <w:rPr>
          <w:rFonts w:cs="Times New Roman"/>
        </w:rPr>
        <w:t xml:space="preserve"> ≈ 0.015 W m⁻² nm⁻¹ at 248 nm at Bennu’s heliocentric distance and α = 0.044 is Bennu’s geometric albedo (Li et al., 2021; Hamilton et al., 2019). Detector dark current scales as </w:t>
      </w:r>
      <w:proofErr w:type="spellStart"/>
      <w:r>
        <w:rPr>
          <w:rFonts w:cs="Times New Roman"/>
        </w:rPr>
        <w:t>N_dark</w:t>
      </w:r>
      <w:proofErr w:type="spellEnd"/>
      <w:r>
        <w:rPr>
          <w:rFonts w:cs="Times New Roman"/>
        </w:rPr>
        <w:t xml:space="preserve"> = 100 · </w:t>
      </w:r>
      <w:proofErr w:type="gramStart"/>
      <w:r>
        <w:rPr>
          <w:rFonts w:cs="Times New Roman"/>
        </w:rPr>
        <w:t>exp(</w:t>
      </w:r>
      <w:proofErr w:type="gramEnd"/>
      <w:r>
        <w:rPr>
          <w:rFonts w:cs="Times New Roman"/>
        </w:rPr>
        <w:t xml:space="preserve">(T_K − 300)/30) · </w:t>
      </w:r>
      <w:proofErr w:type="spellStart"/>
      <w:r>
        <w:rPr>
          <w:rFonts w:cs="Times New Roman"/>
        </w:rPr>
        <w:t>T_int</w:t>
      </w:r>
      <w:proofErr w:type="spellEnd"/>
      <w:r>
        <w:rPr>
          <w:rFonts w:cs="Times New Roman"/>
        </w:rPr>
        <w:t xml:space="preserve">. Read noise contributes </w:t>
      </w:r>
      <w:proofErr w:type="spellStart"/>
      <w:r>
        <w:rPr>
          <w:rFonts w:cs="Times New Roman"/>
        </w:rPr>
        <w:t>N_read</w:t>
      </w:r>
      <w:proofErr w:type="spellEnd"/>
      <w:r>
        <w:rPr>
          <w:rFonts w:cs="Times New Roman"/>
        </w:rPr>
        <w:t xml:space="preserve"> = 25 · </w:t>
      </w:r>
      <w:proofErr w:type="spellStart"/>
      <w:r>
        <w:rPr>
          <w:rFonts w:cs="Times New Roman"/>
        </w:rPr>
        <w:t>n_pulses</w:t>
      </w:r>
      <w:proofErr w:type="spellEnd"/>
      <w:r>
        <w:rPr>
          <w:rFonts w:cs="Times New Roman"/>
        </w:rPr>
        <w:t>.</w:t>
      </w:r>
    </w:p>
    <w:p w:rsidR="00DF6896" w:rsidRDefault="00000000">
      <w:pPr>
        <w:pStyle w:val="Heading2"/>
        <w:spacing w:before="360" w:after="240"/>
      </w:pPr>
      <w:r>
        <w:t>2.3 Signal-to-Noise Ratio</w:t>
      </w:r>
    </w:p>
    <w:p w:rsidR="00DF6896" w:rsidRDefault="00000000">
      <w:pPr>
        <w:spacing w:after="200" w:line="480" w:lineRule="auto"/>
        <w:ind w:firstLine="720"/>
        <w:jc w:val="both"/>
      </w:pPr>
      <w:r>
        <w:rPr>
          <w:rFonts w:cs="Times New Roman"/>
        </w:rPr>
        <w:t>The SNR follows shot-noise statistics:</w:t>
      </w:r>
    </w:p>
    <w:p w:rsidR="00DF6896" w:rsidRDefault="00000000">
      <w:pPr>
        <w:spacing w:after="200" w:line="480" w:lineRule="auto"/>
        <w:jc w:val="center"/>
      </w:pPr>
      <w:r>
        <w:rPr>
          <w:rFonts w:cs="Times New Roman"/>
          <w:i/>
          <w:iCs/>
        </w:rPr>
        <w:t xml:space="preserve">SNR = </w:t>
      </w:r>
      <w:proofErr w:type="spellStart"/>
      <w:r>
        <w:rPr>
          <w:rFonts w:cs="Times New Roman"/>
          <w:i/>
          <w:iCs/>
        </w:rPr>
        <w:t>N_signal</w:t>
      </w:r>
      <w:proofErr w:type="spellEnd"/>
      <w:r>
        <w:rPr>
          <w:rFonts w:cs="Times New Roman"/>
          <w:i/>
          <w:iCs/>
        </w:rPr>
        <w:t xml:space="preserve"> / </w:t>
      </w:r>
      <w:proofErr w:type="gramStart"/>
      <w:r>
        <w:rPr>
          <w:rFonts w:cs="Times New Roman"/>
          <w:i/>
          <w:iCs/>
        </w:rPr>
        <w:t>√(</w:t>
      </w:r>
      <w:proofErr w:type="spellStart"/>
      <w:proofErr w:type="gramEnd"/>
      <w:r>
        <w:rPr>
          <w:rFonts w:cs="Times New Roman"/>
          <w:i/>
          <w:iCs/>
        </w:rPr>
        <w:t>N_signal</w:t>
      </w:r>
      <w:proofErr w:type="spellEnd"/>
      <w:r>
        <w:rPr>
          <w:rFonts w:cs="Times New Roman"/>
          <w:i/>
          <w:iCs/>
        </w:rPr>
        <w:t xml:space="preserve"> + </w:t>
      </w:r>
      <w:proofErr w:type="spellStart"/>
      <w:r>
        <w:rPr>
          <w:rFonts w:cs="Times New Roman"/>
          <w:i/>
          <w:iCs/>
        </w:rPr>
        <w:t>N_solar</w:t>
      </w:r>
      <w:proofErr w:type="spellEnd"/>
      <w:r>
        <w:rPr>
          <w:rFonts w:cs="Times New Roman"/>
          <w:i/>
          <w:iCs/>
        </w:rPr>
        <w:t xml:space="preserve"> + </w:t>
      </w:r>
      <w:proofErr w:type="spellStart"/>
      <w:r>
        <w:rPr>
          <w:rFonts w:cs="Times New Roman"/>
          <w:i/>
          <w:iCs/>
        </w:rPr>
        <w:t>N_dark</w:t>
      </w:r>
      <w:proofErr w:type="spellEnd"/>
      <w:r>
        <w:rPr>
          <w:rFonts w:cs="Times New Roman"/>
          <w:i/>
          <w:iCs/>
        </w:rPr>
        <w:t xml:space="preserve"> + </w:t>
      </w:r>
      <w:proofErr w:type="spellStart"/>
      <w:r>
        <w:rPr>
          <w:rFonts w:cs="Times New Roman"/>
          <w:i/>
          <w:iCs/>
        </w:rPr>
        <w:t>N_</w:t>
      </w:r>
      <w:proofErr w:type="gramStart"/>
      <w:r>
        <w:rPr>
          <w:rFonts w:cs="Times New Roman"/>
          <w:i/>
          <w:iCs/>
        </w:rPr>
        <w:t>read</w:t>
      </w:r>
      <w:proofErr w:type="spellEnd"/>
      <w:r>
        <w:rPr>
          <w:rFonts w:cs="Times New Roman"/>
          <w:i/>
          <w:iCs/>
        </w:rPr>
        <w:t>)</w:t>
      </w:r>
      <w:r>
        <w:rPr>
          <w:rFonts w:cs="Times New Roman"/>
        </w:rPr>
        <w:t xml:space="preserve">   </w:t>
      </w:r>
      <w:proofErr w:type="gramEnd"/>
      <w:r>
        <w:rPr>
          <w:rFonts w:cs="Times New Roman"/>
        </w:rPr>
        <w:t xml:space="preserve">  (4)</w:t>
      </w:r>
    </w:p>
    <w:p w:rsidR="00DF6896" w:rsidRDefault="00000000">
      <w:pPr>
        <w:spacing w:after="200" w:line="480" w:lineRule="auto"/>
        <w:ind w:firstLine="720"/>
        <w:jc w:val="both"/>
      </w:pPr>
      <w:r>
        <w:rPr>
          <w:rFonts w:cs="Times New Roman"/>
        </w:rPr>
        <w:t>the analysis adopts SNR ≥ 5 as the detection threshold, consistent with standard practice for unambiguous spectroscopic feature identification (Currie, 1999).</w:t>
      </w:r>
    </w:p>
    <w:p w:rsidR="00DF6896" w:rsidRDefault="00000000">
      <w:pPr>
        <w:pStyle w:val="Heading2"/>
        <w:spacing w:before="360" w:after="240"/>
      </w:pPr>
      <w:r>
        <w:t>2.4 Calibration with OSIRIS-REx Data</w:t>
      </w:r>
    </w:p>
    <w:p w:rsidR="00DF6896" w:rsidRDefault="00000000">
      <w:pPr>
        <w:spacing w:after="200" w:line="480" w:lineRule="auto"/>
        <w:ind w:firstLine="720"/>
        <w:jc w:val="both"/>
      </w:pPr>
      <w:r>
        <w:rPr>
          <w:rFonts w:cs="Times New Roman"/>
        </w:rPr>
        <w:t xml:space="preserve">The model is calibrated with three flight datasets. Surface organic concentrations are derived from 786,432 OVIRS spectral records of the 3.2–3.6 </w:t>
      </w:r>
      <w:proofErr w:type="spellStart"/>
      <w:r>
        <w:rPr>
          <w:rFonts w:cs="Times New Roman"/>
        </w:rPr>
        <w:t>μm</w:t>
      </w:r>
      <w:proofErr w:type="spellEnd"/>
      <w:r>
        <w:rPr>
          <w:rFonts w:cs="Times New Roman"/>
        </w:rPr>
        <w:t xml:space="preserve"> organic band area (Simon et al., 2020; Kaplan et al., 2021), scaled to weight percent, yielding concentrations of 1–15% across Bennu’s mapped surface. Surface temperatures are from OTES thermal emission measurements (Christensen et al., 2018), with a dayside range of 280–390 K. Solar spectral irradiance uses TSIS-1 data scaled to Bennu’s heliocentric distance.</w:t>
      </w:r>
    </w:p>
    <w:p w:rsidR="00DF6896" w:rsidRDefault="00000000">
      <w:pPr>
        <w:pStyle w:val="Heading2"/>
        <w:spacing w:before="360" w:after="240"/>
      </w:pPr>
      <w:r>
        <w:t>2.5 Baseline Instrument Parameters</w:t>
      </w:r>
    </w:p>
    <w:p w:rsidR="00DF6896" w:rsidRDefault="00000000">
      <w:pPr>
        <w:spacing w:after="200" w:line="480" w:lineRule="auto"/>
        <w:ind w:firstLine="720"/>
        <w:jc w:val="both"/>
      </w:pPr>
      <w:r>
        <w:rPr>
          <w:rFonts w:cs="Times New Roman"/>
        </w:rPr>
        <w:t>Table 1 lists the baseline instrument parameters used throughout this work. These are representative of a compact space-qualified DUV Raman lidar, informed by SHERLOC heritage (Bhartia et al., 2021) and terrestrial standoff systems (Acosta-Maeda et al., 2016; Misra et al., 2012).</w:t>
      </w:r>
    </w:p>
    <w:p w:rsidR="00DF6896" w:rsidRDefault="00000000">
      <w:pPr>
        <w:spacing w:after="200" w:line="480" w:lineRule="auto"/>
      </w:pPr>
      <w:r>
        <w:rPr>
          <w:rFonts w:cs="Times New Roman"/>
          <w:b/>
          <w:bCs/>
          <w:i/>
          <w:iCs/>
        </w:rPr>
        <w:lastRenderedPageBreak/>
        <w:t>Table 1</w:t>
      </w:r>
    </w:p>
    <w:p w:rsidR="00DF6896" w:rsidRDefault="00000000">
      <w:pPr>
        <w:spacing w:after="200" w:line="480" w:lineRule="auto"/>
      </w:pPr>
      <w:r>
        <w:rPr>
          <w:rFonts w:cs="Times New Roman"/>
          <w:i/>
          <w:iCs/>
        </w:rPr>
        <w:t>Baseline Instrument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360"/>
      </w:tblGrid>
      <w:tr w:rsidR="00DF6896">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rsidR="00DF6896" w:rsidRDefault="00000000">
            <w:pPr>
              <w:spacing w:line="276" w:lineRule="auto"/>
            </w:pPr>
            <w:r>
              <w:rPr>
                <w:rFonts w:cs="Times New Roman"/>
                <w:b/>
                <w:bCs/>
                <w:sz w:val="20"/>
                <w:szCs w:val="20"/>
              </w:rPr>
              <w:t>Parameter</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rsidR="00DF6896" w:rsidRDefault="00000000">
            <w:pPr>
              <w:spacing w:line="276" w:lineRule="auto"/>
            </w:pPr>
            <w:r>
              <w:rPr>
                <w:rFonts w:cs="Times New Roman"/>
                <w:b/>
                <w:bCs/>
                <w:sz w:val="20"/>
                <w:szCs w:val="20"/>
              </w:rPr>
              <w:t>Symbol</w:t>
            </w:r>
          </w:p>
        </w:tc>
        <w:tc>
          <w:tcPr>
            <w:tcW w:w="4360"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rsidR="00DF6896" w:rsidRDefault="00000000">
            <w:pPr>
              <w:spacing w:line="276" w:lineRule="auto"/>
            </w:pPr>
            <w:r>
              <w:rPr>
                <w:rFonts w:cs="Times New Roman"/>
                <w:b/>
                <w:bCs/>
                <w:sz w:val="20"/>
                <w:szCs w:val="20"/>
              </w:rPr>
              <w:t>Value</w:t>
            </w:r>
          </w:p>
        </w:tc>
      </w:tr>
      <w:tr w:rsidR="00DF6896">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Excitation wavelength</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λ</w:t>
            </w:r>
          </w:p>
        </w:tc>
        <w:tc>
          <w:tcPr>
            <w:tcW w:w="4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248 nm (</w:t>
            </w:r>
            <w:proofErr w:type="spellStart"/>
            <w:r>
              <w:rPr>
                <w:rFonts w:cs="Times New Roman"/>
                <w:sz w:val="20"/>
                <w:szCs w:val="20"/>
              </w:rPr>
              <w:t>KrF</w:t>
            </w:r>
            <w:proofErr w:type="spellEnd"/>
            <w:r>
              <w:rPr>
                <w:rFonts w:cs="Times New Roman"/>
                <w:sz w:val="20"/>
                <w:szCs w:val="20"/>
              </w:rPr>
              <w:t xml:space="preserve"> excimer)</w:t>
            </w:r>
          </w:p>
        </w:tc>
      </w:tr>
      <w:tr w:rsidR="00DF6896">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Pulse energy</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proofErr w:type="spellStart"/>
            <w:r>
              <w:rPr>
                <w:rFonts w:cs="Times New Roman"/>
                <w:sz w:val="20"/>
                <w:szCs w:val="20"/>
              </w:rPr>
              <w:t>E_p</w:t>
            </w:r>
            <w:proofErr w:type="spellEnd"/>
          </w:p>
        </w:tc>
        <w:tc>
          <w:tcPr>
            <w:tcW w:w="4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 xml:space="preserve">50 </w:t>
            </w:r>
            <w:proofErr w:type="spellStart"/>
            <w:r>
              <w:rPr>
                <w:rFonts w:cs="Times New Roman"/>
                <w:sz w:val="20"/>
                <w:szCs w:val="20"/>
              </w:rPr>
              <w:t>mJ</w:t>
            </w:r>
            <w:proofErr w:type="spellEnd"/>
          </w:p>
        </w:tc>
      </w:tr>
      <w:tr w:rsidR="00DF6896">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Repetition rate</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proofErr w:type="spellStart"/>
            <w:r>
              <w:rPr>
                <w:rFonts w:cs="Times New Roman"/>
                <w:sz w:val="20"/>
                <w:szCs w:val="20"/>
              </w:rPr>
              <w:t>f_rep</w:t>
            </w:r>
            <w:proofErr w:type="spellEnd"/>
          </w:p>
        </w:tc>
        <w:tc>
          <w:tcPr>
            <w:tcW w:w="4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20 Hz</w:t>
            </w:r>
          </w:p>
        </w:tc>
      </w:tr>
      <w:tr w:rsidR="00DF6896">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Telescope aperture</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proofErr w:type="spellStart"/>
            <w:r>
              <w:rPr>
                <w:rFonts w:cs="Times New Roman"/>
                <w:sz w:val="20"/>
                <w:szCs w:val="20"/>
              </w:rPr>
              <w:t>D_tel</w:t>
            </w:r>
            <w:proofErr w:type="spellEnd"/>
          </w:p>
        </w:tc>
        <w:tc>
          <w:tcPr>
            <w:tcW w:w="4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30 cm</w:t>
            </w:r>
          </w:p>
        </w:tc>
      </w:tr>
      <w:tr w:rsidR="00DF6896">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Detector QE</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QE</w:t>
            </w:r>
          </w:p>
        </w:tc>
        <w:tc>
          <w:tcPr>
            <w:tcW w:w="4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30%</w:t>
            </w:r>
          </w:p>
        </w:tc>
      </w:tr>
      <w:tr w:rsidR="00DF6896">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Integration time</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T</w:t>
            </w:r>
          </w:p>
        </w:tc>
        <w:tc>
          <w:tcPr>
            <w:tcW w:w="4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10 s</w:t>
            </w:r>
          </w:p>
        </w:tc>
      </w:tr>
      <w:tr w:rsidR="00DF6896">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Beam divergence</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θ</w:t>
            </w:r>
          </w:p>
        </w:tc>
        <w:tc>
          <w:tcPr>
            <w:tcW w:w="4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 xml:space="preserve">0.5 </w:t>
            </w:r>
            <w:proofErr w:type="spellStart"/>
            <w:r>
              <w:rPr>
                <w:rFonts w:cs="Times New Roman"/>
                <w:sz w:val="20"/>
                <w:szCs w:val="20"/>
              </w:rPr>
              <w:t>mrad</w:t>
            </w:r>
            <w:proofErr w:type="spellEnd"/>
          </w:p>
        </w:tc>
      </w:tr>
      <w:tr w:rsidR="00DF6896">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Gate width</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proofErr w:type="spellStart"/>
            <w:r>
              <w:rPr>
                <w:rFonts w:cs="Times New Roman"/>
                <w:sz w:val="20"/>
                <w:szCs w:val="20"/>
              </w:rPr>
              <w:t>Δt_gate</w:t>
            </w:r>
            <w:proofErr w:type="spellEnd"/>
          </w:p>
        </w:tc>
        <w:tc>
          <w:tcPr>
            <w:tcW w:w="4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20 ns/pulse</w:t>
            </w:r>
          </w:p>
        </w:tc>
      </w:tr>
      <w:tr w:rsidR="00DF6896">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Dark current (300 K)</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proofErr w:type="spellStart"/>
            <w:r>
              <w:rPr>
                <w:rFonts w:cs="Times New Roman"/>
                <w:sz w:val="20"/>
                <w:szCs w:val="20"/>
              </w:rPr>
              <w:t>R_dark</w:t>
            </w:r>
            <w:proofErr w:type="spellEnd"/>
          </w:p>
        </w:tc>
        <w:tc>
          <w:tcPr>
            <w:tcW w:w="4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100 e⁻/s</w:t>
            </w:r>
          </w:p>
        </w:tc>
      </w:tr>
      <w:tr w:rsidR="00DF6896">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Read noise</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proofErr w:type="spellStart"/>
            <w:r>
              <w:rPr>
                <w:rFonts w:cs="Times New Roman"/>
                <w:sz w:val="20"/>
                <w:szCs w:val="20"/>
              </w:rPr>
              <w:t>σ_read</w:t>
            </w:r>
            <w:proofErr w:type="spellEnd"/>
          </w:p>
        </w:tc>
        <w:tc>
          <w:tcPr>
            <w:tcW w:w="4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5 e⁻ rms</w:t>
            </w:r>
          </w:p>
        </w:tc>
      </w:tr>
    </w:tbl>
    <w:p w:rsidR="00DF6896" w:rsidRDefault="00DF6896">
      <w:pPr>
        <w:spacing w:after="200" w:line="480" w:lineRule="auto"/>
        <w:jc w:val="both"/>
      </w:pPr>
    </w:p>
    <w:p w:rsidR="00DF6896" w:rsidRDefault="00000000">
      <w:pPr>
        <w:spacing w:after="200" w:line="480" w:lineRule="auto"/>
      </w:pPr>
      <w:r>
        <w:rPr>
          <w:rFonts w:cs="Times New Roman"/>
          <w:b/>
          <w:bCs/>
          <w:i/>
          <w:iCs/>
        </w:rPr>
        <w:t>Table 2</w:t>
      </w:r>
    </w:p>
    <w:p w:rsidR="00DF6896" w:rsidRDefault="00000000">
      <w:pPr>
        <w:spacing w:after="200" w:line="480" w:lineRule="auto"/>
      </w:pPr>
      <w:r>
        <w:rPr>
          <w:rFonts w:cs="Times New Roman"/>
          <w:i/>
          <w:iCs/>
        </w:rPr>
        <w:t>SNR at OSIRIS-REx Mission Phase Distances (5% Organics, Baseline Instrument)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500"/>
        <w:gridCol w:w="3060"/>
      </w:tblGrid>
      <w:tr w:rsidR="00DF6896">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rsidR="00DF6896" w:rsidRDefault="00000000">
            <w:pPr>
              <w:spacing w:line="276" w:lineRule="auto"/>
            </w:pPr>
            <w:r>
              <w:rPr>
                <w:rFonts w:cs="Times New Roman"/>
                <w:b/>
                <w:bCs/>
                <w:sz w:val="20"/>
                <w:szCs w:val="20"/>
              </w:rPr>
              <w:t>Mission Phase</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rsidR="00DF6896" w:rsidRDefault="00000000">
            <w:pPr>
              <w:spacing w:line="276" w:lineRule="auto"/>
            </w:pPr>
            <w:r>
              <w:rPr>
                <w:rFonts w:cs="Times New Roman"/>
                <w:b/>
                <w:bCs/>
                <w:sz w:val="20"/>
                <w:szCs w:val="20"/>
              </w:rPr>
              <w:t>Distance (m)</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rsidR="00DF6896" w:rsidRDefault="00000000">
            <w:pPr>
              <w:spacing w:line="276" w:lineRule="auto"/>
            </w:pPr>
            <w:r>
              <w:rPr>
                <w:rFonts w:cs="Times New Roman"/>
                <w:b/>
                <w:bCs/>
                <w:sz w:val="20"/>
                <w:szCs w:val="20"/>
              </w:rPr>
              <w:t>SNR</w:t>
            </w:r>
          </w:p>
        </w:tc>
        <w:tc>
          <w:tcPr>
            <w:tcW w:w="3060"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rsidR="00DF6896" w:rsidRDefault="00000000">
            <w:pPr>
              <w:spacing w:line="276" w:lineRule="auto"/>
            </w:pPr>
            <w:r>
              <w:rPr>
                <w:rFonts w:cs="Times New Roman"/>
                <w:b/>
                <w:bCs/>
                <w:sz w:val="20"/>
                <w:szCs w:val="20"/>
              </w:rPr>
              <w:t>Feasibility</w:t>
            </w:r>
          </w:p>
        </w:tc>
      </w:tr>
      <w:tr w:rsidR="00DF6896">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Sample Collection</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50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544.7</w:t>
            </w:r>
          </w:p>
        </w:tc>
        <w:tc>
          <w:tcPr>
            <w:tcW w:w="3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Feasible</w:t>
            </w:r>
          </w:p>
        </w:tc>
      </w:tr>
      <w:tr w:rsidR="00DF6896">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Reconnaissance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375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11.3</w:t>
            </w:r>
          </w:p>
        </w:tc>
        <w:tc>
          <w:tcPr>
            <w:tcW w:w="3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Feasible</w:t>
            </w:r>
          </w:p>
        </w:tc>
      </w:tr>
      <w:tr w:rsidR="00DF6896">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Orbital B</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680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3.4</w:t>
            </w:r>
          </w:p>
        </w:tc>
        <w:tc>
          <w:tcPr>
            <w:tcW w:w="3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Marginal</w:t>
            </w:r>
          </w:p>
        </w:tc>
      </w:tr>
      <w:tr w:rsidR="00DF6896">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Detailed Survey</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750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2.8</w:t>
            </w:r>
          </w:p>
        </w:tc>
        <w:tc>
          <w:tcPr>
            <w:tcW w:w="3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Not feasible</w:t>
            </w:r>
          </w:p>
        </w:tc>
      </w:tr>
      <w:tr w:rsidR="00DF6896">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Orbital A</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1600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0.6</w:t>
            </w:r>
          </w:p>
        </w:tc>
        <w:tc>
          <w:tcPr>
            <w:tcW w:w="3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sidR="00DF6896" w:rsidRDefault="00000000">
            <w:pPr>
              <w:spacing w:line="276" w:lineRule="auto"/>
            </w:pPr>
            <w:r>
              <w:rPr>
                <w:rFonts w:cs="Times New Roman"/>
                <w:sz w:val="20"/>
                <w:szCs w:val="20"/>
              </w:rPr>
              <w:t>Not feasible</w:t>
            </w:r>
          </w:p>
        </w:tc>
      </w:tr>
    </w:tbl>
    <w:p w:rsidR="00DF6896" w:rsidRDefault="0009316F">
      <w:pPr>
        <w:spacing w:before="240" w:after="240" w:line="480" w:lineRule="auto"/>
        <w:jc w:val="center"/>
        <w:rPr>
          <w:rFonts w:cs="Times New Roman"/>
          <w:i/>
          <w:iCs/>
          <w:color w:val="666666"/>
        </w:rPr>
      </w:pPr>
      <w:r>
        <w:rPr>
          <w:rFonts w:cs="Times New Roman"/>
          <w:i/>
          <w:iCs/>
          <w:noProof/>
          <w:color w:val="666666"/>
        </w:rPr>
        <w:lastRenderedPageBreak/>
        <w:drawing>
          <wp:inline distT="0" distB="0" distL="0" distR="0">
            <wp:extent cx="5943600" cy="4754880"/>
            <wp:effectExtent l="0" t="0" r="0" b="0"/>
            <wp:docPr id="2087849871" name="Picture 5"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49871" name="Picture 5" descr="A diagram of a number of colo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r w:rsidR="00F37D8B">
        <w:rPr>
          <w:rFonts w:cs="Times New Roman"/>
          <w:i/>
          <w:iCs/>
          <w:color w:val="666666"/>
        </w:rPr>
        <w:t xml:space="preserve">[Figure </w:t>
      </w:r>
      <w:proofErr w:type="gramStart"/>
      <w:r w:rsidR="00F37D8B">
        <w:rPr>
          <w:rFonts w:cs="Times New Roman"/>
          <w:i/>
          <w:iCs/>
          <w:color w:val="666666"/>
        </w:rPr>
        <w:t>1</w:t>
      </w:r>
      <w:r w:rsidR="00F37D8B" w:rsidRPr="00F37D8B">
        <w:rPr>
          <w:rFonts w:cs="Times New Roman"/>
          <w:i/>
          <w:iCs/>
          <w:color w:val="666666"/>
        </w:rPr>
        <w:t xml:space="preserve"> </w:t>
      </w:r>
      <w:r w:rsidR="00F37D8B">
        <w:rPr>
          <w:rFonts w:cs="Times New Roman"/>
          <w:i/>
          <w:iCs/>
          <w:color w:val="666666"/>
        </w:rPr>
        <w:t>:</w:t>
      </w:r>
      <w:proofErr w:type="gramEnd"/>
      <w:r w:rsidR="00F37D8B">
        <w:rPr>
          <w:rFonts w:cs="Times New Roman"/>
          <w:i/>
          <w:iCs/>
          <w:color w:val="666666"/>
        </w:rPr>
        <w:t>fig1_feasibility_map.png</w:t>
      </w:r>
      <w:r w:rsidR="00F37D8B">
        <w:rPr>
          <w:rFonts w:cs="Times New Roman"/>
          <w:i/>
          <w:iCs/>
          <w:color w:val="666666"/>
        </w:rPr>
        <w:t>]</w:t>
      </w:r>
    </w:p>
    <w:p w:rsidR="00F37D8B" w:rsidRDefault="0009316F">
      <w:pPr>
        <w:spacing w:before="240" w:after="240" w:line="480" w:lineRule="auto"/>
        <w:jc w:val="center"/>
      </w:pPr>
      <w:r>
        <w:rPr>
          <w:noProof/>
        </w:rPr>
        <w:lastRenderedPageBreak/>
        <w:drawing>
          <wp:inline distT="0" distB="0" distL="0" distR="0">
            <wp:extent cx="5943600" cy="3782060"/>
            <wp:effectExtent l="0" t="0" r="0" b="2540"/>
            <wp:docPr id="1169517816"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17816" name="Picture 8" descr="A graph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rsidR="00DF6896" w:rsidRDefault="00000000">
      <w:pPr>
        <w:spacing w:before="240" w:after="240" w:line="480" w:lineRule="auto"/>
        <w:jc w:val="center"/>
      </w:pPr>
      <w:r>
        <w:rPr>
          <w:rFonts w:cs="Times New Roman"/>
          <w:i/>
          <w:iCs/>
          <w:color w:val="666666"/>
        </w:rPr>
        <w:t>[Figure 2: fig1_K_R_requirements.png]</w:t>
      </w:r>
    </w:p>
    <w:p w:rsidR="00DF6896" w:rsidRDefault="00000000">
      <w:pPr>
        <w:pStyle w:val="Heading1"/>
      </w:pPr>
      <w:r>
        <w:t>3. Wavelength Selection</w:t>
      </w:r>
    </w:p>
    <w:p w:rsidR="00DF6896" w:rsidRDefault="00000000">
      <w:pPr>
        <w:spacing w:after="200" w:line="480" w:lineRule="auto"/>
        <w:ind w:firstLine="720"/>
        <w:jc w:val="both"/>
      </w:pPr>
      <w:r>
        <w:rPr>
          <w:rFonts w:cs="Times New Roman"/>
        </w:rPr>
        <w:t>The choice of excitation wavelength involves a trade-off between Raman signal enhancement, fluorescence interference, and background levels. the analysis compares four wavelengths: 532 nm (</w:t>
      </w:r>
      <w:proofErr w:type="spellStart"/>
      <w:proofErr w:type="gramStart"/>
      <w:r>
        <w:rPr>
          <w:rFonts w:cs="Times New Roman"/>
        </w:rPr>
        <w:t>Nd:YAG</w:t>
      </w:r>
      <w:proofErr w:type="spellEnd"/>
      <w:proofErr w:type="gramEnd"/>
      <w:r>
        <w:rPr>
          <w:rFonts w:cs="Times New Roman"/>
        </w:rPr>
        <w:t xml:space="preserve"> second harmonic, 1× enhancement), 355 nm (third harmonic, ~10×), 266 nm (fourth harmonic, ~80×), and 248 nm (</w:t>
      </w:r>
      <w:proofErr w:type="spellStart"/>
      <w:r>
        <w:rPr>
          <w:rFonts w:cs="Times New Roman"/>
        </w:rPr>
        <w:t>KrF</w:t>
      </w:r>
      <w:proofErr w:type="spellEnd"/>
      <w:r>
        <w:rPr>
          <w:rFonts w:cs="Times New Roman"/>
        </w:rPr>
        <w:t xml:space="preserve"> excimer, ~212×). The enhancement factors combine ν⁴ scaling with wavelength-dependent resonance.</w:t>
      </w:r>
    </w:p>
    <w:p w:rsidR="00DF6896" w:rsidRDefault="00000000">
      <w:pPr>
        <w:spacing w:after="200" w:line="480" w:lineRule="auto"/>
        <w:ind w:firstLine="720"/>
        <w:jc w:val="both"/>
      </w:pPr>
      <w:r>
        <w:rPr>
          <w:rFonts w:cs="Times New Roman"/>
        </w:rPr>
        <w:t>At 248 nm, two effects compound. First, (532/</w:t>
      </w:r>
      <w:proofErr w:type="gramStart"/>
      <w:r>
        <w:rPr>
          <w:rFonts w:cs="Times New Roman"/>
        </w:rPr>
        <w:t>248)⁴</w:t>
      </w:r>
      <w:proofErr w:type="gramEnd"/>
      <w:r>
        <w:rPr>
          <w:rFonts w:cs="Times New Roman"/>
        </w:rPr>
        <w:t xml:space="preserve"> ≈ 21.2×. Second, excitation within the electronic absorption bands of aromatic organics provides resonance enhancement </w:t>
      </w:r>
      <w:proofErr w:type="spellStart"/>
      <w:r>
        <w:rPr>
          <w:rFonts w:cs="Times New Roman"/>
        </w:rPr>
        <w:t>f_res</w:t>
      </w:r>
      <w:proofErr w:type="spellEnd"/>
      <w:r>
        <w:rPr>
          <w:rFonts w:cs="Times New Roman"/>
        </w:rPr>
        <w:t xml:space="preserve"> ≈ 10 (Abbey et al., 2017; </w:t>
      </w:r>
      <w:proofErr w:type="spellStart"/>
      <w:r>
        <w:rPr>
          <w:rFonts w:cs="Times New Roman"/>
        </w:rPr>
        <w:t>Razzell</w:t>
      </w:r>
      <w:proofErr w:type="spellEnd"/>
      <w:r>
        <w:rPr>
          <w:rFonts w:cs="Times New Roman"/>
        </w:rPr>
        <w:t xml:space="preserve"> Hollis et al., 2023). The resonance selectively enhances the organics </w:t>
      </w:r>
      <w:r>
        <w:rPr>
          <w:rFonts w:cs="Times New Roman"/>
        </w:rPr>
        <w:lastRenderedPageBreak/>
        <w:t>of interest — polycyclic aromatic hydrocarbons, kerogen, amino acids — while mineral backgrounds remain at normal Raman intensities.</w:t>
      </w:r>
    </w:p>
    <w:p w:rsidR="00DF6896" w:rsidRDefault="00000000">
      <w:pPr>
        <w:spacing w:after="200" w:line="480" w:lineRule="auto"/>
        <w:ind w:firstLine="720"/>
        <w:jc w:val="both"/>
      </w:pPr>
      <w:r>
        <w:rPr>
          <w:rFonts w:cs="Times New Roman"/>
        </w:rPr>
        <w:t xml:space="preserve">An additional advantage is fluorescence avoidance. Below ~270 nm, the Raman spectral window lies entirely below the onset of fluorescence emission, eliminating the background that severely limits visible Raman on organic-rich samples (Gares et al., 2016; </w:t>
      </w:r>
      <w:proofErr w:type="spellStart"/>
      <w:r>
        <w:rPr>
          <w:rFonts w:cs="Times New Roman"/>
        </w:rPr>
        <w:t>Uckert</w:t>
      </w:r>
      <w:proofErr w:type="spellEnd"/>
      <w:r>
        <w:rPr>
          <w:rFonts w:cs="Times New Roman"/>
        </w:rPr>
        <w:t xml:space="preserve"> et al., 2021). SHERLOC operates at 248.6 nm for precisely this reason (Bhartia et al., 2021).</w:t>
      </w:r>
    </w:p>
    <w:p w:rsidR="00DF6896" w:rsidRDefault="0009316F">
      <w:pPr>
        <w:spacing w:before="240" w:after="240" w:line="480" w:lineRule="auto"/>
        <w:jc w:val="center"/>
      </w:pPr>
      <w:r>
        <w:rPr>
          <w:rFonts w:cs="Times New Roman"/>
          <w:i/>
          <w:iCs/>
          <w:noProof/>
          <w:color w:val="666666"/>
        </w:rPr>
        <w:drawing>
          <wp:inline distT="0" distB="0" distL="0" distR="0">
            <wp:extent cx="5943600" cy="3566160"/>
            <wp:effectExtent l="0" t="0" r="0" b="2540"/>
            <wp:docPr id="2140905876" name="Picture 9" descr="A graph of a graph showing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05876" name="Picture 9" descr="A graph of a graph showing different colo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sidR="00000000">
        <w:rPr>
          <w:rFonts w:cs="Times New Roman"/>
          <w:i/>
          <w:iCs/>
          <w:color w:val="666666"/>
        </w:rPr>
        <w:t>[Figure 3: fig2_wavelength_comparison.png]</w:t>
      </w:r>
    </w:p>
    <w:p w:rsidR="00DF6896" w:rsidRDefault="0009316F">
      <w:pPr>
        <w:spacing w:before="240" w:after="240" w:line="480" w:lineRule="auto"/>
        <w:jc w:val="center"/>
      </w:pPr>
      <w:r>
        <w:rPr>
          <w:rFonts w:cs="Times New Roman"/>
          <w:i/>
          <w:iCs/>
          <w:noProof/>
          <w:color w:val="666666"/>
        </w:rPr>
        <w:lastRenderedPageBreak/>
        <w:drawing>
          <wp:inline distT="0" distB="0" distL="0" distR="0">
            <wp:extent cx="5943600" cy="3782060"/>
            <wp:effectExtent l="0" t="0" r="0" b="2540"/>
            <wp:docPr id="1893154270"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54270" name="Picture 10" descr="A graph of different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r w:rsidR="00000000">
        <w:rPr>
          <w:rFonts w:cs="Times New Roman"/>
          <w:i/>
          <w:iCs/>
          <w:color w:val="666666"/>
        </w:rPr>
        <w:t>[Figure 4: fig4_wavelength_effects.png]</w:t>
      </w:r>
    </w:p>
    <w:p w:rsidR="00DF6896" w:rsidRDefault="00000000">
      <w:pPr>
        <w:pStyle w:val="Heading1"/>
      </w:pPr>
      <w:r>
        <w:t>4. Detection Feasibility</w:t>
      </w:r>
    </w:p>
    <w:p w:rsidR="00DF6896" w:rsidRDefault="00000000">
      <w:pPr>
        <w:pStyle w:val="Heading2"/>
        <w:spacing w:before="360" w:after="240"/>
      </w:pPr>
      <w:r>
        <w:t>4.1 Mission Phase Matrix</w:t>
      </w:r>
    </w:p>
    <w:p w:rsidR="00DF6896" w:rsidRDefault="00000000">
      <w:pPr>
        <w:spacing w:after="200" w:line="480" w:lineRule="auto"/>
        <w:ind w:firstLine="720"/>
        <w:jc w:val="both"/>
      </w:pPr>
      <w:r>
        <w:rPr>
          <w:rFonts w:cs="Times New Roman"/>
        </w:rPr>
        <w:t>this paper evaluates the photon budget at each OSIRIS-REx mission phase distance for five material scenarios spanning trace organics (K_R = 10⁻¹¹) to bulk minerals (K_R = 10⁻⁶). The matrix reveals a clear structure. At Sample Collection distance (50 m), every scenario above trace levels is comfortably detectable. At Reconnaissance (375 m), detection is feasible for organics at ≥ 3% concentration. Orbital B (680 m) marks the transition: only 10% organics or bulk minerals produce SNR ≥ 5.</w:t>
      </w:r>
    </w:p>
    <w:p w:rsidR="00DF6896" w:rsidRDefault="00000000">
      <w:pPr>
        <w:spacing w:before="240" w:after="240" w:line="480" w:lineRule="auto"/>
        <w:jc w:val="center"/>
      </w:pPr>
      <w:r>
        <w:rPr>
          <w:rFonts w:cs="Times New Roman"/>
          <w:i/>
          <w:iCs/>
          <w:color w:val="666666"/>
        </w:rPr>
        <w:t>[Figure 5: fig6_feasibility_matrix.png]</w:t>
      </w:r>
    </w:p>
    <w:p w:rsidR="00DF6896" w:rsidRDefault="00000000">
      <w:pPr>
        <w:spacing w:before="240" w:after="240" w:line="480" w:lineRule="auto"/>
        <w:jc w:val="center"/>
      </w:pPr>
      <w:r>
        <w:rPr>
          <w:rFonts w:cs="Times New Roman"/>
          <w:i/>
          <w:iCs/>
          <w:color w:val="666666"/>
        </w:rPr>
        <w:lastRenderedPageBreak/>
        <w:t>[Figure 6: fig6_mission_context.png]</w:t>
      </w:r>
    </w:p>
    <w:p w:rsidR="00DF6896" w:rsidRDefault="00000000">
      <w:pPr>
        <w:pStyle w:val="Heading2"/>
        <w:spacing w:before="360" w:after="240"/>
      </w:pPr>
      <w:r>
        <w:t>4.2 Instrument Optimization</w:t>
      </w:r>
    </w:p>
    <w:p w:rsidR="00DF6896" w:rsidRDefault="00000000">
      <w:pPr>
        <w:spacing w:after="200" w:line="480" w:lineRule="auto"/>
        <w:ind w:firstLine="720"/>
        <w:jc w:val="both"/>
      </w:pPr>
      <w:r>
        <w:rPr>
          <w:rFonts w:cs="Times New Roman"/>
        </w:rPr>
        <w:t xml:space="preserve">The three most impactful instrument parameters are pulse energy, telescope aperture, and integration time. The baseline configuration (50 </w:t>
      </w:r>
      <w:proofErr w:type="spellStart"/>
      <w:r>
        <w:rPr>
          <w:rFonts w:cs="Times New Roman"/>
        </w:rPr>
        <w:t>mJ</w:t>
      </w:r>
      <w:proofErr w:type="spellEnd"/>
      <w:r>
        <w:rPr>
          <w:rFonts w:cs="Times New Roman"/>
        </w:rPr>
        <w:t xml:space="preserve">, 30 cm, 10 s) achieves detection at ~500 m. An optimized configuration (200 </w:t>
      </w:r>
      <w:proofErr w:type="spellStart"/>
      <w:r>
        <w:rPr>
          <w:rFonts w:cs="Times New Roman"/>
        </w:rPr>
        <w:t>mJ</w:t>
      </w:r>
      <w:proofErr w:type="spellEnd"/>
      <w:r>
        <w:rPr>
          <w:rFonts w:cs="Times New Roman"/>
        </w:rPr>
        <w:t>, 50 cm, 60 s) extends this to ~1200 m, bringing Orbital B comfortably into range.</w:t>
      </w:r>
    </w:p>
    <w:p w:rsidR="00DF6896" w:rsidRDefault="00000000">
      <w:pPr>
        <w:spacing w:before="240" w:after="240" w:line="480" w:lineRule="auto"/>
        <w:jc w:val="center"/>
      </w:pPr>
      <w:r>
        <w:rPr>
          <w:rFonts w:cs="Times New Roman"/>
          <w:i/>
          <w:iCs/>
          <w:color w:val="666666"/>
        </w:rPr>
        <w:t>[Figure 7: fig3_parameter_sweep.png]</w:t>
      </w:r>
    </w:p>
    <w:p w:rsidR="00DF6896" w:rsidRDefault="00000000">
      <w:pPr>
        <w:pStyle w:val="Heading2"/>
        <w:spacing w:before="360" w:after="240"/>
      </w:pPr>
      <w:r>
        <w:t>4.3 Realistic Surface Environment</w:t>
      </w:r>
    </w:p>
    <w:p w:rsidR="00DF6896" w:rsidRDefault="00000000">
      <w:pPr>
        <w:spacing w:after="200" w:line="480" w:lineRule="auto"/>
        <w:ind w:firstLine="720"/>
        <w:jc w:val="both"/>
      </w:pPr>
      <w:r>
        <w:rPr>
          <w:rFonts w:cs="Times New Roman"/>
        </w:rPr>
        <w:t xml:space="preserve">Real surfaces introduce additional signal degradation from solar incidence angle (cosine loss), roughness (scattering), shadowing (signal zeroed), and dust accumulation. the study models these as a combined environment factor </w:t>
      </w:r>
      <w:proofErr w:type="spellStart"/>
      <w:r>
        <w:rPr>
          <w:rFonts w:cs="Times New Roman"/>
        </w:rPr>
        <w:t>f_env</w:t>
      </w:r>
      <w:proofErr w:type="spellEnd"/>
      <w:r>
        <w:rPr>
          <w:rFonts w:cs="Times New Roman"/>
        </w:rPr>
        <w:t xml:space="preserve"> following the statistical surface model described in Appendix A. This approach uses probability distributions for each degradation source rather than deterministic </w:t>
      </w:r>
      <w:proofErr w:type="gramStart"/>
      <w:r>
        <w:rPr>
          <w:rFonts w:cs="Times New Roman"/>
        </w:rPr>
        <w:t>ray-tracing</w:t>
      </w:r>
      <w:proofErr w:type="gramEnd"/>
      <w:r>
        <w:rPr>
          <w:rFonts w:cs="Times New Roman"/>
        </w:rPr>
        <w:t xml:space="preserve"> against Bennu’s detailed shape model. The choice is deliberate: for a mission-level feasibility study, the statistical model captures the expected range of surface conditions across thousands of potential pointing locations without the computational cost of simulating every specific boulder-shadow-incidence geometry.</w:t>
      </w:r>
    </w:p>
    <w:p w:rsidR="00DF6896" w:rsidRDefault="00000000">
      <w:pPr>
        <w:spacing w:after="200" w:line="480" w:lineRule="auto"/>
        <w:ind w:firstLine="720"/>
        <w:jc w:val="both"/>
      </w:pPr>
      <w:r>
        <w:rPr>
          <w:rFonts w:cs="Times New Roman"/>
        </w:rPr>
        <w:t>At 375 m (Reconnaissance), the detectable surface fraction drops from 99.3% (ideal) to 56.2% (realistic). At 680 m (Orbital B), realistic coverage is approximately 1%.</w:t>
      </w:r>
    </w:p>
    <w:p w:rsidR="00DF6896" w:rsidRDefault="0009316F">
      <w:pPr>
        <w:spacing w:before="240" w:after="240" w:line="480" w:lineRule="auto"/>
        <w:jc w:val="center"/>
      </w:pPr>
      <w:r>
        <w:rPr>
          <w:rFonts w:cs="Times New Roman"/>
          <w:i/>
          <w:iCs/>
          <w:noProof/>
          <w:color w:val="666666"/>
        </w:rPr>
        <w:lastRenderedPageBreak/>
        <w:drawing>
          <wp:inline distT="0" distB="0" distL="0" distR="0">
            <wp:extent cx="5943600" cy="3382010"/>
            <wp:effectExtent l="0" t="0" r="0" b="0"/>
            <wp:docPr id="788348330" name="Picture 11" descr="A group of imag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48330" name="Picture 11" descr="A group of images of different col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82010"/>
                    </a:xfrm>
                    <a:prstGeom prst="rect">
                      <a:avLst/>
                    </a:prstGeom>
                  </pic:spPr>
                </pic:pic>
              </a:graphicData>
            </a:graphic>
          </wp:inline>
        </w:drawing>
      </w:r>
      <w:r w:rsidR="00000000">
        <w:rPr>
          <w:rFonts w:cs="Times New Roman"/>
          <w:i/>
          <w:iCs/>
          <w:color w:val="666666"/>
        </w:rPr>
        <w:t>[Figure 8: fig5_bennu_realistic.png]</w:t>
      </w:r>
    </w:p>
    <w:p w:rsidR="00DF6896" w:rsidRDefault="00000000">
      <w:pPr>
        <w:pStyle w:val="Heading2"/>
        <w:spacing w:before="360" w:after="240"/>
      </w:pPr>
      <w:r>
        <w:t>4.4 Timing Jitter</w:t>
      </w:r>
    </w:p>
    <w:p w:rsidR="00DF6896" w:rsidRDefault="00000000">
      <w:pPr>
        <w:spacing w:after="200" w:line="480" w:lineRule="auto"/>
        <w:ind w:firstLine="720"/>
        <w:jc w:val="both"/>
      </w:pPr>
      <w:r>
        <w:rPr>
          <w:rFonts w:cs="Times New Roman"/>
        </w:rPr>
        <w:t xml:space="preserve">For jitter values σ ≤ 100 </w:t>
      </w:r>
      <w:proofErr w:type="spellStart"/>
      <w:r>
        <w:rPr>
          <w:rFonts w:cs="Times New Roman"/>
        </w:rPr>
        <w:t>ps</w:t>
      </w:r>
      <w:proofErr w:type="spellEnd"/>
      <w:r>
        <w:rPr>
          <w:rFonts w:cs="Times New Roman"/>
        </w:rPr>
        <w:t>, the 20 ns gate width is unaffected. Jitter is not a limiting factor for the proposed instrument.</w:t>
      </w:r>
    </w:p>
    <w:p w:rsidR="00DF6896" w:rsidRDefault="0009316F">
      <w:pPr>
        <w:spacing w:before="240" w:after="240" w:line="480" w:lineRule="auto"/>
        <w:jc w:val="center"/>
      </w:pPr>
      <w:r>
        <w:rPr>
          <w:rFonts w:cs="Times New Roman"/>
          <w:i/>
          <w:iCs/>
          <w:noProof/>
          <w:color w:val="666666"/>
        </w:rPr>
        <w:lastRenderedPageBreak/>
        <w:drawing>
          <wp:inline distT="0" distB="0" distL="0" distR="0">
            <wp:extent cx="5943600" cy="3566160"/>
            <wp:effectExtent l="0" t="0" r="0" b="2540"/>
            <wp:docPr id="1240079470" name="Picture 12" descr="A graph of timing ji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79470" name="Picture 12" descr="A graph of timing jit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sidR="00000000">
        <w:rPr>
          <w:rFonts w:cs="Times New Roman"/>
          <w:i/>
          <w:iCs/>
          <w:color w:val="666666"/>
        </w:rPr>
        <w:t>[Figure 9: fig5_jitter_analysis.png]</w:t>
      </w:r>
    </w:p>
    <w:p w:rsidR="00DF6896" w:rsidRDefault="00000000">
      <w:pPr>
        <w:pStyle w:val="Heading1"/>
      </w:pPr>
      <w:r>
        <w:t>5. Monte Carlo Uncertainty Quantification</w:t>
      </w:r>
    </w:p>
    <w:p w:rsidR="00DF6896" w:rsidRDefault="00000000">
      <w:pPr>
        <w:pStyle w:val="Heading2"/>
        <w:spacing w:before="360" w:after="240"/>
      </w:pPr>
      <w:r>
        <w:t>5.1 Methodology</w:t>
      </w:r>
    </w:p>
    <w:p w:rsidR="00DF6896" w:rsidRDefault="00A45A37" w:rsidP="00A45A37">
      <w:pPr>
        <w:spacing w:after="200" w:line="480" w:lineRule="auto"/>
        <w:ind w:left="720" w:firstLine="720"/>
        <w:jc w:val="both"/>
      </w:pPr>
      <w:r>
        <w:rPr>
          <w:rFonts w:cs="Times New Roman"/>
        </w:rPr>
        <w:t>T</w:t>
      </w:r>
      <w:r w:rsidR="00000000">
        <w:rPr>
          <w:rFonts w:cs="Times New Roman"/>
        </w:rPr>
        <w:t xml:space="preserve">he analysis propagates parameter uncertainties through the full photon budget using 10,000 Monte Carlo trials (Thompson et al., 2020; Zhang &amp; Shields, 2021). Seven parameters are sampled independently from uniform distributions: pulse energy (30–70 </w:t>
      </w:r>
      <w:proofErr w:type="spellStart"/>
      <w:r w:rsidR="00000000">
        <w:rPr>
          <w:rFonts w:cs="Times New Roman"/>
        </w:rPr>
        <w:t>mJ</w:t>
      </w:r>
      <w:proofErr w:type="spellEnd"/>
      <w:r w:rsidR="00000000">
        <w:rPr>
          <w:rFonts w:cs="Times New Roman"/>
        </w:rPr>
        <w:t>), aperture (25–35 cm), integration time (8–12 s), surface temperature (280–350 K), solar irradiance (0.010–0.020 W m⁻² nm⁻¹), organic concentration (1–15%), and environment factor (0.3–1.0).</w:t>
      </w:r>
    </w:p>
    <w:p w:rsidR="00DF6896" w:rsidRDefault="00000000">
      <w:pPr>
        <w:pStyle w:val="Heading2"/>
        <w:spacing w:before="360" w:after="240"/>
      </w:pPr>
      <w:r>
        <w:t>5.2 Results</w:t>
      </w:r>
    </w:p>
    <w:p w:rsidR="00DF6896" w:rsidRDefault="00000000">
      <w:pPr>
        <w:spacing w:after="200" w:line="480" w:lineRule="auto"/>
        <w:ind w:firstLine="720"/>
        <w:jc w:val="both"/>
      </w:pPr>
      <w:r>
        <w:rPr>
          <w:rFonts w:cs="Times New Roman"/>
        </w:rPr>
        <w:lastRenderedPageBreak/>
        <w:t>At Orbital B distance (680 m), the MC analysis yields a median SNR of 3.1 with a 95% confidence interval of [0.5, 9.8]. The probability of achieving SNR ≥ 5 (detection) is 25.4%. The median maximum detection range is 523 m with a 95% CI of [199, 945] m.</w:t>
      </w:r>
    </w:p>
    <w:p w:rsidR="00DF6896" w:rsidRDefault="00000000">
      <w:pPr>
        <w:spacing w:after="200" w:line="480" w:lineRule="auto"/>
        <w:ind w:firstLine="720"/>
        <w:jc w:val="both"/>
      </w:pPr>
      <w:r>
        <w:rPr>
          <w:rFonts w:cs="Times New Roman"/>
        </w:rPr>
        <w:t>Sensitivity analysis via Spearman rank correlation identifies organic concentration as the dominant driver of SNR uncertainty (ρ = 0.79), followed by the surface environment factor (ρ = 0.43) and pulse energy (ρ = 0.30). This finding has a clear practical implication: reducing uncertainty in the organic concentration and surface conditions of a target asteroid would do more to constrain mission feasibility than any reasonable improvement in instrument hardware.</w:t>
      </w:r>
    </w:p>
    <w:p w:rsidR="00DF6896" w:rsidRDefault="0009316F">
      <w:pPr>
        <w:spacing w:before="240" w:after="240" w:line="480" w:lineRule="auto"/>
        <w:jc w:val="center"/>
      </w:pPr>
      <w:r>
        <w:rPr>
          <w:rFonts w:cs="Times New Roman"/>
          <w:i/>
          <w:iCs/>
          <w:noProof/>
          <w:color w:val="666666"/>
        </w:rPr>
        <w:drawing>
          <wp:inline distT="0" distB="0" distL="0" distR="0">
            <wp:extent cx="5943600" cy="4659630"/>
            <wp:effectExtent l="0" t="0" r="0" b="1270"/>
            <wp:docPr id="671493475" name="Picture 13"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93475" name="Picture 13" descr="A group of graphs and diagram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59630"/>
                    </a:xfrm>
                    <a:prstGeom prst="rect">
                      <a:avLst/>
                    </a:prstGeom>
                  </pic:spPr>
                </pic:pic>
              </a:graphicData>
            </a:graphic>
          </wp:inline>
        </w:drawing>
      </w:r>
      <w:r w:rsidR="00000000">
        <w:rPr>
          <w:rFonts w:cs="Times New Roman"/>
          <w:i/>
          <w:iCs/>
          <w:color w:val="666666"/>
        </w:rPr>
        <w:t>[Figure 10: fig6_monte_carlo.png]</w:t>
      </w:r>
    </w:p>
    <w:p w:rsidR="00DF6896" w:rsidRDefault="00000000">
      <w:pPr>
        <w:pStyle w:val="Heading1"/>
      </w:pPr>
      <w:r>
        <w:lastRenderedPageBreak/>
        <w:t>6. Quantum Enhancement via Squeezed Light</w:t>
      </w:r>
    </w:p>
    <w:p w:rsidR="00DF6896" w:rsidRDefault="00000000">
      <w:pPr>
        <w:pStyle w:val="Heading2"/>
        <w:spacing w:before="360" w:after="240"/>
      </w:pPr>
      <w:r>
        <w:t>6.1 Motivation</w:t>
      </w:r>
    </w:p>
    <w:p w:rsidR="00DF6896" w:rsidRDefault="00000000">
      <w:pPr>
        <w:spacing w:after="200" w:line="480" w:lineRule="auto"/>
        <w:ind w:firstLine="720"/>
        <w:jc w:val="both"/>
      </w:pPr>
      <w:r>
        <w:rPr>
          <w:rFonts w:cs="Times New Roman"/>
        </w:rPr>
        <w:t>Squeezed states of light reduce quantum noise below the shot-noise limit, providing sensitivity enhancement in gravitational wave detection (Tse et al., 2019), stimulated Raman spectroscopy (De Andrade et al., 2020), biological microscopy (</w:t>
      </w:r>
      <w:proofErr w:type="spellStart"/>
      <w:r>
        <w:rPr>
          <w:rFonts w:cs="Times New Roman"/>
        </w:rPr>
        <w:t>Casacio</w:t>
      </w:r>
      <w:proofErr w:type="spellEnd"/>
      <w:r>
        <w:rPr>
          <w:rFonts w:cs="Times New Roman"/>
        </w:rPr>
        <w:t xml:space="preserve"> et al., 2021), and dual-comb spectroscopy (Herman et al., 2025). However, these successes share a common feature: high optical efficiency in the detection chain, typically exceeding 50%. Whether quantum-enhanced sensing provides any advantage in the opposite regime — high-loss, photon-starved remote sensing — remains an open question. No published work has applied a rigorous quantum optics analysis to the specific problem of orbital Raman spectroscopy.</w:t>
      </w:r>
    </w:p>
    <w:p w:rsidR="00DF6896" w:rsidRDefault="00000000">
      <w:pPr>
        <w:pStyle w:val="Heading2"/>
        <w:spacing w:before="360" w:after="240"/>
      </w:pPr>
      <w:r>
        <w:t>6.2 Loss-Degradation Analysis</w:t>
      </w:r>
    </w:p>
    <w:p w:rsidR="00DF6896" w:rsidRDefault="00000000">
      <w:pPr>
        <w:spacing w:after="200" w:line="480" w:lineRule="auto"/>
        <w:ind w:firstLine="720"/>
        <w:jc w:val="both"/>
      </w:pPr>
      <w:r>
        <w:rPr>
          <w:rFonts w:cs="Times New Roman"/>
        </w:rPr>
        <w:t xml:space="preserve">When squeezed light with ideal noise variance </w:t>
      </w:r>
      <w:proofErr w:type="spellStart"/>
      <w:r>
        <w:rPr>
          <w:rFonts w:cs="Times New Roman"/>
        </w:rPr>
        <w:t>V_ideal</w:t>
      </w:r>
      <w:proofErr w:type="spellEnd"/>
      <w:r>
        <w:rPr>
          <w:rFonts w:cs="Times New Roman"/>
        </w:rPr>
        <w:t xml:space="preserve"> propagates through a channel with efficiency η, the effective variance is (Caves, 1981; Walls &amp; Milburn, 2008):</w:t>
      </w:r>
    </w:p>
    <w:p w:rsidR="00DF6896" w:rsidRDefault="00000000">
      <w:pPr>
        <w:spacing w:after="200" w:line="480" w:lineRule="auto"/>
        <w:jc w:val="center"/>
      </w:pPr>
      <w:proofErr w:type="spellStart"/>
      <w:r>
        <w:rPr>
          <w:rFonts w:cs="Times New Roman"/>
          <w:i/>
          <w:iCs/>
        </w:rPr>
        <w:t>V_eff</w:t>
      </w:r>
      <w:proofErr w:type="spellEnd"/>
      <w:r>
        <w:rPr>
          <w:rFonts w:cs="Times New Roman"/>
          <w:i/>
          <w:iCs/>
        </w:rPr>
        <w:t xml:space="preserve"> = η · </w:t>
      </w:r>
      <w:proofErr w:type="spellStart"/>
      <w:r>
        <w:rPr>
          <w:rFonts w:cs="Times New Roman"/>
          <w:i/>
          <w:iCs/>
        </w:rPr>
        <w:t>V_ideal</w:t>
      </w:r>
      <w:proofErr w:type="spellEnd"/>
      <w:r>
        <w:rPr>
          <w:rFonts w:cs="Times New Roman"/>
          <w:i/>
          <w:iCs/>
        </w:rPr>
        <w:t xml:space="preserve"> + (1 − </w:t>
      </w:r>
      <w:proofErr w:type="gramStart"/>
      <w:r>
        <w:rPr>
          <w:rFonts w:cs="Times New Roman"/>
          <w:i/>
          <w:iCs/>
        </w:rPr>
        <w:t>η)</w:t>
      </w:r>
      <w:r>
        <w:rPr>
          <w:rFonts w:cs="Times New Roman"/>
        </w:rPr>
        <w:t xml:space="preserve">   </w:t>
      </w:r>
      <w:proofErr w:type="gramEnd"/>
      <w:r>
        <w:rPr>
          <w:rFonts w:cs="Times New Roman"/>
        </w:rPr>
        <w:t xml:space="preserve">  (5)</w:t>
      </w:r>
    </w:p>
    <w:p w:rsidR="00DF6896" w:rsidRDefault="00000000">
      <w:pPr>
        <w:spacing w:after="200" w:line="480" w:lineRule="auto"/>
        <w:ind w:firstLine="720"/>
        <w:jc w:val="both"/>
      </w:pPr>
      <w:r>
        <w:rPr>
          <w:rFonts w:cs="Times New Roman"/>
        </w:rPr>
        <w:t xml:space="preserve">At η = 0.045 (4.5%), even perfect squeezing yields </w:t>
      </w:r>
      <w:proofErr w:type="spellStart"/>
      <w:r>
        <w:rPr>
          <w:rFonts w:cs="Times New Roman"/>
        </w:rPr>
        <w:t>V_eff</w:t>
      </w:r>
      <w:proofErr w:type="spellEnd"/>
      <w:r>
        <w:rPr>
          <w:rFonts w:cs="Times New Roman"/>
        </w:rPr>
        <w:t xml:space="preserve"> = 0.955, or 0.20 dB — negligible. With 10 dB ideal squeezing, </w:t>
      </w:r>
      <w:proofErr w:type="spellStart"/>
      <w:r>
        <w:rPr>
          <w:rFonts w:cs="Times New Roman"/>
        </w:rPr>
        <w:t>V_eff</w:t>
      </w:r>
      <w:proofErr w:type="spellEnd"/>
      <w:r>
        <w:rPr>
          <w:rFonts w:cs="Times New Roman"/>
        </w:rPr>
        <w:t xml:space="preserve"> = 0.9595. To gain ≥ 1 dB effective requires η &gt; 20%; to match the 3 dB of LIGO (Tse et al., 2019) requires η &gt; 50%.</w:t>
      </w:r>
    </w:p>
    <w:p w:rsidR="00DF6896" w:rsidRDefault="00000000">
      <w:pPr>
        <w:spacing w:after="200" w:line="480" w:lineRule="auto"/>
        <w:ind w:firstLine="720"/>
        <w:jc w:val="both"/>
      </w:pPr>
      <w:r>
        <w:rPr>
          <w:rFonts w:cs="Times New Roman"/>
        </w:rPr>
        <w:t xml:space="preserve">the analysis verifies this result using </w:t>
      </w:r>
      <w:proofErr w:type="spellStart"/>
      <w:r>
        <w:rPr>
          <w:rFonts w:cs="Times New Roman"/>
        </w:rPr>
        <w:t>QuTiP</w:t>
      </w:r>
      <w:proofErr w:type="spellEnd"/>
      <w:r>
        <w:rPr>
          <w:rFonts w:cs="Times New Roman"/>
        </w:rPr>
        <w:t xml:space="preserve"> quantum state simulation. Squeezed vacuum states in a truncated Fock space (N = 40) are propagated through a beamsplitter loss model, and the output quadrature variance is computed. The numerical results agree with Equation (5) to within machine precision. This is consistent with the fundamental finding that loss bounds quantum advantage to a constant factor (Demkowicz-</w:t>
      </w:r>
      <w:proofErr w:type="spellStart"/>
      <w:r>
        <w:rPr>
          <w:rFonts w:cs="Times New Roman"/>
        </w:rPr>
        <w:t>Dobrzański</w:t>
      </w:r>
      <w:proofErr w:type="spellEnd"/>
      <w:r>
        <w:rPr>
          <w:rFonts w:cs="Times New Roman"/>
        </w:rPr>
        <w:t xml:space="preserve"> et al., 2012) and with the </w:t>
      </w:r>
      <w:r>
        <w:rPr>
          <w:rFonts w:cs="Times New Roman"/>
        </w:rPr>
        <w:lastRenderedPageBreak/>
        <w:t>observation of Manceau et al. (2021) that squeezed states are ineffective when detection is inefficient.</w:t>
      </w:r>
    </w:p>
    <w:p w:rsidR="00DF6896" w:rsidRDefault="00000000">
      <w:pPr>
        <w:spacing w:after="200" w:line="480" w:lineRule="auto"/>
        <w:ind w:firstLine="720"/>
        <w:jc w:val="both"/>
      </w:pPr>
      <w:r>
        <w:rPr>
          <w:rFonts w:cs="Times New Roman"/>
        </w:rPr>
        <w:t>the analysis identifies η ~ 30% as the threshold for meaningful advantage. This is not merely a negative result but a concrete technology development target. Reaching η ~ 30% in the deep UV would require next-generation UV-optimized single-photon detectors such as superconducting nanowire single-photon detectors (SNSPDs) and low-loss UV optical coatings. Until these technologies mature, classical instrument optimization remains the more productive path.</w:t>
      </w:r>
    </w:p>
    <w:p w:rsidR="00DF6896" w:rsidRDefault="0009316F">
      <w:pPr>
        <w:spacing w:before="240" w:after="240" w:line="480" w:lineRule="auto"/>
        <w:jc w:val="center"/>
      </w:pPr>
      <w:r>
        <w:rPr>
          <w:rFonts w:cs="Times New Roman"/>
          <w:i/>
          <w:iCs/>
          <w:noProof/>
          <w:color w:val="666666"/>
        </w:rPr>
        <w:drawing>
          <wp:inline distT="0" distB="0" distL="0" distR="0">
            <wp:extent cx="5943600" cy="2520315"/>
            <wp:effectExtent l="0" t="0" r="0" b="0"/>
            <wp:docPr id="2074552065" name="Picture 14"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52065" name="Picture 14" descr="A comparison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20315"/>
                    </a:xfrm>
                    <a:prstGeom prst="rect">
                      <a:avLst/>
                    </a:prstGeom>
                  </pic:spPr>
                </pic:pic>
              </a:graphicData>
            </a:graphic>
          </wp:inline>
        </w:drawing>
      </w:r>
      <w:r w:rsidR="00000000">
        <w:rPr>
          <w:rFonts w:cs="Times New Roman"/>
          <w:i/>
          <w:iCs/>
          <w:color w:val="666666"/>
        </w:rPr>
        <w:t>[Figure 11: fig7_squeezing.png]</w:t>
      </w:r>
    </w:p>
    <w:p w:rsidR="00DF6896" w:rsidRDefault="00000000">
      <w:pPr>
        <w:pStyle w:val="Heading1"/>
      </w:pPr>
      <w:r>
        <w:t>7. Photon Correlation Analysis</w:t>
      </w:r>
    </w:p>
    <w:p w:rsidR="00DF6896" w:rsidRDefault="00000000">
      <w:pPr>
        <w:spacing w:after="200" w:line="480" w:lineRule="auto"/>
        <w:ind w:firstLine="720"/>
        <w:jc w:val="both"/>
      </w:pPr>
      <w:r>
        <w:rPr>
          <w:rFonts w:cs="Times New Roman"/>
        </w:rPr>
        <w:t xml:space="preserve">An alternative quantum-statistical approach exploits the second-order photon correlation function g⁽²⁾(τ), which measures the normalized probability of detecting photon pairs separated by delay τ (Loudon, 2000). Different sources have distinct signatures: coherent (g⁽²⁾ = 1), thermal </w:t>
      </w:r>
      <w:r>
        <w:rPr>
          <w:rFonts w:cs="Times New Roman"/>
        </w:rPr>
        <w:lastRenderedPageBreak/>
        <w:t>(g⁽²</w:t>
      </w:r>
      <w:proofErr w:type="gramStart"/>
      <w:r>
        <w:rPr>
          <w:rFonts w:cs="Times New Roman"/>
        </w:rPr>
        <w:t>⁾(</w:t>
      </w:r>
      <w:proofErr w:type="gramEnd"/>
      <w:r>
        <w:rPr>
          <w:rFonts w:cs="Times New Roman"/>
        </w:rPr>
        <w:t>0) = 2, exponential decay), and spontaneous Raman (narrow bunching peak at the vibrational coherence time ~0.1 ns).</w:t>
      </w:r>
    </w:p>
    <w:p w:rsidR="00DF6896" w:rsidRDefault="00000000">
      <w:pPr>
        <w:spacing w:after="200" w:line="480" w:lineRule="auto"/>
        <w:ind w:firstLine="720"/>
        <w:jc w:val="both"/>
      </w:pPr>
      <w:r>
        <w:rPr>
          <w:rFonts w:cs="Times New Roman"/>
        </w:rPr>
        <w:t>The minimum integration for 3σ discrimination is:</w:t>
      </w:r>
    </w:p>
    <w:p w:rsidR="00DF6896" w:rsidRDefault="00000000">
      <w:pPr>
        <w:spacing w:after="200" w:line="480" w:lineRule="auto"/>
        <w:jc w:val="center"/>
      </w:pPr>
      <w:proofErr w:type="spellStart"/>
      <w:r>
        <w:rPr>
          <w:rFonts w:cs="Times New Roman"/>
          <w:i/>
          <w:iCs/>
        </w:rPr>
        <w:t>T_min</w:t>
      </w:r>
      <w:proofErr w:type="spellEnd"/>
      <w:r>
        <w:rPr>
          <w:rFonts w:cs="Times New Roman"/>
          <w:i/>
          <w:iCs/>
        </w:rPr>
        <w:t xml:space="preserve"> = 9 / (ρ⁴ · R²_total · </w:t>
      </w:r>
      <w:proofErr w:type="spellStart"/>
      <w:proofErr w:type="gramStart"/>
      <w:r>
        <w:rPr>
          <w:rFonts w:cs="Times New Roman"/>
          <w:i/>
          <w:iCs/>
        </w:rPr>
        <w:t>Δτ</w:t>
      </w:r>
      <w:proofErr w:type="spellEnd"/>
      <w:r>
        <w:rPr>
          <w:rFonts w:cs="Times New Roman"/>
          <w:i/>
          <w:iCs/>
        </w:rPr>
        <w:t>)</w:t>
      </w:r>
      <w:r>
        <w:rPr>
          <w:rFonts w:cs="Times New Roman"/>
        </w:rPr>
        <w:t xml:space="preserve">   </w:t>
      </w:r>
      <w:proofErr w:type="gramEnd"/>
      <w:r>
        <w:rPr>
          <w:rFonts w:cs="Times New Roman"/>
        </w:rPr>
        <w:t xml:space="preserve">  (6)</w:t>
      </w:r>
    </w:p>
    <w:p w:rsidR="00DF6896" w:rsidRDefault="00000000">
      <w:pPr>
        <w:spacing w:after="200" w:line="480" w:lineRule="auto"/>
        <w:ind w:firstLine="720"/>
        <w:jc w:val="both"/>
      </w:pPr>
      <w:r>
        <w:rPr>
          <w:rFonts w:cs="Times New Roman"/>
        </w:rPr>
        <w:t xml:space="preserve">At Orbital B (680 m), the signal fraction ρ ≈ 0.002 and </w:t>
      </w:r>
      <w:proofErr w:type="spellStart"/>
      <w:r>
        <w:rPr>
          <w:rFonts w:cs="Times New Roman"/>
        </w:rPr>
        <w:t>T_min</w:t>
      </w:r>
      <w:proofErr w:type="spellEnd"/>
      <w:r>
        <w:rPr>
          <w:rFonts w:cs="Times New Roman"/>
        </w:rPr>
        <w:t xml:space="preserve"> ~ 10⁷ hours — clearly impractical. At close approach (200 m) with a 10× signal enhancement, sub-hour discrimination becomes achievable. Photon correlation provides a detection modality fundamentally distinct from intensity-based counting, representing a promising complementary technique for future missions.</w:t>
      </w:r>
    </w:p>
    <w:p w:rsidR="00DF6896" w:rsidRDefault="0009316F">
      <w:pPr>
        <w:spacing w:before="240" w:after="240" w:line="480" w:lineRule="auto"/>
        <w:jc w:val="center"/>
      </w:pPr>
      <w:r>
        <w:rPr>
          <w:rFonts w:cs="Times New Roman"/>
          <w:i/>
          <w:iCs/>
          <w:noProof/>
          <w:color w:val="666666"/>
        </w:rPr>
        <w:drawing>
          <wp:inline distT="0" distB="0" distL="0" distR="0">
            <wp:extent cx="5943600" cy="1790700"/>
            <wp:effectExtent l="0" t="0" r="0" b="0"/>
            <wp:docPr id="1332273088" name="Picture 16"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73088" name="Picture 16" descr="A diagram of a functio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790700"/>
                    </a:xfrm>
                    <a:prstGeom prst="rect">
                      <a:avLst/>
                    </a:prstGeom>
                  </pic:spPr>
                </pic:pic>
              </a:graphicData>
            </a:graphic>
          </wp:inline>
        </w:drawing>
      </w:r>
      <w:r w:rsidR="00000000">
        <w:rPr>
          <w:rFonts w:cs="Times New Roman"/>
          <w:i/>
          <w:iCs/>
          <w:color w:val="666666"/>
        </w:rPr>
        <w:t>[Figure 12: fig8_g2.png]</w:t>
      </w:r>
    </w:p>
    <w:p w:rsidR="00DF6896" w:rsidRDefault="00000000">
      <w:pPr>
        <w:pStyle w:val="Heading1"/>
      </w:pPr>
      <w:r>
        <w:t>8. Discussion and Conclusions</w:t>
      </w:r>
    </w:p>
    <w:p w:rsidR="00DF6896" w:rsidRDefault="00000000">
      <w:pPr>
        <w:spacing w:after="200" w:line="480" w:lineRule="auto"/>
        <w:ind w:firstLine="720"/>
        <w:jc w:val="both"/>
      </w:pPr>
      <w:r>
        <w:rPr>
          <w:rFonts w:cs="Times New Roman"/>
        </w:rPr>
        <w:t>Five conclusions emerge from this work.</w:t>
      </w:r>
    </w:p>
    <w:p w:rsidR="00DF6896" w:rsidRDefault="00000000">
      <w:pPr>
        <w:spacing w:after="200" w:line="480" w:lineRule="auto"/>
        <w:ind w:firstLine="720"/>
        <w:jc w:val="both"/>
      </w:pPr>
      <w:r>
        <w:rPr>
          <w:rFonts w:cs="Times New Roman"/>
        </w:rPr>
        <w:t xml:space="preserve">First, orbital Raman detection is feasible at distances below ~500 m with the baseline DUV instrument (248 nm, 50 </w:t>
      </w:r>
      <w:proofErr w:type="spellStart"/>
      <w:r>
        <w:rPr>
          <w:rFonts w:cs="Times New Roman"/>
        </w:rPr>
        <w:t>mJ</w:t>
      </w:r>
      <w:proofErr w:type="spellEnd"/>
      <w:r>
        <w:rPr>
          <w:rFonts w:cs="Times New Roman"/>
        </w:rPr>
        <w:t>, 30 cm, 10 s). An optimized configuration extends this to ~1200 m.</w:t>
      </w:r>
    </w:p>
    <w:p w:rsidR="00DF6896" w:rsidRDefault="00000000">
      <w:pPr>
        <w:spacing w:after="200" w:line="480" w:lineRule="auto"/>
        <w:ind w:firstLine="720"/>
        <w:jc w:val="both"/>
      </w:pPr>
      <w:r>
        <w:rPr>
          <w:rFonts w:cs="Times New Roman"/>
        </w:rPr>
        <w:t>Second, 248 nm excitation provides ~200× enhancement over 532 nm through combined ν⁴ scaling and UV resonance, while eliminating fluorescence interference.</w:t>
      </w:r>
    </w:p>
    <w:p w:rsidR="00DF6896" w:rsidRDefault="00000000">
      <w:pPr>
        <w:spacing w:after="200" w:line="480" w:lineRule="auto"/>
        <w:ind w:firstLine="720"/>
        <w:jc w:val="both"/>
      </w:pPr>
      <w:r>
        <w:rPr>
          <w:rFonts w:cs="Times New Roman"/>
        </w:rPr>
        <w:lastRenderedPageBreak/>
        <w:t>Third, organic concentration dominates detection uncertainty (ρ = 0.79), implying that target characterization is more impactful than instrument refinement.</w:t>
      </w:r>
    </w:p>
    <w:p w:rsidR="00DF6896" w:rsidRDefault="00000000">
      <w:pPr>
        <w:spacing w:after="200" w:line="480" w:lineRule="auto"/>
        <w:ind w:firstLine="720"/>
        <w:jc w:val="both"/>
      </w:pPr>
      <w:r>
        <w:rPr>
          <w:rFonts w:cs="Times New Roman"/>
        </w:rPr>
        <w:t>Fourth, quantum squeezing is ineffective below ~30% optical efficiency. At the current 4.5%, 10 dB of ideal squeezing yields 0.18 dB effective — negligible.</w:t>
      </w:r>
    </w:p>
    <w:p w:rsidR="00DF6896" w:rsidRDefault="00000000">
      <w:pPr>
        <w:spacing w:after="200" w:line="480" w:lineRule="auto"/>
        <w:ind w:firstLine="720"/>
        <w:jc w:val="both"/>
      </w:pPr>
      <w:r>
        <w:rPr>
          <w:rFonts w:cs="Times New Roman"/>
        </w:rPr>
        <w:t>Fifth, photon correlation offers a theoretically distinct detection pathway but requires impractical integration times at orbital distances with current technology.</w:t>
      </w:r>
    </w:p>
    <w:p w:rsidR="00DF6896" w:rsidRDefault="00000000">
      <w:pPr>
        <w:spacing w:after="200" w:line="480" w:lineRule="auto"/>
        <w:ind w:firstLine="720"/>
        <w:jc w:val="both"/>
      </w:pPr>
      <w:r>
        <w:rPr>
          <w:rFonts w:cs="Times New Roman"/>
        </w:rPr>
        <w:t>The emerging field of orbital Raman for asteroid characterization is still in its early stages. The calibrated photon budget model developed here serves as a systems-level framework that connects instrument parameters, mission trajectory design, and target properties into a single decision-making tool. By inputting known parameters for other carbonaceous asteroids — Ryugu, Phaethon, or future survey targets — this framework can rapidly assess detection feasibility and inform trade studies for next-generation asteroid rendezvous missions. An open-source implementation, including an interactive web simulator, accompanies this paper.</w:t>
      </w:r>
    </w:p>
    <w:p w:rsidR="00DF6896" w:rsidRDefault="00000000">
      <w:r>
        <w:br w:type="page"/>
      </w:r>
    </w:p>
    <w:p w:rsidR="00DF6896" w:rsidRDefault="00000000">
      <w:pPr>
        <w:pStyle w:val="Heading1"/>
      </w:pPr>
      <w:r>
        <w:lastRenderedPageBreak/>
        <w:t>References</w:t>
      </w:r>
    </w:p>
    <w:p w:rsidR="00DF6896" w:rsidRPr="00A45A37" w:rsidRDefault="00000000">
      <w:pPr>
        <w:spacing w:after="120" w:line="480" w:lineRule="auto"/>
        <w:ind w:left="720" w:hanging="720"/>
        <w:rPr>
          <w:lang w:val="es-ES"/>
        </w:rPr>
      </w:pPr>
      <w:r>
        <w:rPr>
          <w:rFonts w:cs="Times New Roman"/>
        </w:rPr>
        <w:t xml:space="preserve">Abbey, W. J., Bhartia, R., Beegle, L. W., et al. (2017). Deep UV Raman spectroscopy for planetary exploration: The search for in situ organics. </w:t>
      </w:r>
      <w:proofErr w:type="spellStart"/>
      <w:r w:rsidRPr="00A45A37">
        <w:rPr>
          <w:rFonts w:cs="Times New Roman"/>
          <w:lang w:val="es-ES"/>
        </w:rPr>
        <w:t>Icarus</w:t>
      </w:r>
      <w:proofErr w:type="spellEnd"/>
      <w:r w:rsidRPr="00A45A37">
        <w:rPr>
          <w:rFonts w:cs="Times New Roman"/>
          <w:lang w:val="es-ES"/>
        </w:rPr>
        <w:t>, 290, 201–214. https://doi.org/10.1016/j.icarus.2017.01.039</w:t>
      </w:r>
    </w:p>
    <w:p w:rsidR="00DF6896" w:rsidRDefault="00000000">
      <w:pPr>
        <w:spacing w:after="120" w:line="480" w:lineRule="auto"/>
        <w:ind w:left="720" w:hanging="720"/>
      </w:pPr>
      <w:r w:rsidRPr="00A45A37">
        <w:rPr>
          <w:rFonts w:cs="Times New Roman"/>
          <w:lang w:val="es-ES"/>
        </w:rPr>
        <w:t xml:space="preserve">Acosta-Maeda, T. E., </w:t>
      </w:r>
      <w:proofErr w:type="spellStart"/>
      <w:r w:rsidRPr="00A45A37">
        <w:rPr>
          <w:rFonts w:cs="Times New Roman"/>
          <w:lang w:val="es-ES"/>
        </w:rPr>
        <w:t>Misra</w:t>
      </w:r>
      <w:proofErr w:type="spellEnd"/>
      <w:r w:rsidRPr="00A45A37">
        <w:rPr>
          <w:rFonts w:cs="Times New Roman"/>
          <w:lang w:val="es-ES"/>
        </w:rPr>
        <w:t xml:space="preserve">, A. K., et al. </w:t>
      </w:r>
      <w:r>
        <w:rPr>
          <w:rFonts w:cs="Times New Roman"/>
        </w:rPr>
        <w:t>(2016). Remote Raman measurements of minerals, organics, and inorganics at 430 m range. Applied Optics, 55(36), 10283–10289.</w:t>
      </w:r>
    </w:p>
    <w:p w:rsidR="00DF6896" w:rsidRDefault="00000000">
      <w:pPr>
        <w:spacing w:after="120" w:line="480" w:lineRule="auto"/>
        <w:ind w:left="720" w:hanging="720"/>
      </w:pPr>
      <w:r>
        <w:rPr>
          <w:rFonts w:cs="Times New Roman"/>
        </w:rPr>
        <w:t>Angel, S. M., et al. (2012). Remote Raman spectroscopy for planetary exploration: A review. Applied Spectroscopy, 66(2), 137–150.</w:t>
      </w:r>
    </w:p>
    <w:p w:rsidR="00DF6896" w:rsidRDefault="00000000">
      <w:pPr>
        <w:spacing w:after="120" w:line="480" w:lineRule="auto"/>
        <w:ind w:left="720" w:hanging="720"/>
      </w:pPr>
      <w:r>
        <w:rPr>
          <w:rFonts w:cs="Times New Roman"/>
        </w:rPr>
        <w:t>Asher, S. A. (1993). UV resonance Raman spectroscopy for analytical, physical, and biophysical chemistry. Analytical Chemistry, 65(4), 59A–66A.</w:t>
      </w:r>
    </w:p>
    <w:p w:rsidR="00DF6896" w:rsidRDefault="00000000">
      <w:pPr>
        <w:spacing w:after="120" w:line="480" w:lineRule="auto"/>
        <w:ind w:left="720" w:hanging="720"/>
      </w:pPr>
      <w:r>
        <w:rPr>
          <w:rFonts w:cs="Times New Roman"/>
        </w:rPr>
        <w:t>Bhartia, R., Beegle, L. W., DeFlores, L., et al. (2021). Perseverance’s SHERLOC investigation. Space Science Reviews, 217, 58.</w:t>
      </w:r>
    </w:p>
    <w:p w:rsidR="00DF6896" w:rsidRDefault="00000000">
      <w:pPr>
        <w:spacing w:after="120" w:line="480" w:lineRule="auto"/>
        <w:ind w:left="720" w:hanging="720"/>
      </w:pPr>
      <w:r>
        <w:rPr>
          <w:rFonts w:cs="Times New Roman"/>
        </w:rPr>
        <w:t>Bonal, L., et al. (2024). The thermal history of Ryugu based on Raman characterization. Icarus, 408, 115826.</w:t>
      </w:r>
    </w:p>
    <w:p w:rsidR="00DF6896" w:rsidRDefault="00000000">
      <w:pPr>
        <w:spacing w:after="120" w:line="480" w:lineRule="auto"/>
        <w:ind w:left="720" w:hanging="720"/>
      </w:pPr>
      <w:proofErr w:type="spellStart"/>
      <w:r>
        <w:rPr>
          <w:rFonts w:cs="Times New Roman"/>
        </w:rPr>
        <w:t>Casacio</w:t>
      </w:r>
      <w:proofErr w:type="spellEnd"/>
      <w:r>
        <w:rPr>
          <w:rFonts w:cs="Times New Roman"/>
        </w:rPr>
        <w:t>, C. A., et al. (2021). Quantum-enhanced nonlinear microscopy. Nature, 594, 201–206.</w:t>
      </w:r>
    </w:p>
    <w:p w:rsidR="00DF6896" w:rsidRDefault="00000000">
      <w:pPr>
        <w:spacing w:after="120" w:line="480" w:lineRule="auto"/>
        <w:ind w:left="720" w:hanging="720"/>
      </w:pPr>
      <w:r>
        <w:rPr>
          <w:rFonts w:cs="Times New Roman"/>
        </w:rPr>
        <w:t>Caves, C. M. (1981). Quantum-mechanical noise in an interferometer. Physical Review D, 23(8), 1693–1708.</w:t>
      </w:r>
    </w:p>
    <w:p w:rsidR="00DF6896" w:rsidRDefault="00000000">
      <w:pPr>
        <w:spacing w:after="120" w:line="480" w:lineRule="auto"/>
        <w:ind w:left="720" w:hanging="720"/>
      </w:pPr>
      <w:r>
        <w:rPr>
          <w:rFonts w:cs="Times New Roman"/>
        </w:rPr>
        <w:t>Christensen, P. R., et al. (2018). The OSIRIS-REx OTES instrument. Space Science Reviews, 214, 87.</w:t>
      </w:r>
    </w:p>
    <w:p w:rsidR="00DF6896" w:rsidRDefault="00000000">
      <w:pPr>
        <w:spacing w:after="120" w:line="480" w:lineRule="auto"/>
        <w:ind w:left="720" w:hanging="720"/>
      </w:pPr>
      <w:proofErr w:type="spellStart"/>
      <w:r>
        <w:rPr>
          <w:rFonts w:cs="Times New Roman"/>
        </w:rPr>
        <w:t>Corpolongo</w:t>
      </w:r>
      <w:proofErr w:type="spellEnd"/>
      <w:r>
        <w:rPr>
          <w:rFonts w:cs="Times New Roman"/>
        </w:rPr>
        <w:t>, A., et al. (2023). SHERLOC Raman mineral class detections. JGR: Planets, 128(3), e2022JE007455.</w:t>
      </w:r>
    </w:p>
    <w:p w:rsidR="00DF6896" w:rsidRDefault="00000000">
      <w:pPr>
        <w:spacing w:after="120" w:line="480" w:lineRule="auto"/>
        <w:ind w:left="720" w:hanging="720"/>
      </w:pPr>
      <w:r>
        <w:rPr>
          <w:rFonts w:cs="Times New Roman"/>
        </w:rPr>
        <w:lastRenderedPageBreak/>
        <w:t xml:space="preserve">Currie, L. A. (1999). Nomenclature in evaluation of analytical methods. Analytica </w:t>
      </w:r>
      <w:proofErr w:type="spellStart"/>
      <w:r>
        <w:rPr>
          <w:rFonts w:cs="Times New Roman"/>
        </w:rPr>
        <w:t>Chimica</w:t>
      </w:r>
      <w:proofErr w:type="spellEnd"/>
      <w:r>
        <w:rPr>
          <w:rFonts w:cs="Times New Roman"/>
        </w:rPr>
        <w:t xml:space="preserve"> Acta, 391(2), 105–126.</w:t>
      </w:r>
    </w:p>
    <w:p w:rsidR="00DF6896" w:rsidRDefault="00000000">
      <w:pPr>
        <w:spacing w:after="120" w:line="480" w:lineRule="auto"/>
        <w:ind w:left="720" w:hanging="720"/>
      </w:pPr>
      <w:r>
        <w:rPr>
          <w:rFonts w:cs="Times New Roman"/>
        </w:rPr>
        <w:t>De Andrade, R. B., et al. (2020). Quantum-enhanced stimulated Raman spectroscopy. Optica, 7(5), 470–475.</w:t>
      </w:r>
    </w:p>
    <w:p w:rsidR="00DF6896" w:rsidRDefault="00000000">
      <w:pPr>
        <w:spacing w:after="120" w:line="480" w:lineRule="auto"/>
        <w:ind w:left="720" w:hanging="720"/>
      </w:pPr>
      <w:r>
        <w:rPr>
          <w:rFonts w:cs="Times New Roman"/>
        </w:rPr>
        <w:t>Demkowicz-</w:t>
      </w:r>
      <w:proofErr w:type="spellStart"/>
      <w:r>
        <w:rPr>
          <w:rFonts w:cs="Times New Roman"/>
        </w:rPr>
        <w:t>Dobrzański</w:t>
      </w:r>
      <w:proofErr w:type="spellEnd"/>
      <w:r>
        <w:rPr>
          <w:rFonts w:cs="Times New Roman"/>
        </w:rPr>
        <w:t>, R., et al. (2012). The elusive Heisenberg limit. Nature Communications, 3, 1063.</w:t>
      </w:r>
    </w:p>
    <w:p w:rsidR="00DF6896" w:rsidRDefault="00000000">
      <w:pPr>
        <w:spacing w:after="120" w:line="480" w:lineRule="auto"/>
        <w:ind w:left="720" w:hanging="720"/>
      </w:pPr>
      <w:r w:rsidRPr="00A45A37">
        <w:rPr>
          <w:rFonts w:cs="Times New Roman"/>
          <w:lang w:val="es-ES"/>
        </w:rPr>
        <w:t xml:space="preserve">Ferraro, J. R., Nakamoto, K., &amp; Brown, C. W. (2003). </w:t>
      </w:r>
      <w:r>
        <w:rPr>
          <w:rFonts w:cs="Times New Roman"/>
        </w:rPr>
        <w:t>Introductory Raman spectroscopy (2nd ed.). Academic Press.</w:t>
      </w:r>
    </w:p>
    <w:p w:rsidR="00DF6896" w:rsidRDefault="00000000">
      <w:pPr>
        <w:spacing w:after="120" w:line="480" w:lineRule="auto"/>
        <w:ind w:left="720" w:hanging="720"/>
      </w:pPr>
      <w:r>
        <w:rPr>
          <w:rFonts w:cs="Times New Roman"/>
        </w:rPr>
        <w:t>Furukawa, Y., et al. (2025). Ribose and other sugars in asteroid Bennu samples. Nature Geoscience.</w:t>
      </w:r>
    </w:p>
    <w:p w:rsidR="00DF6896" w:rsidRDefault="00000000">
      <w:pPr>
        <w:spacing w:after="120" w:line="480" w:lineRule="auto"/>
        <w:ind w:left="720" w:hanging="720"/>
      </w:pPr>
      <w:r>
        <w:rPr>
          <w:rFonts w:cs="Times New Roman"/>
        </w:rPr>
        <w:t>Gares, K. L., et al. (2016). Standoff deep UV resonance Raman. Journal of Raman Spectroscopy, 47(1), 124–141.</w:t>
      </w:r>
    </w:p>
    <w:p w:rsidR="00DF6896" w:rsidRDefault="00000000">
      <w:pPr>
        <w:spacing w:after="120" w:line="480" w:lineRule="auto"/>
        <w:ind w:left="720" w:hanging="720"/>
      </w:pPr>
      <w:r>
        <w:rPr>
          <w:rFonts w:cs="Times New Roman"/>
        </w:rPr>
        <w:t>Glavin, D. P., et al. (2025). Abundant ammonia and nitrogen-rich organic matter in Bennu samples. Nature Astronomy, 9, 199–210.</w:t>
      </w:r>
    </w:p>
    <w:p w:rsidR="00DF6896" w:rsidRDefault="00000000">
      <w:pPr>
        <w:spacing w:after="120" w:line="480" w:lineRule="auto"/>
        <w:ind w:left="720" w:hanging="720"/>
      </w:pPr>
      <w:r>
        <w:rPr>
          <w:rFonts w:cs="Times New Roman"/>
        </w:rPr>
        <w:t>Hamilton, V. E., et al. (2019). Hydrated minerals on asteroid Bennu. Nature Astronomy, 3, 332–340.</w:t>
      </w:r>
    </w:p>
    <w:p w:rsidR="00DF6896" w:rsidRDefault="00000000">
      <w:pPr>
        <w:spacing w:after="120" w:line="480" w:lineRule="auto"/>
        <w:ind w:left="720" w:hanging="720"/>
      </w:pPr>
      <w:r>
        <w:rPr>
          <w:rFonts w:cs="Times New Roman"/>
        </w:rPr>
        <w:t>Herman, D. I., et al. (2025). Squeezed dual-comb spectroscopy. Science, 387, 653–658.</w:t>
      </w:r>
    </w:p>
    <w:p w:rsidR="00DF6896" w:rsidRDefault="00000000">
      <w:pPr>
        <w:spacing w:after="120" w:line="480" w:lineRule="auto"/>
        <w:ind w:left="720" w:hanging="720"/>
      </w:pPr>
      <w:r w:rsidRPr="00A45A37">
        <w:rPr>
          <w:rFonts w:cs="Times New Roman"/>
          <w:lang w:val="es-ES"/>
        </w:rPr>
        <w:t xml:space="preserve">Kaplan, H. H., et al. </w:t>
      </w:r>
      <w:r>
        <w:rPr>
          <w:rFonts w:cs="Times New Roman"/>
        </w:rPr>
        <w:t>(2021). Composition of organics on asteroid Bennu. Astronomy &amp; Astrophysics, 653, L1.</w:t>
      </w:r>
    </w:p>
    <w:p w:rsidR="00DF6896" w:rsidRDefault="00000000">
      <w:pPr>
        <w:spacing w:after="120" w:line="480" w:lineRule="auto"/>
        <w:ind w:left="720" w:hanging="720"/>
      </w:pPr>
      <w:r>
        <w:rPr>
          <w:rFonts w:cs="Times New Roman"/>
        </w:rPr>
        <w:t>Lauretta, D. S., et al. (2017). OSIRIS-REx: Sample return from asteroid Bennu. Space Science Reviews, 212, 925–984.</w:t>
      </w:r>
    </w:p>
    <w:p w:rsidR="00DF6896" w:rsidRDefault="00000000">
      <w:pPr>
        <w:spacing w:after="120" w:line="480" w:lineRule="auto"/>
        <w:ind w:left="720" w:hanging="720"/>
      </w:pPr>
      <w:r>
        <w:rPr>
          <w:rFonts w:cs="Times New Roman"/>
        </w:rPr>
        <w:lastRenderedPageBreak/>
        <w:t>Lauretta, D. S., &amp; McSween, H. Y. (Eds.). (2006). Meteorites and the early solar system II. University of Arizona Press.</w:t>
      </w:r>
    </w:p>
    <w:p w:rsidR="00DF6896" w:rsidRDefault="00000000">
      <w:pPr>
        <w:spacing w:after="120" w:line="480" w:lineRule="auto"/>
        <w:ind w:left="720" w:hanging="720"/>
      </w:pPr>
      <w:r>
        <w:rPr>
          <w:rFonts w:cs="Times New Roman"/>
        </w:rPr>
        <w:t>Lauretta, D. S., et al. (2024). Asteroid Bennu in the laboratory. Meteoritics &amp; Planetary Science, 59, 2453–2486.</w:t>
      </w:r>
    </w:p>
    <w:p w:rsidR="00DF6896" w:rsidRDefault="00000000">
      <w:pPr>
        <w:spacing w:after="120" w:line="480" w:lineRule="auto"/>
        <w:ind w:left="720" w:hanging="720"/>
      </w:pPr>
      <w:r>
        <w:rPr>
          <w:rFonts w:cs="Times New Roman"/>
        </w:rPr>
        <w:t>Li, J.-Y., et al. (2021). Albedo map of asteroid Bennu. Icarus, 357, 114183.</w:t>
      </w:r>
    </w:p>
    <w:p w:rsidR="00DF6896" w:rsidRDefault="00000000">
      <w:pPr>
        <w:spacing w:after="120" w:line="480" w:lineRule="auto"/>
        <w:ind w:left="720" w:hanging="720"/>
      </w:pPr>
      <w:r>
        <w:rPr>
          <w:rFonts w:cs="Times New Roman"/>
        </w:rPr>
        <w:t>Long, D. A. (2002). The Raman effect. Wiley.</w:t>
      </w:r>
    </w:p>
    <w:p w:rsidR="00DF6896" w:rsidRDefault="00000000">
      <w:pPr>
        <w:spacing w:after="120" w:line="480" w:lineRule="auto"/>
        <w:ind w:left="720" w:hanging="720"/>
      </w:pPr>
      <w:r>
        <w:rPr>
          <w:rFonts w:cs="Times New Roman"/>
        </w:rPr>
        <w:t>Loudon, R. (2000). The quantum theory of light (3rd ed.). Oxford University Press.</w:t>
      </w:r>
    </w:p>
    <w:p w:rsidR="00DF6896" w:rsidRDefault="00000000">
      <w:pPr>
        <w:spacing w:after="120" w:line="480" w:lineRule="auto"/>
        <w:ind w:left="720" w:hanging="720"/>
      </w:pPr>
      <w:r>
        <w:rPr>
          <w:rFonts w:cs="Times New Roman"/>
        </w:rPr>
        <w:t xml:space="preserve">Manceau, M., et al. (2021). Overcoming detection loss in squeezing-based sensing. </w:t>
      </w:r>
      <w:proofErr w:type="spellStart"/>
      <w:r>
        <w:rPr>
          <w:rFonts w:cs="Times New Roman"/>
        </w:rPr>
        <w:t>npj</w:t>
      </w:r>
      <w:proofErr w:type="spellEnd"/>
      <w:r>
        <w:rPr>
          <w:rFonts w:cs="Times New Roman"/>
        </w:rPr>
        <w:t xml:space="preserve"> Quantum Information, 7, 169.</w:t>
      </w:r>
    </w:p>
    <w:p w:rsidR="00DF6896" w:rsidRDefault="00000000">
      <w:pPr>
        <w:spacing w:after="120" w:line="480" w:lineRule="auto"/>
        <w:ind w:left="720" w:hanging="720"/>
      </w:pPr>
      <w:r>
        <w:rPr>
          <w:rFonts w:cs="Times New Roman"/>
        </w:rPr>
        <w:t xml:space="preserve">Maurice, S., et al. (2021). The </w:t>
      </w:r>
      <w:proofErr w:type="spellStart"/>
      <w:r>
        <w:rPr>
          <w:rFonts w:cs="Times New Roman"/>
        </w:rPr>
        <w:t>SuperCam</w:t>
      </w:r>
      <w:proofErr w:type="spellEnd"/>
      <w:r>
        <w:rPr>
          <w:rFonts w:cs="Times New Roman"/>
        </w:rPr>
        <w:t xml:space="preserve"> instrument suite. Space Science Reviews, 217(3), 47.</w:t>
      </w:r>
    </w:p>
    <w:p w:rsidR="00DF6896" w:rsidRDefault="00000000">
      <w:pPr>
        <w:spacing w:after="120" w:line="480" w:lineRule="auto"/>
        <w:ind w:left="720" w:hanging="720"/>
      </w:pPr>
      <w:proofErr w:type="spellStart"/>
      <w:r w:rsidRPr="00A45A37">
        <w:rPr>
          <w:rFonts w:cs="Times New Roman"/>
          <w:lang w:val="es-ES"/>
        </w:rPr>
        <w:t>Misra</w:t>
      </w:r>
      <w:proofErr w:type="spellEnd"/>
      <w:r w:rsidRPr="00A45A37">
        <w:rPr>
          <w:rFonts w:cs="Times New Roman"/>
          <w:lang w:val="es-ES"/>
        </w:rPr>
        <w:t xml:space="preserve">, A. K., et al. </w:t>
      </w:r>
      <w:r>
        <w:rPr>
          <w:rFonts w:cs="Times New Roman"/>
        </w:rPr>
        <w:t>(2012). Single-pulse standoff Raman detection at 120 m. Applied Spectroscopy, 66(11), 1279–1285.</w:t>
      </w:r>
    </w:p>
    <w:p w:rsidR="00DF6896" w:rsidRDefault="00000000">
      <w:pPr>
        <w:spacing w:after="120" w:line="480" w:lineRule="auto"/>
        <w:ind w:left="720" w:hanging="720"/>
      </w:pPr>
      <w:r>
        <w:rPr>
          <w:rFonts w:cs="Times New Roman"/>
        </w:rPr>
        <w:t>Pizzarello, S., &amp; Shock, E. (2010). Organic composition of carbonaceous meteorites. Cold Spring Harbor Perspectives in Biology, 2(3), a002105.</w:t>
      </w:r>
    </w:p>
    <w:p w:rsidR="00DF6896" w:rsidRDefault="00000000">
      <w:pPr>
        <w:spacing w:after="120" w:line="480" w:lineRule="auto"/>
        <w:ind w:left="720" w:hanging="720"/>
      </w:pPr>
      <w:proofErr w:type="spellStart"/>
      <w:r>
        <w:rPr>
          <w:rFonts w:cs="Times New Roman"/>
        </w:rPr>
        <w:t>Razzell</w:t>
      </w:r>
      <w:proofErr w:type="spellEnd"/>
      <w:r>
        <w:rPr>
          <w:rFonts w:cs="Times New Roman"/>
        </w:rPr>
        <w:t xml:space="preserve"> Hollis, J., et al. (2023). DUV Raman spectral library for SHERLOC. Astrobiology, 23(1), 1–23.</w:t>
      </w:r>
    </w:p>
    <w:p w:rsidR="00DF6896" w:rsidRDefault="00000000">
      <w:pPr>
        <w:spacing w:after="120" w:line="480" w:lineRule="auto"/>
        <w:ind w:left="720" w:hanging="720"/>
      </w:pPr>
      <w:r>
        <w:rPr>
          <w:rFonts w:cs="Times New Roman"/>
        </w:rPr>
        <w:t>Rull, F., et al. (2017). The ExoMars Raman Laser Spectrometer. Astrobiology, 17, 627–654.</w:t>
      </w:r>
    </w:p>
    <w:p w:rsidR="00DF6896" w:rsidRDefault="00000000">
      <w:pPr>
        <w:spacing w:after="120" w:line="480" w:lineRule="auto"/>
        <w:ind w:left="720" w:hanging="720"/>
      </w:pPr>
      <w:r>
        <w:rPr>
          <w:rFonts w:cs="Times New Roman"/>
        </w:rPr>
        <w:t>Sandford, S. A., et al. (2025). N- and O-rich organic material on Bennu’s parent body. Nature Astronomy, 9, 1803–1811.</w:t>
      </w:r>
    </w:p>
    <w:p w:rsidR="00DF6896" w:rsidRDefault="00000000">
      <w:pPr>
        <w:spacing w:after="120" w:line="480" w:lineRule="auto"/>
        <w:ind w:left="720" w:hanging="720"/>
      </w:pPr>
      <w:r>
        <w:rPr>
          <w:rFonts w:cs="Times New Roman"/>
        </w:rPr>
        <w:t>Sharma, S., et al. (2023). Diverse organic-mineral associations in Jezero crater. Nature, 619, 724–732.</w:t>
      </w:r>
    </w:p>
    <w:p w:rsidR="00DF6896" w:rsidRDefault="00000000">
      <w:pPr>
        <w:spacing w:after="120" w:line="480" w:lineRule="auto"/>
        <w:ind w:left="720" w:hanging="720"/>
      </w:pPr>
      <w:r>
        <w:rPr>
          <w:rFonts w:cs="Times New Roman"/>
        </w:rPr>
        <w:lastRenderedPageBreak/>
        <w:t>Simon, A. A., et al. (2020). Widespread carbon-bearing materials on asteroid Bennu. Science, 370, eabc3522.</w:t>
      </w:r>
    </w:p>
    <w:p w:rsidR="00DF6896" w:rsidRDefault="00000000">
      <w:pPr>
        <w:spacing w:after="120" w:line="480" w:lineRule="auto"/>
        <w:ind w:left="720" w:hanging="720"/>
      </w:pPr>
      <w:r>
        <w:rPr>
          <w:rFonts w:cs="Times New Roman"/>
        </w:rPr>
        <w:t>Thompson, D. R., et al. (2020). Quantifying uncertainty for remote spectroscopy. Remote Sensing of Environment, 247, 111898.</w:t>
      </w:r>
    </w:p>
    <w:p w:rsidR="00DF6896" w:rsidRDefault="00000000">
      <w:pPr>
        <w:spacing w:after="120" w:line="480" w:lineRule="auto"/>
        <w:ind w:left="720" w:hanging="720"/>
      </w:pPr>
      <w:r>
        <w:rPr>
          <w:rFonts w:cs="Times New Roman"/>
        </w:rPr>
        <w:t>Tse, M., et al. (2019). Quantum-enhanced advanced LIGO detectors. Physical Review Letters, 123, 231107.</w:t>
      </w:r>
    </w:p>
    <w:p w:rsidR="00DF6896" w:rsidRDefault="00000000">
      <w:pPr>
        <w:spacing w:after="120" w:line="480" w:lineRule="auto"/>
        <w:ind w:left="720" w:hanging="720"/>
      </w:pPr>
      <w:proofErr w:type="spellStart"/>
      <w:r>
        <w:rPr>
          <w:rFonts w:cs="Times New Roman"/>
        </w:rPr>
        <w:t>Uckert</w:t>
      </w:r>
      <w:proofErr w:type="spellEnd"/>
      <w:r>
        <w:rPr>
          <w:rFonts w:cs="Times New Roman"/>
        </w:rPr>
        <w:t>, K., et al. (2021). Calibration of the SHERLOC spectrometer. Applied Spectroscopy, 75(7), 763–773.</w:t>
      </w:r>
    </w:p>
    <w:p w:rsidR="00DF6896" w:rsidRDefault="00000000">
      <w:pPr>
        <w:spacing w:after="120" w:line="480" w:lineRule="auto"/>
        <w:ind w:left="720" w:hanging="720"/>
      </w:pPr>
      <w:r>
        <w:rPr>
          <w:rFonts w:cs="Times New Roman"/>
        </w:rPr>
        <w:t>Walls, D. F., &amp; Milburn, G. J. (2008). Quantum optics (2nd ed.). Springer.</w:t>
      </w:r>
    </w:p>
    <w:p w:rsidR="00DF6896" w:rsidRDefault="00000000">
      <w:pPr>
        <w:spacing w:after="120" w:line="480" w:lineRule="auto"/>
        <w:ind w:left="720" w:hanging="720"/>
      </w:pPr>
      <w:r>
        <w:rPr>
          <w:rFonts w:cs="Times New Roman"/>
        </w:rPr>
        <w:t xml:space="preserve">Wiens, R. C., et al. (2021). The </w:t>
      </w:r>
      <w:proofErr w:type="spellStart"/>
      <w:r>
        <w:rPr>
          <w:rFonts w:cs="Times New Roman"/>
        </w:rPr>
        <w:t>SuperCam</w:t>
      </w:r>
      <w:proofErr w:type="spellEnd"/>
      <w:r>
        <w:rPr>
          <w:rFonts w:cs="Times New Roman"/>
        </w:rPr>
        <w:t xml:space="preserve"> instrument suite. Space Science Reviews, 217, 4.</w:t>
      </w:r>
    </w:p>
    <w:p w:rsidR="00DF6896" w:rsidRDefault="00000000">
      <w:pPr>
        <w:spacing w:after="120" w:line="480" w:lineRule="auto"/>
        <w:ind w:left="720" w:hanging="720"/>
      </w:pPr>
      <w:r>
        <w:rPr>
          <w:rFonts w:cs="Times New Roman"/>
        </w:rPr>
        <w:t>Zhang, J., &amp; Shields, M. D. (2021). Modern Monte Carlo methods for UQ. WIREs Computational Statistics, 13(5), e1539.</w:t>
      </w:r>
    </w:p>
    <w:p w:rsidR="00DF6896" w:rsidRDefault="00000000">
      <w:r>
        <w:br w:type="page"/>
      </w:r>
    </w:p>
    <w:p w:rsidR="00DF6896" w:rsidRDefault="00000000">
      <w:pPr>
        <w:pStyle w:val="Heading1"/>
      </w:pPr>
      <w:r>
        <w:lastRenderedPageBreak/>
        <w:t>Appendix A. Space Environment Model</w:t>
      </w:r>
    </w:p>
    <w:p w:rsidR="00DF6896" w:rsidRDefault="00000000">
      <w:pPr>
        <w:spacing w:after="200" w:line="480" w:lineRule="auto"/>
        <w:ind w:firstLine="720"/>
        <w:jc w:val="both"/>
      </w:pPr>
      <w:r>
        <w:rPr>
          <w:rFonts w:cs="Times New Roman"/>
        </w:rPr>
        <w:t xml:space="preserve">The environment factor </w:t>
      </w:r>
      <w:proofErr w:type="spellStart"/>
      <w:r>
        <w:rPr>
          <w:rFonts w:cs="Times New Roman"/>
        </w:rPr>
        <w:t>f_env</w:t>
      </w:r>
      <w:proofErr w:type="spellEnd"/>
      <w:r>
        <w:rPr>
          <w:rFonts w:cs="Times New Roman"/>
        </w:rPr>
        <w:t xml:space="preserve"> in Equation (2) combines four effects. Solar incidence angle contributes cos(</w:t>
      </w:r>
      <w:proofErr w:type="spellStart"/>
      <w:r>
        <w:rPr>
          <w:rFonts w:cs="Times New Roman"/>
        </w:rPr>
        <w:t>θ_inc</w:t>
      </w:r>
      <w:proofErr w:type="spellEnd"/>
      <w:r>
        <w:rPr>
          <w:rFonts w:cs="Times New Roman"/>
        </w:rPr>
        <w:t xml:space="preserve">), where </w:t>
      </w:r>
      <w:proofErr w:type="spellStart"/>
      <w:r>
        <w:rPr>
          <w:rFonts w:cs="Times New Roman"/>
        </w:rPr>
        <w:t>θ_inc</w:t>
      </w:r>
      <w:proofErr w:type="spellEnd"/>
      <w:r>
        <w:rPr>
          <w:rFonts w:cs="Times New Roman"/>
        </w:rPr>
        <w:t xml:space="preserve"> is drawn from a distribution centered at 45° with standard deviation 25° (clipped to [0°, 85°]). Surface roughness contributes a factor drawn from </w:t>
      </w:r>
      <w:proofErr w:type="gramStart"/>
      <w:r>
        <w:rPr>
          <w:rFonts w:cs="Times New Roman"/>
        </w:rPr>
        <w:t>N(</w:t>
      </w:r>
      <w:proofErr w:type="gramEnd"/>
      <w:r>
        <w:rPr>
          <w:rFonts w:cs="Times New Roman"/>
        </w:rPr>
        <w:t xml:space="preserve">0.8, 0.1), clipped to [0.6, 1.0], representing 10–30% signal loss. A shadow mask randomly occludes 10% of surface points. Dust accumulation contributes a factor 1 − 0.001 · (day/365), which is 0.997 at day 100. The combined factor is </w:t>
      </w:r>
      <w:proofErr w:type="spellStart"/>
      <w:r>
        <w:rPr>
          <w:rFonts w:cs="Times New Roman"/>
        </w:rPr>
        <w:t>f_env</w:t>
      </w:r>
      <w:proofErr w:type="spellEnd"/>
      <w:r>
        <w:rPr>
          <w:rFonts w:cs="Times New Roman"/>
        </w:rPr>
        <w:t xml:space="preserve"> = cos(</w:t>
      </w:r>
      <w:proofErr w:type="spellStart"/>
      <w:r>
        <w:rPr>
          <w:rFonts w:cs="Times New Roman"/>
        </w:rPr>
        <w:t>θ_inc</w:t>
      </w:r>
      <w:proofErr w:type="spellEnd"/>
      <w:r>
        <w:rPr>
          <w:rFonts w:cs="Times New Roman"/>
        </w:rPr>
        <w:t xml:space="preserve">) · </w:t>
      </w:r>
      <w:proofErr w:type="spellStart"/>
      <w:r>
        <w:rPr>
          <w:rFonts w:cs="Times New Roman"/>
        </w:rPr>
        <w:t>f_rough</w:t>
      </w:r>
      <w:proofErr w:type="spellEnd"/>
      <w:r>
        <w:rPr>
          <w:rFonts w:cs="Times New Roman"/>
        </w:rPr>
        <w:t xml:space="preserve"> · </w:t>
      </w:r>
      <w:proofErr w:type="spellStart"/>
      <w:r>
        <w:rPr>
          <w:rFonts w:cs="Times New Roman"/>
        </w:rPr>
        <w:t>f_illum</w:t>
      </w:r>
      <w:proofErr w:type="spellEnd"/>
      <w:r>
        <w:rPr>
          <w:rFonts w:cs="Times New Roman"/>
        </w:rPr>
        <w:t xml:space="preserve"> · </w:t>
      </w:r>
      <w:proofErr w:type="spellStart"/>
      <w:r>
        <w:rPr>
          <w:rFonts w:cs="Times New Roman"/>
        </w:rPr>
        <w:t>f_dust</w:t>
      </w:r>
      <w:proofErr w:type="spellEnd"/>
      <w:r>
        <w:rPr>
          <w:rFonts w:cs="Times New Roman"/>
        </w:rPr>
        <w:t>, with a floor of 0.1 for illuminated points.</w:t>
      </w:r>
    </w:p>
    <w:p w:rsidR="00DF6896" w:rsidRDefault="00000000">
      <w:pPr>
        <w:pStyle w:val="Heading1"/>
      </w:pPr>
      <w:r>
        <w:t>Appendix B. K_R Parameterization</w:t>
      </w:r>
    </w:p>
    <w:p w:rsidR="00DF6896" w:rsidRDefault="00000000">
      <w:pPr>
        <w:spacing w:after="200" w:line="480" w:lineRule="auto"/>
        <w:ind w:firstLine="720"/>
        <w:jc w:val="both"/>
      </w:pPr>
      <w:r>
        <w:rPr>
          <w:rFonts w:cs="Times New Roman"/>
        </w:rPr>
        <w:t>The Raman backscatter coefficient K_R</w:t>
      </w:r>
      <w:proofErr w:type="gramStart"/>
      <w:r>
        <w:rPr>
          <w:rFonts w:cs="Times New Roman"/>
        </w:rPr>
        <w:t>^(</w:t>
      </w:r>
      <w:proofErr w:type="gramEnd"/>
      <w:r>
        <w:rPr>
          <w:rFonts w:cs="Times New Roman"/>
        </w:rPr>
        <w:t>1%,532) = 10⁻¹¹ sr⁻¹ m⁻² corresponds to a surface with 1% organic content at 532 nm excitation. This is a lumped parameter that combines three physical quantities: the intrinsic differential Raman cross-section (</w:t>
      </w:r>
      <w:proofErr w:type="spellStart"/>
      <w:r>
        <w:rPr>
          <w:rFonts w:cs="Times New Roman"/>
        </w:rPr>
        <w:t>dσ</w:t>
      </w:r>
      <w:proofErr w:type="spellEnd"/>
      <w:r>
        <w:rPr>
          <w:rFonts w:cs="Times New Roman"/>
        </w:rPr>
        <w:t>/</w:t>
      </w:r>
      <w:proofErr w:type="spellStart"/>
      <w:r>
        <w:rPr>
          <w:rFonts w:cs="Times New Roman"/>
        </w:rPr>
        <w:t>dΩ</w:t>
      </w:r>
      <w:proofErr w:type="spellEnd"/>
      <w:r>
        <w:rPr>
          <w:rFonts w:cs="Times New Roman"/>
        </w:rPr>
        <w:t>), the surface molecular number density (</w:t>
      </w:r>
      <w:proofErr w:type="spellStart"/>
      <w:r>
        <w:rPr>
          <w:rFonts w:cs="Times New Roman"/>
        </w:rPr>
        <w:t>ρ_s</w:t>
      </w:r>
      <w:proofErr w:type="spellEnd"/>
      <w:r>
        <w:rPr>
          <w:rFonts w:cs="Times New Roman"/>
        </w:rPr>
        <w:t>), and the effective laser sampling depth (δ). Explicitly, K_R ∝ (</w:t>
      </w:r>
      <w:proofErr w:type="spellStart"/>
      <w:r>
        <w:rPr>
          <w:rFonts w:cs="Times New Roman"/>
        </w:rPr>
        <w:t>dσ</w:t>
      </w:r>
      <w:proofErr w:type="spellEnd"/>
      <w:r>
        <w:rPr>
          <w:rFonts w:cs="Times New Roman"/>
        </w:rPr>
        <w:t>/</w:t>
      </w:r>
      <w:proofErr w:type="spellStart"/>
      <w:r>
        <w:rPr>
          <w:rFonts w:cs="Times New Roman"/>
        </w:rPr>
        <w:t>dΩ</w:t>
      </w:r>
      <w:proofErr w:type="spellEnd"/>
      <w:r>
        <w:rPr>
          <w:rFonts w:cs="Times New Roman"/>
        </w:rPr>
        <w:t xml:space="preserve">) · </w:t>
      </w:r>
      <w:proofErr w:type="spellStart"/>
      <w:r>
        <w:rPr>
          <w:rFonts w:cs="Times New Roman"/>
        </w:rPr>
        <w:t>ρ_s</w:t>
      </w:r>
      <w:proofErr w:type="spellEnd"/>
      <w:r>
        <w:rPr>
          <w:rFonts w:cs="Times New Roman"/>
        </w:rPr>
        <w:t xml:space="preserve"> · δ. The baseline value is derived using typical surface molecular densities (~10¹⁹ m⁻²), differential cross-sections (~10⁻³⁰ cm² sr⁻¹ molecule⁻¹ at 532 nm; Asher, 1993), and an effective sampling depth of ~1 </w:t>
      </w:r>
      <w:proofErr w:type="spellStart"/>
      <w:r>
        <w:rPr>
          <w:rFonts w:cs="Times New Roman"/>
        </w:rPr>
        <w:t>μm</w:t>
      </w:r>
      <w:proofErr w:type="spellEnd"/>
      <w:r>
        <w:rPr>
          <w:rFonts w:cs="Times New Roman"/>
        </w:rPr>
        <w:t>.</w:t>
      </w:r>
    </w:p>
    <w:p w:rsidR="00DF6896" w:rsidRDefault="00000000">
      <w:pPr>
        <w:spacing w:after="200" w:line="480" w:lineRule="auto"/>
        <w:ind w:firstLine="720"/>
        <w:jc w:val="both"/>
      </w:pPr>
      <w:r>
        <w:rPr>
          <w:rFonts w:cs="Times New Roman"/>
        </w:rPr>
        <w:t xml:space="preserve">To assess which component of K_R contributes most to the overall uncertainty, the analysis considers plausible variations in each. Varying the effective sampling depth from 0.5 </w:t>
      </w:r>
      <w:proofErr w:type="spellStart"/>
      <w:r>
        <w:rPr>
          <w:rFonts w:cs="Times New Roman"/>
        </w:rPr>
        <w:t>μm</w:t>
      </w:r>
      <w:proofErr w:type="spellEnd"/>
      <w:r>
        <w:rPr>
          <w:rFonts w:cs="Times New Roman"/>
        </w:rPr>
        <w:t xml:space="preserve"> to 2 </w:t>
      </w:r>
      <w:proofErr w:type="spellStart"/>
      <w:r>
        <w:rPr>
          <w:rFonts w:cs="Times New Roman"/>
        </w:rPr>
        <w:t>μm</w:t>
      </w:r>
      <w:proofErr w:type="spellEnd"/>
      <w:r>
        <w:rPr>
          <w:rFonts w:cs="Times New Roman"/>
        </w:rPr>
        <w:t xml:space="preserve"> shifts K_R by a factor of 4 (±2×). Varying the Raman cross-section by a factor of 2 shifts K_R by 2×. In contrast, varying the organic concentration from 1% to 15% shifts K_R by 15×. This confirms that organic concentration dominates the K_R uncertainty budget by a wide margin, consistent with the Monte Carlo sensitivity analysis in Section 5.</w:t>
      </w:r>
    </w:p>
    <w:sectPr w:rsidR="00DF68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276"/>
    <w:multiLevelType w:val="hybridMultilevel"/>
    <w:tmpl w:val="E2CE7FF6"/>
    <w:lvl w:ilvl="0" w:tplc="6FEAFBCA">
      <w:start w:val="1"/>
      <w:numFmt w:val="bullet"/>
      <w:lvlText w:val="●"/>
      <w:lvlJc w:val="left"/>
      <w:pPr>
        <w:ind w:left="720" w:hanging="360"/>
      </w:pPr>
    </w:lvl>
    <w:lvl w:ilvl="1" w:tplc="3DECE728">
      <w:start w:val="1"/>
      <w:numFmt w:val="bullet"/>
      <w:lvlText w:val="○"/>
      <w:lvlJc w:val="left"/>
      <w:pPr>
        <w:ind w:left="1440" w:hanging="360"/>
      </w:pPr>
    </w:lvl>
    <w:lvl w:ilvl="2" w:tplc="79F64AC4">
      <w:start w:val="1"/>
      <w:numFmt w:val="bullet"/>
      <w:lvlText w:val="■"/>
      <w:lvlJc w:val="left"/>
      <w:pPr>
        <w:ind w:left="2160" w:hanging="360"/>
      </w:pPr>
    </w:lvl>
    <w:lvl w:ilvl="3" w:tplc="B3CC2BB6">
      <w:start w:val="1"/>
      <w:numFmt w:val="bullet"/>
      <w:lvlText w:val="●"/>
      <w:lvlJc w:val="left"/>
      <w:pPr>
        <w:ind w:left="2880" w:hanging="360"/>
      </w:pPr>
    </w:lvl>
    <w:lvl w:ilvl="4" w:tplc="43847568">
      <w:start w:val="1"/>
      <w:numFmt w:val="bullet"/>
      <w:lvlText w:val="○"/>
      <w:lvlJc w:val="left"/>
      <w:pPr>
        <w:ind w:left="3600" w:hanging="360"/>
      </w:pPr>
    </w:lvl>
    <w:lvl w:ilvl="5" w:tplc="B29EEBAC">
      <w:start w:val="1"/>
      <w:numFmt w:val="bullet"/>
      <w:lvlText w:val="■"/>
      <w:lvlJc w:val="left"/>
      <w:pPr>
        <w:ind w:left="4320" w:hanging="360"/>
      </w:pPr>
    </w:lvl>
    <w:lvl w:ilvl="6" w:tplc="CB76ECBC">
      <w:start w:val="1"/>
      <w:numFmt w:val="bullet"/>
      <w:lvlText w:val="●"/>
      <w:lvlJc w:val="left"/>
      <w:pPr>
        <w:ind w:left="5040" w:hanging="360"/>
      </w:pPr>
    </w:lvl>
    <w:lvl w:ilvl="7" w:tplc="85CEBB92">
      <w:start w:val="1"/>
      <w:numFmt w:val="bullet"/>
      <w:lvlText w:val="●"/>
      <w:lvlJc w:val="left"/>
      <w:pPr>
        <w:ind w:left="5760" w:hanging="360"/>
      </w:pPr>
    </w:lvl>
    <w:lvl w:ilvl="8" w:tplc="428C80D2">
      <w:start w:val="1"/>
      <w:numFmt w:val="bullet"/>
      <w:lvlText w:val="●"/>
      <w:lvlJc w:val="left"/>
      <w:pPr>
        <w:ind w:left="6480" w:hanging="360"/>
      </w:pPr>
    </w:lvl>
  </w:abstractNum>
  <w:num w:numId="1" w16cid:durableId="205418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896"/>
    <w:rsid w:val="0009316F"/>
    <w:rsid w:val="00940F34"/>
    <w:rsid w:val="00A45A37"/>
    <w:rsid w:val="00DF6896"/>
    <w:rsid w:val="00EE3364"/>
    <w:rsid w:val="00F37D8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5E0C3F41"/>
  <w15:docId w15:val="{DDB53CDD-EC29-1148-9A7B-FF65F0426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360" w:after="240"/>
      <w:jc w:val="center"/>
      <w:outlineLvl w:val="0"/>
    </w:pPr>
    <w:rPr>
      <w:b/>
      <w:bCs/>
      <w:sz w:val="28"/>
      <w:szCs w:val="28"/>
    </w:rPr>
  </w:style>
  <w:style w:type="paragraph" w:styleId="Heading2">
    <w:name w:val="heading 2"/>
    <w:uiPriority w:val="9"/>
    <w:unhideWhenUsed/>
    <w:qFormat/>
    <w:pPr>
      <w:spacing w:before="240" w:after="200"/>
      <w:outlineLvl w:val="1"/>
    </w:pPr>
    <w:rPr>
      <w:b/>
      <w:bCs/>
    </w:rPr>
  </w:style>
  <w:style w:type="paragraph" w:styleId="Heading3">
    <w:name w:val="heading 3"/>
    <w:uiPriority w:val="9"/>
    <w:semiHidden/>
    <w:unhideWhenUsed/>
    <w:qFormat/>
    <w:pPr>
      <w:spacing w:before="240" w:after="2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25</Pages>
  <Words>4050</Words>
  <Characters>23090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Sharahil Mahmud</cp:lastModifiedBy>
  <cp:revision>2</cp:revision>
  <dcterms:created xsi:type="dcterms:W3CDTF">2026-03-31T22:50:00Z</dcterms:created>
  <dcterms:modified xsi:type="dcterms:W3CDTF">2026-04-01T05:31:00Z</dcterms:modified>
</cp:coreProperties>
</file>