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user engagement data sets, following are the analysis and findings: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2013 has marked the highest number of product visitors year, followed by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1445 number of users are adopted users which qualify the condition: users  logged in to the system 3 days in a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2994 users, opted for mailing, among which 416 users are adopted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There are 1792 users, opted for marketing drip, among which 254 users are adopted users.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Org_id 4  has a max number of adopted users with count 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adopted users are self invited.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number of adopted users accounts are created through org_invite with 559 accounts, followed by Guest invite accounts with 359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is predicting adopted users with 0.971 Auroc score with depth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user_id/Object_id, visited, org_id and 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invited_by_user_id</w:t>
      </w:r>
      <w:r w:rsidDel="00000000" w:rsidR="00000000" w:rsidRPr="00000000">
        <w:rPr>
          <w:rtl w:val="0"/>
        </w:rPr>
        <w:t xml:space="preserve"> are most usual features.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All the visualisation and codes are present in following collab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https://colab.research.google.com/drive/1v059bqD8VDKamDfpySAfGS5t0DKvuOot?usp=sharing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v059bqD8VDKamDfpySAfGS5t0DKvuOo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jti9OH3e3hqf3oQWPeAthk/nVw==">AMUW2mVp92rHzPml+7hEZfePDvBKjBl//LES7pDgPbA16YuHaq8kJb4QFt5Ibi+g3Hny/MrbYO8ajnt3tD23mSGl16OYDjPGGXMbkXdUP5lG40Mhqe0laso=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