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IntentLock - Chief Executive Officer (CEO) Detailed Profile</w:t>
      </w:r>
    </w:p>
    <w:p>
      <w:pPr>
        <w:jc w:val="center"/>
      </w:pPr>
      <w:r>
        <w:rPr>
          <w:i/>
        </w:rPr>
        <w:t>Comprehensive fictional CEO dataset with Board governance, enterprise authority, crisis controls and IntentLock security boundaries</w:t>
      </w:r>
    </w:p>
    <w:p>
      <w:pPr>
        <w:jc w:val="center"/>
      </w:pPr>
      <w:r>
        <w:rPr>
          <w:b/>
        </w:rPr>
        <w:t>DEMO DATA ONLY - all identities, organizations, employers, programs, emails and histories are fictional.</w:t>
      </w:r>
    </w:p>
    <w:p>
      <w:r>
        <w:t>This role has broad enterprise authority but is not an unconditional security superuser. IntentLock independently enforces identity verification, exact resource/action scope, approval dependencies, separation of duties, replay protection and immutable audit controls.</w:t>
      </w:r>
    </w:p>
    <w:p>
      <w:pPr>
        <w:pStyle w:val="Heading1"/>
      </w:pPr>
      <w:r>
        <w:t>Table 1 - Executive Identity, Reporting, Experience, Education and Enterprise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  <w:gridCol w:w="1079"/>
        <w:gridCol w:w="1079"/>
        <w:gridCol w:w="1079"/>
        <w:gridCol w:w="1079"/>
        <w:gridCol w:w="1079"/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79"/>
            <w:shd w:fill="1F4E78"/>
          </w:tcPr>
          <w:p>
            <w:r>
              <w:rPr>
                <w:b/>
                <w:color w:val="FFFFFF"/>
                <w:sz w:val="12"/>
              </w:rPr>
              <w:t>Executive ID</w:t>
            </w:r>
          </w:p>
        </w:tc>
        <w:tc>
          <w:tcPr>
            <w:tcW w:type="dxa" w:w="1079"/>
            <w:shd w:fill="1F4E78"/>
          </w:tcPr>
          <w:p>
            <w:r>
              <w:rPr>
                <w:b/>
                <w:color w:val="FFFFFF"/>
                <w:sz w:val="12"/>
              </w:rPr>
              <w:t>Full Name</w:t>
            </w:r>
          </w:p>
        </w:tc>
        <w:tc>
          <w:tcPr>
            <w:tcW w:type="dxa" w:w="1079"/>
            <w:shd w:fill="1F4E78"/>
          </w:tcPr>
          <w:p>
            <w:r>
              <w:rPr>
                <w:b/>
                <w:color w:val="FFFFFF"/>
                <w:sz w:val="12"/>
              </w:rPr>
              <w:t>Preferred Name</w:t>
            </w:r>
          </w:p>
        </w:tc>
        <w:tc>
          <w:tcPr>
            <w:tcW w:type="dxa" w:w="1079"/>
            <w:shd w:fill="1F4E78"/>
          </w:tcPr>
          <w:p>
            <w:r>
              <w:rPr>
                <w:b/>
                <w:color w:val="FFFFFF"/>
                <w:sz w:val="12"/>
              </w:rPr>
              <w:t>Role / Designation</w:t>
            </w:r>
          </w:p>
        </w:tc>
        <w:tc>
          <w:tcPr>
            <w:tcW w:type="dxa" w:w="1079"/>
            <w:shd w:fill="1F4E78"/>
          </w:tcPr>
          <w:p>
            <w:r>
              <w:rPr>
                <w:b/>
                <w:color w:val="FFFFFF"/>
                <w:sz w:val="12"/>
              </w:rPr>
              <w:t>Company Level</w:t>
            </w:r>
          </w:p>
        </w:tc>
        <w:tc>
          <w:tcPr>
            <w:tcW w:type="dxa" w:w="1079"/>
            <w:shd w:fill="1F4E78"/>
          </w:tcPr>
          <w:p>
            <w:r>
              <w:rPr>
                <w:b/>
                <w:color w:val="FFFFFF"/>
                <w:sz w:val="12"/>
              </w:rPr>
              <w:t>Department</w:t>
            </w:r>
          </w:p>
        </w:tc>
        <w:tc>
          <w:tcPr>
            <w:tcW w:type="dxa" w:w="1079"/>
            <w:shd w:fill="1F4E78"/>
          </w:tcPr>
          <w:p>
            <w:r>
              <w:rPr>
                <w:b/>
                <w:color w:val="FFFFFF"/>
                <w:sz w:val="12"/>
              </w:rPr>
              <w:t>Executive Function</w:t>
            </w:r>
          </w:p>
        </w:tc>
        <w:tc>
          <w:tcPr>
            <w:tcW w:type="dxa" w:w="1079"/>
            <w:shd w:fill="1F4E78"/>
          </w:tcPr>
          <w:p>
            <w:r>
              <w:rPr>
                <w:b/>
                <w:color w:val="FFFFFF"/>
                <w:sz w:val="12"/>
              </w:rPr>
              <w:t>Employment Type</w:t>
            </w:r>
          </w:p>
        </w:tc>
        <w:tc>
          <w:tcPr>
            <w:tcW w:type="dxa" w:w="1079"/>
            <w:shd w:fill="1F4E78"/>
          </w:tcPr>
          <w:p>
            <w:r>
              <w:rPr>
                <w:b/>
                <w:color w:val="FFFFFF"/>
                <w:sz w:val="12"/>
              </w:rPr>
              <w:t>Employment Status</w:t>
            </w:r>
          </w:p>
        </w:tc>
        <w:tc>
          <w:tcPr>
            <w:tcW w:type="dxa" w:w="1079"/>
            <w:shd w:fill="1F4E78"/>
          </w:tcPr>
          <w:p>
            <w:r>
              <w:rPr>
                <w:b/>
                <w:color w:val="FFFFFF"/>
                <w:sz w:val="12"/>
              </w:rPr>
              <w:t>Primary Location</w:t>
            </w:r>
          </w:p>
        </w:tc>
        <w:tc>
          <w:tcPr>
            <w:tcW w:type="dxa" w:w="1079"/>
            <w:shd w:fill="1F4E78"/>
          </w:tcPr>
          <w:p>
            <w:r>
              <w:rPr>
                <w:b/>
                <w:color w:val="FFFFFF"/>
                <w:sz w:val="12"/>
              </w:rPr>
              <w:t>Work Mode</w:t>
            </w:r>
          </w:p>
        </w:tc>
        <w:tc>
          <w:tcPr>
            <w:tcW w:type="dxa" w:w="1079"/>
            <w:shd w:fill="1F4E78"/>
          </w:tcPr>
          <w:p>
            <w:r>
              <w:rPr>
                <w:b/>
                <w:color w:val="FFFFFF"/>
                <w:sz w:val="12"/>
              </w:rPr>
              <w:t>Date of Appointment</w:t>
            </w:r>
          </w:p>
        </w:tc>
        <w:tc>
          <w:tcPr>
            <w:tcW w:type="dxa" w:w="1079"/>
            <w:shd w:fill="1F4E78"/>
          </w:tcPr>
          <w:p>
            <w:r>
              <w:rPr>
                <w:b/>
                <w:color w:val="FFFFFF"/>
                <w:sz w:val="12"/>
              </w:rPr>
              <w:t>Total Professional Experience</w:t>
            </w:r>
          </w:p>
        </w:tc>
        <w:tc>
          <w:tcPr>
            <w:tcW w:type="dxa" w:w="1079"/>
            <w:shd w:fill="1F4E78"/>
          </w:tcPr>
          <w:p>
            <w:r>
              <w:rPr>
                <w:b/>
                <w:color w:val="FFFFFF"/>
                <w:sz w:val="12"/>
              </w:rPr>
              <w:t>Executive Leadership Experience</w:t>
            </w:r>
          </w:p>
        </w:tc>
        <w:tc>
          <w:tcPr>
            <w:tcW w:type="dxa" w:w="1079"/>
            <w:shd w:fill="1F4E78"/>
          </w:tcPr>
          <w:p>
            <w:r>
              <w:rPr>
                <w:b/>
                <w:color w:val="FFFFFF"/>
                <w:sz w:val="12"/>
              </w:rPr>
              <w:t>Reports To</w:t>
            </w:r>
          </w:p>
        </w:tc>
        <w:tc>
          <w:tcPr>
            <w:tcW w:type="dxa" w:w="1079"/>
            <w:shd w:fill="1F4E78"/>
          </w:tcPr>
          <w:p>
            <w:r>
              <w:rPr>
                <w:b/>
                <w:color w:val="FFFFFF"/>
                <w:sz w:val="12"/>
              </w:rPr>
              <w:t>Direct Executive Reports</w:t>
            </w:r>
          </w:p>
        </w:tc>
        <w:tc>
          <w:tcPr>
            <w:tcW w:type="dxa" w:w="1079"/>
            <w:shd w:fill="1F4E78"/>
          </w:tcPr>
          <w:p>
            <w:r>
              <w:rPr>
                <w:b/>
                <w:color w:val="FFFFFF"/>
                <w:sz w:val="12"/>
              </w:rPr>
              <w:t>Enterprise Span</w:t>
            </w:r>
          </w:p>
        </w:tc>
        <w:tc>
          <w:tcPr>
            <w:tcW w:type="dxa" w:w="1079"/>
            <w:shd w:fill="1F4E78"/>
          </w:tcPr>
          <w:p>
            <w:r>
              <w:rPr>
                <w:b/>
                <w:color w:val="FFFFFF"/>
                <w:sz w:val="12"/>
              </w:rPr>
              <w:t>Work Email</w:t>
            </w:r>
          </w:p>
        </w:tc>
        <w:tc>
          <w:tcPr>
            <w:tcW w:type="dxa" w:w="1079"/>
            <w:shd w:fill="1F4E78"/>
          </w:tcPr>
          <w:p>
            <w:r>
              <w:rPr>
                <w:b/>
                <w:color w:val="FFFFFF"/>
                <w:sz w:val="12"/>
              </w:rPr>
              <w:t>Highest Qualification</w:t>
            </w:r>
          </w:p>
        </w:tc>
        <w:tc>
          <w:tcPr>
            <w:tcW w:type="dxa" w:w="1079"/>
            <w:shd w:fill="1F4E78"/>
          </w:tcPr>
          <w:p>
            <w:r>
              <w:rPr>
                <w:b/>
                <w:color w:val="FFFFFF"/>
                <w:sz w:val="12"/>
              </w:rPr>
              <w:t>Other Education</w:t>
            </w:r>
          </w:p>
        </w:tc>
        <w:tc>
          <w:tcPr>
            <w:tcW w:type="dxa" w:w="1079"/>
            <w:shd w:fill="1F4E78"/>
          </w:tcPr>
          <w:p>
            <w:r>
              <w:rPr>
                <w:b/>
                <w:color w:val="FFFFFF"/>
                <w:sz w:val="12"/>
              </w:rPr>
              <w:t>Board Relationship</w:t>
            </w:r>
          </w:p>
        </w:tc>
      </w:tr>
      <w:tr>
        <w:tc>
          <w:tcPr>
            <w:tcW w:type="dxa" w:w="107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EXE-0001</w:t>
            </w:r>
          </w:p>
        </w:tc>
        <w:tc>
          <w:tcPr>
            <w:tcW w:type="dxa" w:w="107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Ishaan Mehta</w:t>
            </w:r>
          </w:p>
        </w:tc>
        <w:tc>
          <w:tcPr>
            <w:tcW w:type="dxa" w:w="107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Ishaan</w:t>
            </w:r>
          </w:p>
        </w:tc>
        <w:tc>
          <w:tcPr>
            <w:tcW w:type="dxa" w:w="107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Chief Executive Officer (CEO)</w:t>
            </w:r>
          </w:p>
        </w:tc>
        <w:tc>
          <w:tcPr>
            <w:tcW w:type="dxa" w:w="107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L6 - Chief Executive</w:t>
            </w:r>
          </w:p>
        </w:tc>
        <w:tc>
          <w:tcPr>
            <w:tcW w:type="dxa" w:w="107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Executive Office</w:t>
            </w:r>
          </w:p>
        </w:tc>
        <w:tc>
          <w:tcPr>
            <w:tcW w:type="dxa" w:w="107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Enterprise Leadership &amp; Corporate Governance</w:t>
            </w:r>
          </w:p>
        </w:tc>
        <w:tc>
          <w:tcPr>
            <w:tcW w:type="dxa" w:w="107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Full-Time Executive</w:t>
            </w:r>
          </w:p>
        </w:tc>
        <w:tc>
          <w:tcPr>
            <w:tcW w:type="dxa" w:w="107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Active</w:t>
            </w:r>
          </w:p>
        </w:tc>
        <w:tc>
          <w:tcPr>
            <w:tcW w:type="dxa" w:w="107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Bengaluru</w:t>
            </w:r>
          </w:p>
        </w:tc>
        <w:tc>
          <w:tcPr>
            <w:tcW w:type="dxa" w:w="107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Executive Hybrid</w:t>
            </w:r>
          </w:p>
        </w:tc>
        <w:tc>
          <w:tcPr>
            <w:tcW w:type="dxa" w:w="107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01 April 2018</w:t>
            </w:r>
          </w:p>
        </w:tc>
        <w:tc>
          <w:tcPr>
            <w:tcW w:type="dxa" w:w="107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25 years</w:t>
            </w:r>
          </w:p>
        </w:tc>
        <w:tc>
          <w:tcPr>
            <w:tcW w:type="dxa" w:w="107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14 years</w:t>
            </w:r>
          </w:p>
        </w:tc>
        <w:tc>
          <w:tcPr>
            <w:tcW w:type="dxa" w:w="107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Board of Directors</w:t>
            </w:r>
          </w:p>
        </w:tc>
        <w:tc>
          <w:tcPr>
            <w:tcW w:type="dxa" w:w="107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COO Ananya Iyer; CTO Arvind Rao; CHRO Rhea Kapoor; CIO Siddharth Menon; CSO Tara Desai</w:t>
            </w:r>
          </w:p>
        </w:tc>
        <w:tc>
          <w:tcPr>
            <w:tcW w:type="dxa" w:w="107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Company-wide</w:t>
            </w:r>
          </w:p>
        </w:tc>
        <w:tc>
          <w:tcPr>
            <w:tcW w:type="dxa" w:w="107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ishaan.mehta@intentlock-demo.example</w:t>
            </w:r>
          </w:p>
        </w:tc>
        <w:tc>
          <w:tcPr>
            <w:tcW w:type="dxa" w:w="107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MBA Strategy &amp; Finance</w:t>
            </w:r>
          </w:p>
        </w:tc>
        <w:tc>
          <w:tcPr>
            <w:tcW w:type="dxa" w:w="107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B.Tech Computer Science</w:t>
            </w:r>
          </w:p>
        </w:tc>
        <w:tc>
          <w:tcPr>
            <w:tcW w:type="dxa" w:w="107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Primary management liaison to Board; presents strategy, risk, performance and major investment proposals.</w:t>
            </w:r>
          </w:p>
        </w:tc>
      </w:tr>
    </w:tbl>
    <w:p>
      <w:r>
        <w:br w:type="page"/>
      </w:r>
    </w:p>
    <w:p>
      <w:pPr>
        <w:pStyle w:val="Heading1"/>
      </w:pPr>
      <w:r>
        <w:t>Table 2 - Career Progression, Previous Work, Major Programs and Strategic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9"/>
        <w:gridCol w:w="1889"/>
        <w:gridCol w:w="1889"/>
        <w:gridCol w:w="1889"/>
        <w:gridCol w:w="1889"/>
        <w:gridCol w:w="1889"/>
        <w:gridCol w:w="1889"/>
        <w:gridCol w:w="1889"/>
        <w:gridCol w:w="1889"/>
        <w:gridCol w:w="1889"/>
        <w:gridCol w:w="1889"/>
        <w:gridCol w:w="1889"/>
      </w:tblGrid>
      <w:tr>
        <w:tc>
          <w:tcPr>
            <w:tcW w:type="dxa" w:w="1889"/>
            <w:shd w:fill="1F4E78"/>
          </w:tcPr>
          <w:p>
            <w:r>
              <w:rPr>
                <w:b/>
                <w:color w:val="FFFFFF"/>
                <w:sz w:val="12"/>
              </w:rPr>
              <w:t>Executive ID</w:t>
            </w:r>
          </w:p>
        </w:tc>
        <w:tc>
          <w:tcPr>
            <w:tcW w:type="dxa" w:w="1889"/>
            <w:shd w:fill="1F4E78"/>
          </w:tcPr>
          <w:p>
            <w:r>
              <w:rPr>
                <w:b/>
                <w:color w:val="FFFFFF"/>
                <w:sz w:val="12"/>
              </w:rPr>
              <w:t>Full Name</w:t>
            </w:r>
          </w:p>
        </w:tc>
        <w:tc>
          <w:tcPr>
            <w:tcW w:type="dxa" w:w="1889"/>
            <w:shd w:fill="1F4E78"/>
          </w:tcPr>
          <w:p>
            <w:r>
              <w:rPr>
                <w:b/>
                <w:color w:val="FFFFFF"/>
                <w:sz w:val="12"/>
              </w:rPr>
              <w:t>Professional Summary</w:t>
            </w:r>
          </w:p>
        </w:tc>
        <w:tc>
          <w:tcPr>
            <w:tcW w:type="dxa" w:w="1889"/>
            <w:shd w:fill="1F4E78"/>
          </w:tcPr>
          <w:p>
            <w:r>
              <w:rPr>
                <w:b/>
                <w:color w:val="FFFFFF"/>
                <w:sz w:val="12"/>
              </w:rPr>
              <w:t>Career Progression</w:t>
            </w:r>
          </w:p>
        </w:tc>
        <w:tc>
          <w:tcPr>
            <w:tcW w:type="dxa" w:w="1889"/>
            <w:shd w:fill="1F4E78"/>
          </w:tcPr>
          <w:p>
            <w:r>
              <w:rPr>
                <w:b/>
                <w:color w:val="FFFFFF"/>
                <w:sz w:val="12"/>
              </w:rPr>
              <w:t>Previous Organizations</w:t>
            </w:r>
          </w:p>
        </w:tc>
        <w:tc>
          <w:tcPr>
            <w:tcW w:type="dxa" w:w="1889"/>
            <w:shd w:fill="1F4E78"/>
          </w:tcPr>
          <w:p>
            <w:r>
              <w:rPr>
                <w:b/>
                <w:color w:val="FFFFFF"/>
                <w:sz w:val="12"/>
              </w:rPr>
              <w:t>Earlier Career Responsibilities</w:t>
            </w:r>
          </w:p>
        </w:tc>
        <w:tc>
          <w:tcPr>
            <w:tcW w:type="dxa" w:w="1889"/>
            <w:shd w:fill="1F4E78"/>
          </w:tcPr>
          <w:p>
            <w:r>
              <w:rPr>
                <w:b/>
                <w:color w:val="FFFFFF"/>
                <w:sz w:val="12"/>
              </w:rPr>
              <w:t>CEO Appointment History</w:t>
            </w:r>
          </w:p>
        </w:tc>
        <w:tc>
          <w:tcPr>
            <w:tcW w:type="dxa" w:w="1889"/>
            <w:shd w:fill="1F4E78"/>
          </w:tcPr>
          <w:p>
            <w:r>
              <w:rPr>
                <w:b/>
                <w:color w:val="FFFFFF"/>
                <w:sz w:val="12"/>
              </w:rPr>
              <w:t>Major Past Programs</w:t>
            </w:r>
          </w:p>
        </w:tc>
        <w:tc>
          <w:tcPr>
            <w:tcW w:type="dxa" w:w="1889"/>
            <w:shd w:fill="1F4E78"/>
          </w:tcPr>
          <w:p>
            <w:r>
              <w:rPr>
                <w:b/>
                <w:color w:val="FFFFFF"/>
                <w:sz w:val="12"/>
              </w:rPr>
              <w:t>Current Enterprise Priorities</w:t>
            </w:r>
          </w:p>
        </w:tc>
        <w:tc>
          <w:tcPr>
            <w:tcW w:type="dxa" w:w="1889"/>
            <w:shd w:fill="1F4E78"/>
          </w:tcPr>
          <w:p>
            <w:r>
              <w:rPr>
                <w:b/>
                <w:color w:val="FFFFFF"/>
                <w:sz w:val="12"/>
              </w:rPr>
              <w:t>Strategic Responsibilities</w:t>
            </w:r>
          </w:p>
        </w:tc>
        <w:tc>
          <w:tcPr>
            <w:tcW w:type="dxa" w:w="1889"/>
            <w:shd w:fill="1F4E78"/>
          </w:tcPr>
          <w:p>
            <w:r>
              <w:rPr>
                <w:b/>
                <w:color w:val="FFFFFF"/>
                <w:sz w:val="12"/>
              </w:rPr>
              <w:t>Culture / Values Responsibility</w:t>
            </w:r>
          </w:p>
        </w:tc>
        <w:tc>
          <w:tcPr>
            <w:tcW w:type="dxa" w:w="1889"/>
            <w:shd w:fill="1F4E78"/>
          </w:tcPr>
          <w:p>
            <w:r>
              <w:rPr>
                <w:b/>
                <w:color w:val="FFFFFF"/>
                <w:sz w:val="12"/>
              </w:rPr>
              <w:t>Executive Succession Responsibility</w:t>
            </w:r>
          </w:p>
        </w:tc>
      </w:tr>
      <w:tr>
        <w:tc>
          <w:tcPr>
            <w:tcW w:type="dxa" w:w="188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EXE-0001</w:t>
            </w:r>
          </w:p>
        </w:tc>
        <w:tc>
          <w:tcPr>
            <w:tcW w:type="dxa" w:w="188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Ishaan Mehta</w:t>
            </w:r>
          </w:p>
        </w:tc>
        <w:tc>
          <w:tcPr>
            <w:tcW w:type="dxa" w:w="188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Chief executive accountable for enterprise strategy, performance, culture, capital allocation, executive leadership and execution of Board-approved direction.</w:t>
            </w:r>
          </w:p>
        </w:tc>
        <w:tc>
          <w:tcPr>
            <w:tcW w:type="dxa" w:w="188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Software Engineer -&gt; Product/Business Leader -&gt; General Manager -&gt; COO -&gt; Chief Executive Officer.</w:t>
            </w:r>
          </w:p>
        </w:tc>
        <w:tc>
          <w:tcPr>
            <w:tcW w:type="dxa" w:w="188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TechScale Demo - Engineer/Product Leader; EnterpriseGrowth Demo - General Manager/COO; IntentLock Demo Company - CEO.</w:t>
            </w:r>
          </w:p>
        </w:tc>
        <w:tc>
          <w:tcPr>
            <w:tcW w:type="dxa" w:w="188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Technology delivery; product leadership; P&amp;L management; organizational scaling; strategic partnerships; enterprise operations.</w:t>
            </w:r>
          </w:p>
        </w:tc>
        <w:tc>
          <w:tcPr>
            <w:tcW w:type="dxa" w:w="188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Selected by fictional Board after leading multi-year growth and operational transformation.</w:t>
            </w:r>
          </w:p>
        </w:tc>
        <w:tc>
          <w:tcPr>
            <w:tcW w:type="dxa" w:w="188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Enterprise Scale-Up; Cloud/Product Transformation; International Market Study; Operating Model Redesign; Governance Modernization.</w:t>
            </w:r>
          </w:p>
        </w:tc>
        <w:tc>
          <w:tcPr>
            <w:tcW w:type="dxa" w:w="188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Secure AI-agent strategy; sustainable growth; operational resilience; talent development; customer trust; governance maturity.</w:t>
            </w:r>
          </w:p>
        </w:tc>
        <w:tc>
          <w:tcPr>
            <w:tcW w:type="dxa" w:w="188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Set company strategy with Board; align executives; approve enterprise priorities; allocate capital within delegation; represent company leadership.</w:t>
            </w:r>
          </w:p>
        </w:tc>
        <w:tc>
          <w:tcPr>
            <w:tcW w:type="dxa" w:w="188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Sets leadership expectations, ethical tone, accountability standards and enterprise culture priorities.</w:t>
            </w:r>
          </w:p>
        </w:tc>
        <w:tc>
          <w:tcPr>
            <w:tcW w:type="dxa" w:w="188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Leads succession planning for executive team with Board/CHRO; own succession is Board governed.</w:t>
            </w:r>
          </w:p>
        </w:tc>
      </w:tr>
    </w:tbl>
    <w:p>
      <w:r>
        <w:br w:type="page"/>
      </w:r>
    </w:p>
    <w:p>
      <w:pPr>
        <w:pStyle w:val="Heading1"/>
      </w:pPr>
      <w:r>
        <w:t>Table 3 - Financial, Budget, Headcount, Hiring, Compensation and Corporate Authority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9"/>
        <w:gridCol w:w="1619"/>
        <w:gridCol w:w="1619"/>
        <w:gridCol w:w="1619"/>
        <w:gridCol w:w="1619"/>
        <w:gridCol w:w="1619"/>
        <w:gridCol w:w="1619"/>
        <w:gridCol w:w="1619"/>
        <w:gridCol w:w="1619"/>
        <w:gridCol w:w="1619"/>
        <w:gridCol w:w="1619"/>
        <w:gridCol w:w="1619"/>
        <w:gridCol w:w="1619"/>
        <w:gridCol w:w="1619"/>
      </w:tblGrid>
      <w:tr>
        <w:tc>
          <w:tcPr>
            <w:tcW w:type="dxa" w:w="1619"/>
            <w:shd w:fill="1F4E78"/>
          </w:tcPr>
          <w:p>
            <w:r>
              <w:rPr>
                <w:b/>
                <w:color w:val="FFFFFF"/>
                <w:sz w:val="12"/>
              </w:rPr>
              <w:t>Executive ID</w:t>
            </w:r>
          </w:p>
        </w:tc>
        <w:tc>
          <w:tcPr>
            <w:tcW w:type="dxa" w:w="1619"/>
            <w:shd w:fill="1F4E78"/>
          </w:tcPr>
          <w:p>
            <w:r>
              <w:rPr>
                <w:b/>
                <w:color w:val="FFFFFF"/>
                <w:sz w:val="12"/>
              </w:rPr>
              <w:t>Full Name</w:t>
            </w:r>
          </w:p>
        </w:tc>
        <w:tc>
          <w:tcPr>
            <w:tcW w:type="dxa" w:w="1619"/>
            <w:shd w:fill="1F4E78"/>
          </w:tcPr>
          <w:p>
            <w:r>
              <w:rPr>
                <w:b/>
                <w:color w:val="FFFFFF"/>
                <w:sz w:val="12"/>
              </w:rPr>
              <w:t>Financial Authority</w:t>
            </w:r>
          </w:p>
        </w:tc>
        <w:tc>
          <w:tcPr>
            <w:tcW w:type="dxa" w:w="1619"/>
            <w:shd w:fill="1F4E78"/>
          </w:tcPr>
          <w:p>
            <w:r>
              <w:rPr>
                <w:b/>
                <w:color w:val="FFFFFF"/>
                <w:sz w:val="12"/>
              </w:rPr>
              <w:t>P&amp;L Responsibility</w:t>
            </w:r>
          </w:p>
        </w:tc>
        <w:tc>
          <w:tcPr>
            <w:tcW w:type="dxa" w:w="1619"/>
            <w:shd w:fill="1F4E78"/>
          </w:tcPr>
          <w:p>
            <w:r>
              <w:rPr>
                <w:b/>
                <w:color w:val="FFFFFF"/>
                <w:sz w:val="12"/>
              </w:rPr>
              <w:t>Capital Allocation Authority</w:t>
            </w:r>
          </w:p>
        </w:tc>
        <w:tc>
          <w:tcPr>
            <w:tcW w:type="dxa" w:w="1619"/>
            <w:shd w:fill="1F4E78"/>
          </w:tcPr>
          <w:p>
            <w:r>
              <w:rPr>
                <w:b/>
                <w:color w:val="FFFFFF"/>
                <w:sz w:val="12"/>
              </w:rPr>
              <w:t>Budget Authority</w:t>
            </w:r>
          </w:p>
        </w:tc>
        <w:tc>
          <w:tcPr>
            <w:tcW w:type="dxa" w:w="1619"/>
            <w:shd w:fill="1F4E78"/>
          </w:tcPr>
          <w:p>
            <w:r>
              <w:rPr>
                <w:b/>
                <w:color w:val="FFFFFF"/>
                <w:sz w:val="12"/>
              </w:rPr>
              <w:t>Headcount Authority</w:t>
            </w:r>
          </w:p>
        </w:tc>
        <w:tc>
          <w:tcPr>
            <w:tcW w:type="dxa" w:w="1619"/>
            <w:shd w:fill="1F4E78"/>
          </w:tcPr>
          <w:p>
            <w:r>
              <w:rPr>
                <w:b/>
                <w:color w:val="FFFFFF"/>
                <w:sz w:val="12"/>
              </w:rPr>
              <w:t>Executive Hiring Authority</w:t>
            </w:r>
          </w:p>
        </w:tc>
        <w:tc>
          <w:tcPr>
            <w:tcW w:type="dxa" w:w="1619"/>
            <w:shd w:fill="1F4E78"/>
          </w:tcPr>
          <w:p>
            <w:r>
              <w:rPr>
                <w:b/>
                <w:color w:val="FFFFFF"/>
                <w:sz w:val="12"/>
              </w:rPr>
              <w:t>Promotion Authority</w:t>
            </w:r>
          </w:p>
        </w:tc>
        <w:tc>
          <w:tcPr>
            <w:tcW w:type="dxa" w:w="1619"/>
            <w:shd w:fill="1F4E78"/>
          </w:tcPr>
          <w:p>
            <w:r>
              <w:rPr>
                <w:b/>
                <w:color w:val="FFFFFF"/>
                <w:sz w:val="12"/>
              </w:rPr>
              <w:t>Compensation Authority</w:t>
            </w:r>
          </w:p>
        </w:tc>
        <w:tc>
          <w:tcPr>
            <w:tcW w:type="dxa" w:w="1619"/>
            <w:shd w:fill="1F4E78"/>
          </w:tcPr>
          <w:p>
            <w:r>
              <w:rPr>
                <w:b/>
                <w:color w:val="FFFFFF"/>
                <w:sz w:val="12"/>
              </w:rPr>
              <w:t>Termination Authority</w:t>
            </w:r>
          </w:p>
        </w:tc>
        <w:tc>
          <w:tcPr>
            <w:tcW w:type="dxa" w:w="1619"/>
            <w:shd w:fill="1F4E78"/>
          </w:tcPr>
          <w:p>
            <w:r>
              <w:rPr>
                <w:b/>
                <w:color w:val="FFFFFF"/>
                <w:sz w:val="12"/>
              </w:rPr>
              <w:t>M&amp;A Authority</w:t>
            </w:r>
          </w:p>
        </w:tc>
        <w:tc>
          <w:tcPr>
            <w:tcW w:type="dxa" w:w="1619"/>
            <w:shd w:fill="1F4E78"/>
          </w:tcPr>
          <w:p>
            <w:r>
              <w:rPr>
                <w:b/>
                <w:color w:val="FFFFFF"/>
                <w:sz w:val="12"/>
              </w:rPr>
              <w:t>Contract / Signing Authority</w:t>
            </w:r>
          </w:p>
        </w:tc>
        <w:tc>
          <w:tcPr>
            <w:tcW w:type="dxa" w:w="1619"/>
            <w:shd w:fill="1F4E78"/>
          </w:tcPr>
          <w:p>
            <w:r>
              <w:rPr>
                <w:b/>
                <w:color w:val="FFFFFF"/>
                <w:sz w:val="12"/>
              </w:rPr>
              <w:t>Strategic Partnership Authority</w:t>
            </w:r>
          </w:p>
        </w:tc>
      </w:tr>
      <w:tr>
        <w:tc>
          <w:tcPr>
            <w:tcW w:type="dxa" w:w="161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EXE-0001</w:t>
            </w:r>
          </w:p>
        </w:tc>
        <w:tc>
          <w:tcPr>
            <w:tcW w:type="dxa" w:w="161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Ishaan Mehta</w:t>
            </w:r>
          </w:p>
        </w:tc>
        <w:tc>
          <w:tcPr>
            <w:tcW w:type="dxa" w:w="161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Broad delegated operating/capital authority within Board-approved plan and signing limits; Board-reserved thresholds remain mandatory.</w:t>
            </w:r>
          </w:p>
        </w:tc>
        <w:tc>
          <w:tcPr>
            <w:tcW w:type="dxa" w:w="161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Overall enterprise performance and operating results; Finance controls remain independently enforced.</w:t>
            </w:r>
          </w:p>
        </w:tc>
        <w:tc>
          <w:tcPr>
            <w:tcW w:type="dxa" w:w="161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Can reprioritize approved investment and propose major capital allocation; extraordinary transactions require Board.</w:t>
            </w:r>
          </w:p>
        </w:tc>
        <w:tc>
          <w:tcPr>
            <w:tcW w:type="dxa" w:w="161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Approves annual management budget proposal and delegated changes; cannot bypass Board/Finance thresholds.</w:t>
            </w:r>
          </w:p>
        </w:tc>
        <w:tc>
          <w:tcPr>
            <w:tcW w:type="dxa" w:w="161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Can approve broad workforce plans within Board-approved operating plan; extraordinary restructuring follows Board/HR/Legal controls.</w:t>
            </w:r>
          </w:p>
        </w:tc>
        <w:tc>
          <w:tcPr>
            <w:tcW w:type="dxa" w:w="161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Can appoint/approve many executives subject to governance; certain C-suite/Board roles require Board approval.</w:t>
            </w:r>
          </w:p>
        </w:tc>
        <w:tc>
          <w:tcPr>
            <w:tcW w:type="dxa" w:w="161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Can approve eligible senior promotions after HR/governance requirements; cannot approve own role/compensation.</w:t>
            </w:r>
          </w:p>
        </w:tc>
        <w:tc>
          <w:tcPr>
            <w:tcW w:type="dxa" w:w="161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Can approve delegated compensation decisions; own and certain executive compensation is Board/Compensation Committee controlled.</w:t>
            </w:r>
          </w:p>
        </w:tc>
        <w:tc>
          <w:tcPr>
            <w:tcW w:type="dxa" w:w="161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Can initiate/approve senior employment actions where delegated; Board/HR/Legal process applies to protected/executive cases.</w:t>
            </w:r>
          </w:p>
        </w:tc>
        <w:tc>
          <w:tcPr>
            <w:tcW w:type="dxa" w:w="161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Can sponsor/negotiate potential transactions within authorized process; cannot unilaterally close Board-reserved M&amp;A.</w:t>
            </w:r>
          </w:p>
        </w:tc>
        <w:tc>
          <w:tcPr>
            <w:tcW w:type="dxa" w:w="161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Can sign commitments within formal limits after required Legal/Finance/Procurement reviews.</w:t>
            </w:r>
          </w:p>
        </w:tc>
        <w:tc>
          <w:tcPr>
            <w:tcW w:type="dxa" w:w="161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Can approve eligible partnerships within delegation; material obligations require formal reviews.</w:t>
            </w:r>
          </w:p>
        </w:tc>
      </w:tr>
    </w:tbl>
    <w:p>
      <w:r>
        <w:br w:type="page"/>
      </w:r>
    </w:p>
    <w:p>
      <w:pPr>
        <w:pStyle w:val="Heading1"/>
      </w:pPr>
      <w:r>
        <w:t>Table 4 - Enterprise Data, Board Dependencies, Crisis Authority and Governance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59"/>
        <w:gridCol w:w="1259"/>
        <w:gridCol w:w="1259"/>
        <w:gridCol w:w="1259"/>
        <w:gridCol w:w="1259"/>
        <w:gridCol w:w="1259"/>
        <w:gridCol w:w="1259"/>
        <w:gridCol w:w="1259"/>
        <w:gridCol w:w="1259"/>
        <w:gridCol w:w="1259"/>
        <w:gridCol w:w="1259"/>
        <w:gridCol w:w="1259"/>
        <w:gridCol w:w="1259"/>
        <w:gridCol w:w="1259"/>
        <w:gridCol w:w="1259"/>
        <w:gridCol w:w="1259"/>
        <w:gridCol w:w="1259"/>
        <w:gridCol w:w="1259"/>
      </w:tblGrid>
      <w:tr>
        <w:tc>
          <w:tcPr>
            <w:tcW w:type="dxa" w:w="1259"/>
            <w:shd w:fill="1F4E78"/>
          </w:tcPr>
          <w:p>
            <w:r>
              <w:rPr>
                <w:b/>
                <w:color w:val="FFFFFF"/>
                <w:sz w:val="12"/>
              </w:rPr>
              <w:t>Executive ID</w:t>
            </w:r>
          </w:p>
        </w:tc>
        <w:tc>
          <w:tcPr>
            <w:tcW w:type="dxa" w:w="1259"/>
            <w:shd w:fill="1F4E78"/>
          </w:tcPr>
          <w:p>
            <w:r>
              <w:rPr>
                <w:b/>
                <w:color w:val="FFFFFF"/>
                <w:sz w:val="12"/>
              </w:rPr>
              <w:t>Full Name</w:t>
            </w:r>
          </w:p>
        </w:tc>
        <w:tc>
          <w:tcPr>
            <w:tcW w:type="dxa" w:w="1259"/>
            <w:shd w:fill="1F4E78"/>
          </w:tcPr>
          <w:p>
            <w:r>
              <w:rPr>
                <w:b/>
                <w:color w:val="FFFFFF"/>
                <w:sz w:val="12"/>
              </w:rPr>
              <w:t>Enterprise Data Visibility</w:t>
            </w:r>
          </w:p>
        </w:tc>
        <w:tc>
          <w:tcPr>
            <w:tcW w:type="dxa" w:w="1259"/>
            <w:shd w:fill="1F4E78"/>
          </w:tcPr>
          <w:p>
            <w:r>
              <w:rPr>
                <w:b/>
                <w:color w:val="FFFFFF"/>
                <w:sz w:val="12"/>
              </w:rPr>
              <w:t>HR Data Visibility</w:t>
            </w:r>
          </w:p>
        </w:tc>
        <w:tc>
          <w:tcPr>
            <w:tcW w:type="dxa" w:w="1259"/>
            <w:shd w:fill="1F4E78"/>
          </w:tcPr>
          <w:p>
            <w:r>
              <w:rPr>
                <w:b/>
                <w:color w:val="FFFFFF"/>
                <w:sz w:val="12"/>
              </w:rPr>
              <w:t>Security Data Visibility</w:t>
            </w:r>
          </w:p>
        </w:tc>
        <w:tc>
          <w:tcPr>
            <w:tcW w:type="dxa" w:w="1259"/>
            <w:shd w:fill="1F4E78"/>
          </w:tcPr>
          <w:p>
            <w:r>
              <w:rPr>
                <w:b/>
                <w:color w:val="FFFFFF"/>
                <w:sz w:val="12"/>
              </w:rPr>
              <w:t>Legal / Compliance Visibility</w:t>
            </w:r>
          </w:p>
        </w:tc>
        <w:tc>
          <w:tcPr>
            <w:tcW w:type="dxa" w:w="1259"/>
            <w:shd w:fill="1F4E78"/>
          </w:tcPr>
          <w:p>
            <w:r>
              <w:rPr>
                <w:b/>
                <w:color w:val="FFFFFF"/>
                <w:sz w:val="12"/>
              </w:rPr>
              <w:t>Can Modify by Voice</w:t>
            </w:r>
          </w:p>
        </w:tc>
        <w:tc>
          <w:tcPr>
            <w:tcW w:type="dxa" w:w="1259"/>
            <w:shd w:fill="1F4E78"/>
          </w:tcPr>
          <w:p>
            <w:r>
              <w:rPr>
                <w:b/>
                <w:color w:val="FFFFFF"/>
                <w:sz w:val="12"/>
              </w:rPr>
              <w:t>Can Approve by Voice</w:t>
            </w:r>
          </w:p>
        </w:tc>
        <w:tc>
          <w:tcPr>
            <w:tcW w:type="dxa" w:w="1259"/>
            <w:shd w:fill="1F4E78"/>
          </w:tcPr>
          <w:p>
            <w:r>
              <w:rPr>
                <w:b/>
                <w:color w:val="FFFFFF"/>
                <w:sz w:val="12"/>
              </w:rPr>
              <w:t>Can Recommend by Voice</w:t>
            </w:r>
          </w:p>
        </w:tc>
        <w:tc>
          <w:tcPr>
            <w:tcW w:type="dxa" w:w="1259"/>
            <w:shd w:fill="1F4E78"/>
          </w:tcPr>
          <w:p>
            <w:r>
              <w:rPr>
                <w:b/>
                <w:color w:val="FFFFFF"/>
                <w:sz w:val="12"/>
              </w:rPr>
              <w:t>Board-Reserved Matters</w:t>
            </w:r>
          </w:p>
        </w:tc>
        <w:tc>
          <w:tcPr>
            <w:tcW w:type="dxa" w:w="1259"/>
            <w:shd w:fill="1F4E78"/>
          </w:tcPr>
          <w:p>
            <w:r>
              <w:rPr>
                <w:b/>
                <w:color w:val="FFFFFF"/>
                <w:sz w:val="12"/>
              </w:rPr>
              <w:t>Requires Finance Approval</w:t>
            </w:r>
          </w:p>
        </w:tc>
        <w:tc>
          <w:tcPr>
            <w:tcW w:type="dxa" w:w="1259"/>
            <w:shd w:fill="1F4E78"/>
          </w:tcPr>
          <w:p>
            <w:r>
              <w:rPr>
                <w:b/>
                <w:color w:val="FFFFFF"/>
                <w:sz w:val="12"/>
              </w:rPr>
              <w:t>Requires Legal Approval</w:t>
            </w:r>
          </w:p>
        </w:tc>
        <w:tc>
          <w:tcPr>
            <w:tcW w:type="dxa" w:w="1259"/>
            <w:shd w:fill="1F4E78"/>
          </w:tcPr>
          <w:p>
            <w:r>
              <w:rPr>
                <w:b/>
                <w:color w:val="FFFFFF"/>
                <w:sz w:val="12"/>
              </w:rPr>
              <w:t>Requires HR / Compensation Committee</w:t>
            </w:r>
          </w:p>
        </w:tc>
        <w:tc>
          <w:tcPr>
            <w:tcW w:type="dxa" w:w="1259"/>
            <w:shd w:fill="1F4E78"/>
          </w:tcPr>
          <w:p>
            <w:r>
              <w:rPr>
                <w:b/>
                <w:color w:val="FFFFFF"/>
                <w:sz w:val="12"/>
              </w:rPr>
              <w:t>Crisis Authority</w:t>
            </w:r>
          </w:p>
        </w:tc>
        <w:tc>
          <w:tcPr>
            <w:tcW w:type="dxa" w:w="1259"/>
            <w:shd w:fill="1F4E78"/>
          </w:tcPr>
          <w:p>
            <w:r>
              <w:rPr>
                <w:b/>
                <w:color w:val="FFFFFF"/>
                <w:sz w:val="12"/>
              </w:rPr>
              <w:t>Crisis Limitations</w:t>
            </w:r>
          </w:p>
        </w:tc>
        <w:tc>
          <w:tcPr>
            <w:tcW w:type="dxa" w:w="1259"/>
            <w:shd w:fill="1F4E78"/>
          </w:tcPr>
          <w:p>
            <w:r>
              <w:rPr>
                <w:b/>
                <w:color w:val="FFFFFF"/>
                <w:sz w:val="12"/>
              </w:rPr>
              <w:t>Risk Ownership</w:t>
            </w:r>
          </w:p>
        </w:tc>
        <w:tc>
          <w:tcPr>
            <w:tcW w:type="dxa" w:w="1259"/>
            <w:shd w:fill="1F4E78"/>
          </w:tcPr>
          <w:p>
            <w:r>
              <w:rPr>
                <w:b/>
                <w:color w:val="FFFFFF"/>
                <w:sz w:val="12"/>
              </w:rPr>
              <w:t>Audit / Governance Responsibility</w:t>
            </w:r>
          </w:p>
        </w:tc>
        <w:tc>
          <w:tcPr>
            <w:tcW w:type="dxa" w:w="1259"/>
            <w:shd w:fill="1F4E78"/>
          </w:tcPr>
          <w:p>
            <w:r>
              <w:rPr>
                <w:b/>
                <w:color w:val="FFFFFF"/>
                <w:sz w:val="12"/>
              </w:rPr>
              <w:t>External Representation</w:t>
            </w:r>
          </w:p>
        </w:tc>
      </w:tr>
      <w:tr>
        <w:tc>
          <w:tcPr>
            <w:tcW w:type="dxa" w:w="125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EXE-0001</w:t>
            </w:r>
          </w:p>
        </w:tc>
        <w:tc>
          <w:tcPr>
            <w:tcW w:type="dxa" w:w="125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Ishaan Mehta</w:t>
            </w:r>
          </w:p>
        </w:tc>
        <w:tc>
          <w:tcPr>
            <w:tcW w:type="dxa" w:w="125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Broad executive reporting across finance, operations, workforce, technology, risk and strategy, subject to purpose/legal restrictions.</w:t>
            </w:r>
          </w:p>
        </w:tc>
        <w:tc>
          <w:tcPr>
            <w:tcW w:type="dxa" w:w="125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Authorized senior workforce/organizational data; investigations/legal cases remain need-to-know.</w:t>
            </w:r>
          </w:p>
        </w:tc>
        <w:tc>
          <w:tcPr>
            <w:tcW w:type="dxa" w:w="125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Executive security posture, risk, incidents and authorization summaries; no automatic raw secret/private-key access.</w:t>
            </w:r>
          </w:p>
        </w:tc>
        <w:tc>
          <w:tcPr>
            <w:tcW w:type="dxa" w:w="125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Material legal/compliance risk summaries; privileged/legal records only as authorized.</w:t>
            </w:r>
          </w:p>
        </w:tc>
        <w:tc>
          <w:tcPr>
            <w:tcW w:type="dxa" w:w="125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Approved strategic priority metadata; eligible enterprise program ownership/status; selected executive workflow records; own permitted profile.</w:t>
            </w:r>
          </w:p>
        </w:tc>
        <w:tc>
          <w:tcPr>
            <w:tcW w:type="dxa" w:w="125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Eligible executive decisions within delegated limits after strong verification, explicit confirmation and any required co-approval.</w:t>
            </w:r>
          </w:p>
        </w:tc>
        <w:tc>
          <w:tcPr>
            <w:tcW w:type="dxa" w:w="125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Board-reserved transactions; major acquisitions; Board appointments; extraordinary capital actions; changes to governance.</w:t>
            </w:r>
          </w:p>
        </w:tc>
        <w:tc>
          <w:tcPr>
            <w:tcW w:type="dxa" w:w="125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CEO appointment/removal; own compensation; major M&amp;A; extraordinary financing; Board composition; certain material corporate transactions.</w:t>
            </w:r>
          </w:p>
        </w:tc>
        <w:tc>
          <w:tcPr>
            <w:tcW w:type="dxa" w:w="125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Material spending, capital commitments, financial-control exceptions and transactions exceeding delegated threshold.</w:t>
            </w:r>
          </w:p>
        </w:tc>
        <w:tc>
          <w:tcPr>
            <w:tcW w:type="dxa" w:w="125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Material contracts, litigation-sensitive actions, M&amp;A documentation, regulated commitments and exceptional employment actions.</w:t>
            </w:r>
          </w:p>
        </w:tc>
        <w:tc>
          <w:tcPr>
            <w:tcW w:type="dxa" w:w="125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Own compensation; certain executive compensation; protected employment processes; succession/governance actions.</w:t>
            </w:r>
          </w:p>
        </w:tc>
        <w:tc>
          <w:tcPr>
            <w:tcW w:type="dxa" w:w="125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Can activate defined enterprise crisis/continuity governance and direct business response within emergency policy.</w:t>
            </w:r>
          </w:p>
        </w:tc>
        <w:tc>
          <w:tcPr>
            <w:tcW w:type="dxa" w:w="125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Emergency status does not authorize evidence deletion, credential disclosure, self-elevation or bypass of mandatory identity controls.</w:t>
            </w:r>
          </w:p>
        </w:tc>
        <w:tc>
          <w:tcPr>
            <w:tcW w:type="dxa" w:w="125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Ultimate management accountability for enterprise strategic, operational, financial, people, technology and reputational risk subject to Board oversight.</w:t>
            </w:r>
          </w:p>
        </w:tc>
        <w:tc>
          <w:tcPr>
            <w:tcW w:type="dxa" w:w="125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Ensures management controls, transparent decision records and remediation of material governance findings.</w:t>
            </w:r>
          </w:p>
        </w:tc>
        <w:tc>
          <w:tcPr>
            <w:tcW w:type="dxa" w:w="125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May represent company to customers, partners, regulators/investors as authorized; confidential disclosures remain controlled.</w:t>
            </w:r>
          </w:p>
        </w:tc>
      </w:tr>
    </w:tbl>
    <w:p>
      <w:r>
        <w:br w:type="page"/>
      </w:r>
    </w:p>
    <w:p>
      <w:pPr>
        <w:pStyle w:val="Heading1"/>
      </w:pPr>
      <w:r>
        <w:t>Table 5 - Separation of Duties, Immutable Security Controls and IntentLock Demo Activity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9"/>
        <w:gridCol w:w="1889"/>
        <w:gridCol w:w="1889"/>
        <w:gridCol w:w="1889"/>
        <w:gridCol w:w="1889"/>
        <w:gridCol w:w="1889"/>
        <w:gridCol w:w="1889"/>
        <w:gridCol w:w="1889"/>
        <w:gridCol w:w="1889"/>
        <w:gridCol w:w="1889"/>
        <w:gridCol w:w="1889"/>
        <w:gridCol w:w="1889"/>
      </w:tblGrid>
      <w:tr>
        <w:tc>
          <w:tcPr>
            <w:tcW w:type="dxa" w:w="1889"/>
            <w:shd w:fill="1F4E78"/>
          </w:tcPr>
          <w:p>
            <w:r>
              <w:rPr>
                <w:b/>
                <w:color w:val="FFFFFF"/>
                <w:sz w:val="12"/>
              </w:rPr>
              <w:t>Executive ID</w:t>
            </w:r>
          </w:p>
        </w:tc>
        <w:tc>
          <w:tcPr>
            <w:tcW w:type="dxa" w:w="1889"/>
            <w:shd w:fill="1F4E78"/>
          </w:tcPr>
          <w:p>
            <w:r>
              <w:rPr>
                <w:b/>
                <w:color w:val="FFFFFF"/>
                <w:sz w:val="12"/>
              </w:rPr>
              <w:t>Full Name</w:t>
            </w:r>
          </w:p>
        </w:tc>
        <w:tc>
          <w:tcPr>
            <w:tcW w:type="dxa" w:w="1889"/>
            <w:shd w:fill="1F4E78"/>
          </w:tcPr>
          <w:p>
            <w:r>
              <w:rPr>
                <w:b/>
                <w:color w:val="FFFFFF"/>
                <w:sz w:val="12"/>
              </w:rPr>
              <w:t>Separation of Duties</w:t>
            </w:r>
          </w:p>
        </w:tc>
        <w:tc>
          <w:tcPr>
            <w:tcW w:type="dxa" w:w="1889"/>
            <w:shd w:fill="1F4E78"/>
          </w:tcPr>
          <w:p>
            <w:r>
              <w:rPr>
                <w:b/>
                <w:color w:val="FFFFFF"/>
                <w:sz w:val="12"/>
              </w:rPr>
              <w:t>Self-Elevation Restriction</w:t>
            </w:r>
          </w:p>
        </w:tc>
        <w:tc>
          <w:tcPr>
            <w:tcW w:type="dxa" w:w="1889"/>
            <w:shd w:fill="1F4E78"/>
          </w:tcPr>
          <w:p>
            <w:r>
              <w:rPr>
                <w:b/>
                <w:color w:val="FFFFFF"/>
                <w:sz w:val="12"/>
              </w:rPr>
              <w:t>Immutable Controls</w:t>
            </w:r>
          </w:p>
        </w:tc>
        <w:tc>
          <w:tcPr>
            <w:tcW w:type="dxa" w:w="1889"/>
            <w:shd w:fill="1F4E78"/>
          </w:tcPr>
          <w:p>
            <w:r>
              <w:rPr>
                <w:b/>
                <w:color w:val="FFFFFF"/>
                <w:sz w:val="12"/>
              </w:rPr>
              <w:t>Cannot View</w:t>
            </w:r>
          </w:p>
        </w:tc>
        <w:tc>
          <w:tcPr>
            <w:tcW w:type="dxa" w:w="1889"/>
            <w:shd w:fill="1F4E78"/>
          </w:tcPr>
          <w:p>
            <w:r>
              <w:rPr>
                <w:b/>
                <w:color w:val="FFFFFF"/>
                <w:sz w:val="12"/>
              </w:rPr>
              <w:t>Cannot Perform</w:t>
            </w:r>
          </w:p>
        </w:tc>
        <w:tc>
          <w:tcPr>
            <w:tcW w:type="dxa" w:w="1889"/>
            <w:shd w:fill="1F4E78"/>
          </w:tcPr>
          <w:p>
            <w:r>
              <w:rPr>
                <w:b/>
                <w:color w:val="FFFFFF"/>
                <w:sz w:val="12"/>
              </w:rPr>
              <w:t>High-Risk Voice Actions</w:t>
            </w:r>
          </w:p>
        </w:tc>
        <w:tc>
          <w:tcPr>
            <w:tcW w:type="dxa" w:w="1889"/>
            <w:shd w:fill="1F4E78"/>
          </w:tcPr>
          <w:p>
            <w:r>
              <w:rPr>
                <w:b/>
                <w:color w:val="FFFFFF"/>
                <w:sz w:val="12"/>
              </w:rPr>
              <w:t>IntentLock Security Rule</w:t>
            </w:r>
          </w:p>
        </w:tc>
        <w:tc>
          <w:tcPr>
            <w:tcW w:type="dxa" w:w="1889"/>
            <w:shd w:fill="1F4E78"/>
          </w:tcPr>
          <w:p>
            <w:r>
              <w:rPr>
                <w:b/>
                <w:color w:val="FFFFFF"/>
                <w:sz w:val="12"/>
              </w:rPr>
              <w:t>Example Allowed Voice Commands</w:t>
            </w:r>
          </w:p>
        </w:tc>
        <w:tc>
          <w:tcPr>
            <w:tcW w:type="dxa" w:w="1889"/>
            <w:shd w:fill="1F4E78"/>
          </w:tcPr>
          <w:p>
            <w:r>
              <w:rPr>
                <w:b/>
                <w:color w:val="FFFFFF"/>
                <w:sz w:val="12"/>
              </w:rPr>
              <w:t>Example Denied Voice Commands</w:t>
            </w:r>
          </w:p>
        </w:tc>
        <w:tc>
          <w:tcPr>
            <w:tcW w:type="dxa" w:w="1889"/>
            <w:shd w:fill="1F4E78"/>
          </w:tcPr>
          <w:p>
            <w:r>
              <w:rPr>
                <w:b/>
                <w:color w:val="FFFFFF"/>
                <w:sz w:val="12"/>
              </w:rPr>
              <w:t>Recent Executive Activity</w:t>
            </w:r>
          </w:p>
        </w:tc>
      </w:tr>
      <w:tr>
        <w:tc>
          <w:tcPr>
            <w:tcW w:type="dxa" w:w="188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EXE-0001</w:t>
            </w:r>
          </w:p>
        </w:tc>
        <w:tc>
          <w:tcPr>
            <w:tcW w:type="dxa" w:w="188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Ishaan Mehta</w:t>
            </w:r>
          </w:p>
        </w:tc>
        <w:tc>
          <w:tcPr>
            <w:tcW w:type="dxa" w:w="188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CEO cannot be sole requester and approver where independent Board, Finance, Legal, HR, Security or system-owner approval is required.</w:t>
            </w:r>
          </w:p>
        </w:tc>
        <w:tc>
          <w:tcPr>
            <w:tcW w:type="dxa" w:w="188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Cannot alter own role, compensation, signing limits, system privileges or security exemptions through IntentLock.</w:t>
            </w:r>
          </w:p>
        </w:tc>
        <w:tc>
          <w:tcPr>
            <w:tcW w:type="dxa" w:w="188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Audit history, signed authorization evidence, replay/expiry checks, mandatory verification and independent approval requirements cannot be disabled by CEO voice request.</w:t>
            </w:r>
          </w:p>
        </w:tc>
        <w:tc>
          <w:tcPr>
            <w:tcW w:type="dxa" w:w="188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Raw private keys; API/provider secrets by default; credentials unrelated to CEO business purpose; legally segregated records without authorization.</w:t>
            </w:r>
          </w:p>
        </w:tc>
        <w:tc>
          <w:tcPr>
            <w:tcW w:type="dxa" w:w="188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Delete/alter immutable audit; forge Board approval; bypass speaker verification; reuse expired grants; self-approve compensation; arbitrary database/system commands.</w:t>
            </w:r>
          </w:p>
        </w:tc>
        <w:tc>
          <w:tcPr>
            <w:tcW w:type="dxa" w:w="188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Major restructuring; senior termination; material capital allocation; crisis activation; strategic transaction; exceptional access decision.</w:t>
            </w:r>
          </w:p>
        </w:tc>
        <w:tc>
          <w:tcPr>
            <w:tcW w:type="dxa" w:w="188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Every protected CEO request must still pass voice authenticity, speaker verification, trusted-agent authentication, exact action/resource authorization, parameter integrity, expiry/replay checks and required independent approvals.</w:t>
            </w:r>
          </w:p>
        </w:tc>
        <w:tc>
          <w:tcPr>
            <w:tcW w:type="dxa" w:w="188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Approve an eligible enterprise program change; approve delegated resource allocation; review executive risk summary; approve an authorized executive transfer.</w:t>
            </w:r>
          </w:p>
        </w:tc>
        <w:tc>
          <w:tcPr>
            <w:tcW w:type="dxa" w:w="188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Increase my own compensation; delete the Board audit trail; reveal private signing keys; disable speaker verification; make my account unrestricted super-admin.</w:t>
            </w:r>
          </w:p>
        </w:tc>
        <w:tc>
          <w:tcPr>
            <w:tcW w:type="dxa" w:w="188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01 Oct 2026 - reviewed enterprise performance; 03 Oct - approved delegated investment; 06 Oct - reviewed executive succession; 09 Oct - escalated Board-reserved transaction; 12 Oct - reviewed cyber-risk summary; 14 Oct - approved enterprise program change.</w:t>
            </w:r>
          </w:p>
        </w:tc>
      </w:tr>
    </w:tbl>
    <w:p>
      <w:r>
        <w:br w:type="page"/>
      </w:r>
    </w:p>
    <w:p>
      <w:pPr>
        <w:pStyle w:val="Heading1"/>
      </w:pPr>
      <w:r>
        <w:t>Voice-Agent Questions Supported</w:t>
      </w:r>
    </w:p>
    <w:p>
      <w:pPr>
        <w:pStyle w:val="ListBullet"/>
      </w:pPr>
      <w:r>
        <w:t>Give me my complete CEO career and executive profile.</w:t>
      </w:r>
    </w:p>
    <w:p>
      <w:pPr>
        <w:pStyle w:val="ListBullet"/>
      </w:pPr>
      <w:r>
        <w:t>Which executives report directly to me?</w:t>
      </w:r>
    </w:p>
    <w:p>
      <w:pPr>
        <w:pStyle w:val="ListBullet"/>
      </w:pPr>
      <w:r>
        <w:t>What Board-reserved matters can I not approve alone?</w:t>
      </w:r>
    </w:p>
    <w:p>
      <w:pPr>
        <w:pStyle w:val="ListBullet"/>
      </w:pPr>
      <w:r>
        <w:t>What financial, headcount, compensation and M&amp;A authority do I have?</w:t>
      </w:r>
    </w:p>
    <w:p>
      <w:pPr>
        <w:pStyle w:val="ListBullet"/>
      </w:pPr>
      <w:r>
        <w:t>What crisis powers do I have and what limits remain?</w:t>
      </w:r>
    </w:p>
    <w:p>
      <w:pPr>
        <w:pStyle w:val="ListBullet"/>
      </w:pPr>
      <w:r>
        <w:t>Can I approve my own compensation or system privileges?</w:t>
      </w:r>
    </w:p>
    <w:p>
      <w:pPr>
        <w:pStyle w:val="ListBullet"/>
      </w:pPr>
      <w:r>
        <w:t>What data can I view and what secrets remain prohibited?</w:t>
      </w:r>
    </w:p>
    <w:p>
      <w:pPr>
        <w:pStyle w:val="ListBullet"/>
      </w:pPr>
      <w:r>
        <w:t>Show my recent executive decisions and high-risk activity.</w:t>
      </w:r>
    </w:p>
    <w:p>
      <w:pPr>
        <w:pStyle w:val="Heading1"/>
      </w:pPr>
      <w:r>
        <w:t>Implementation Note</w:t>
      </w:r>
    </w:p>
    <w:p>
      <w:r>
        <w:t>Normalize CEO data into executive_roles, board_governance, reporting_relationships, employment_history, enterprise_priorities, financial_authority, signing_limits, headcount_authority, compensation_authority, board_reserved_matters, crisis_authority, approval_dependencies, separation_of_duties, resource_scopes, authorization_grants and immutable audit_events. CEO must never map to unconditional system superuser.</w:t>
      </w:r>
    </w:p>
    <w:sectPr w:rsidR="00FC693F" w:rsidRPr="0006063C" w:rsidSect="00034616">
      <w:pgSz w:w="23760" w:h="16848" w:orient="landscape"/>
      <w:pgMar w:top="547" w:right="547" w:bottom="547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