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IntentLock - Chief Technology Officer (CTO) Detailed Profile</w:t>
      </w:r>
    </w:p>
    <w:p>
      <w:pPr>
        <w:jc w:val="center"/>
      </w:pPr>
      <w:r>
        <w:rPr>
          <w:i/>
        </w:rPr>
        <w:t>Comprehensive fictional CTO dataset with technology strategy, architecture, R&amp;D/AI governance, incident authority and IntentLock security boundaries</w:t>
      </w:r>
    </w:p>
    <w:p>
      <w:pPr>
        <w:jc w:val="center"/>
      </w:pPr>
      <w:r>
        <w:rPr>
          <w:b/>
        </w:rPr>
        <w:t>DEMO DATA ONLY - all identities, organizations, employers, programs, emails and histories are fictional.</w:t>
      </w:r>
    </w:p>
    <w:p>
      <w:r>
        <w:t>This role has broad enterprise authority but is not an unconditional security superuser. IntentLock independently enforces identity verification, exact resource/action scope, approval dependencies, separation of duties, replay protection and immutable audit controls.</w:t>
      </w:r>
    </w:p>
    <w:p>
      <w:pPr>
        <w:pStyle w:val="Heading1"/>
      </w:pPr>
      <w:r>
        <w:t>Table 1 - CTO Identity, Reporting, Experience, Education and Technology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Executive ID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Full Name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Preferred Name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Role / Designation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Company Level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Department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Executive Function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Employment Type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Employment Status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Primary Location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Work Mode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Date of Appointment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Total Professional Experience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Executive Leadership Experience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Reports To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Direct Executive Reports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Enterprise Span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Work Email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Highest Qualification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Other Education</w:t>
            </w:r>
          </w:p>
        </w:tc>
        <w:tc>
          <w:tcPr>
            <w:tcW w:type="dxa" w:w="1079"/>
            <w:shd w:fill="1F4E78"/>
          </w:tcPr>
          <w:p>
            <w:r>
              <w:rPr>
                <w:b/>
                <w:color w:val="FFFFFF"/>
                <w:sz w:val="12"/>
              </w:rPr>
              <w:t>Board Relationship</w:t>
            </w:r>
          </w:p>
        </w:tc>
      </w:tr>
      <w:tr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EMP-4002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Arvind Rao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Arvind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Chief Technology Officer (CTO)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L5/L6 - Chief Technology Executive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Executive Management / Technology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Technology Strategy, Engineering &amp; AI Governance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Full-Time Executive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Active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Bengaluru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Executive Hybrid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15 May 2019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21 years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10 years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CEO / Board for delegated technology matters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Director of Engineering; enterprise architecture leadership; AI/R&amp;D leadership; selected technology program heads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Engineering, architecture, AI/R&amp;D strategy and strategic technology programs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arvind.rao@intentlock-demo.example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M.S. Computer Science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B.Tech Computer Engineering</w:t>
            </w:r>
          </w:p>
        </w:tc>
        <w:tc>
          <w:tcPr>
            <w:tcW w:type="dxa" w:w="107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Presents technology strategy, cyber/technology risk, major architecture and investment recommendations to CEO/Board.</w:t>
            </w:r>
          </w:p>
        </w:tc>
      </w:tr>
    </w:tbl>
    <w:p>
      <w:r>
        <w:br w:type="page"/>
      </w:r>
    </w:p>
    <w:p>
      <w:pPr>
        <w:pStyle w:val="Heading1"/>
      </w:pPr>
      <w:r>
        <w:t>Table 2 - CTO Career, Previous Work, Technology Programs and Governance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shd w:fill="1F4E78"/>
          </w:tcPr>
          <w:p>
            <w:r>
              <w:rPr>
                <w:b/>
                <w:color w:val="FFFFFF"/>
                <w:sz w:val="12"/>
              </w:rPr>
              <w:t>Executive ID</w:t>
            </w:r>
          </w:p>
        </w:tc>
        <w:tc>
          <w:tcPr>
            <w:tcW w:type="dxa" w:w="1511"/>
            <w:shd w:fill="1F4E78"/>
          </w:tcPr>
          <w:p>
            <w:r>
              <w:rPr>
                <w:b/>
                <w:color w:val="FFFFFF"/>
                <w:sz w:val="12"/>
              </w:rPr>
              <w:t>Full Name</w:t>
            </w:r>
          </w:p>
        </w:tc>
        <w:tc>
          <w:tcPr>
            <w:tcW w:type="dxa" w:w="1511"/>
            <w:shd w:fill="1F4E78"/>
          </w:tcPr>
          <w:p>
            <w:r>
              <w:rPr>
                <w:b/>
                <w:color w:val="FFFFFF"/>
                <w:sz w:val="12"/>
              </w:rPr>
              <w:t>Professional Summary</w:t>
            </w:r>
          </w:p>
        </w:tc>
        <w:tc>
          <w:tcPr>
            <w:tcW w:type="dxa" w:w="1511"/>
            <w:shd w:fill="1F4E78"/>
          </w:tcPr>
          <w:p>
            <w:r>
              <w:rPr>
                <w:b/>
                <w:color w:val="FFFFFF"/>
                <w:sz w:val="12"/>
              </w:rPr>
              <w:t>Career Progression</w:t>
            </w:r>
          </w:p>
        </w:tc>
        <w:tc>
          <w:tcPr>
            <w:tcW w:type="dxa" w:w="1511"/>
            <w:shd w:fill="1F4E78"/>
          </w:tcPr>
          <w:p>
            <w:r>
              <w:rPr>
                <w:b/>
                <w:color w:val="FFFFFF"/>
                <w:sz w:val="12"/>
              </w:rPr>
              <w:t>Previous Organizations</w:t>
            </w:r>
          </w:p>
        </w:tc>
        <w:tc>
          <w:tcPr>
            <w:tcW w:type="dxa" w:w="1511"/>
            <w:shd w:fill="1F4E78"/>
          </w:tcPr>
          <w:p>
            <w:r>
              <w:rPr>
                <w:b/>
                <w:color w:val="FFFFFF"/>
                <w:sz w:val="12"/>
              </w:rPr>
              <w:t>Earlier Career Responsibilities</w:t>
            </w:r>
          </w:p>
        </w:tc>
        <w:tc>
          <w:tcPr>
            <w:tcW w:type="dxa" w:w="1511"/>
            <w:shd w:fill="1F4E78"/>
          </w:tcPr>
          <w:p>
            <w:r>
              <w:rPr>
                <w:b/>
                <w:color w:val="FFFFFF"/>
                <w:sz w:val="12"/>
              </w:rPr>
              <w:t>CTO Appointment History</w:t>
            </w:r>
          </w:p>
        </w:tc>
        <w:tc>
          <w:tcPr>
            <w:tcW w:type="dxa" w:w="1511"/>
            <w:shd w:fill="1F4E78"/>
          </w:tcPr>
          <w:p>
            <w:r>
              <w:rPr>
                <w:b/>
                <w:color w:val="FFFFFF"/>
                <w:sz w:val="12"/>
              </w:rPr>
              <w:t>Major Past Programs</w:t>
            </w:r>
          </w:p>
        </w:tc>
        <w:tc>
          <w:tcPr>
            <w:tcW w:type="dxa" w:w="1511"/>
            <w:shd w:fill="1F4E78"/>
          </w:tcPr>
          <w:p>
            <w:r>
              <w:rPr>
                <w:b/>
                <w:color w:val="FFFFFF"/>
                <w:sz w:val="12"/>
              </w:rPr>
              <w:t>Current Technology Priorities</w:t>
            </w:r>
          </w:p>
        </w:tc>
        <w:tc>
          <w:tcPr>
            <w:tcW w:type="dxa" w:w="1511"/>
            <w:shd w:fill="1F4E78"/>
          </w:tcPr>
          <w:p>
            <w:r>
              <w:rPr>
                <w:b/>
                <w:color w:val="FFFFFF"/>
                <w:sz w:val="12"/>
              </w:rPr>
              <w:t>Technology Strategy Responsibility</w:t>
            </w:r>
          </w:p>
        </w:tc>
        <w:tc>
          <w:tcPr>
            <w:tcW w:type="dxa" w:w="1511"/>
            <w:shd w:fill="1F4E78"/>
          </w:tcPr>
          <w:p>
            <w:r>
              <w:rPr>
                <w:b/>
                <w:color w:val="FFFFFF"/>
                <w:sz w:val="12"/>
              </w:rPr>
              <w:t>Architecture Authority</w:t>
            </w:r>
          </w:p>
        </w:tc>
        <w:tc>
          <w:tcPr>
            <w:tcW w:type="dxa" w:w="1511"/>
            <w:shd w:fill="1F4E78"/>
          </w:tcPr>
          <w:p>
            <w:r>
              <w:rPr>
                <w:b/>
                <w:color w:val="FFFFFF"/>
                <w:sz w:val="12"/>
              </w:rPr>
              <w:t>Engineering Governance</w:t>
            </w:r>
          </w:p>
        </w:tc>
        <w:tc>
          <w:tcPr>
            <w:tcW w:type="dxa" w:w="1511"/>
            <w:shd w:fill="1F4E78"/>
          </w:tcPr>
          <w:p>
            <w:r>
              <w:rPr>
                <w:b/>
                <w:color w:val="FFFFFF"/>
                <w:sz w:val="12"/>
              </w:rPr>
              <w:t>R&amp;D Governance</w:t>
            </w:r>
          </w:p>
        </w:tc>
        <w:tc>
          <w:tcPr>
            <w:tcW w:type="dxa" w:w="1511"/>
            <w:shd w:fill="1F4E78"/>
          </w:tcPr>
          <w:p>
            <w:r>
              <w:rPr>
                <w:b/>
                <w:color w:val="FFFFFF"/>
                <w:sz w:val="12"/>
              </w:rPr>
              <w:t>AI / Agent Governance</w:t>
            </w:r>
          </w:p>
        </w:tc>
        <w:tc>
          <w:tcPr>
            <w:tcW w:type="dxa" w:w="1511"/>
            <w:shd w:fill="1F4E78"/>
          </w:tcPr>
          <w:p>
            <w:r>
              <w:rPr>
                <w:b/>
                <w:color w:val="FFFFFF"/>
                <w:sz w:val="12"/>
              </w:rPr>
              <w:t>Technical Debt Governance</w:t>
            </w:r>
          </w:p>
        </w:tc>
      </w:tr>
      <w:tr>
        <w:tc>
          <w:tcPr>
            <w:tcW w:type="dxa" w:w="1511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EMP-4002</w:t>
            </w:r>
          </w:p>
        </w:tc>
        <w:tc>
          <w:tcPr>
            <w:tcW w:type="dxa" w:w="1511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Arvind Rao</w:t>
            </w:r>
          </w:p>
        </w:tc>
        <w:tc>
          <w:tcPr>
            <w:tcW w:type="dxa" w:w="1511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Chief technology executive responsible for technology vision, engineering strategy, architecture, R&amp;D direction, AI/agent governance and strategic technology investment.</w:t>
            </w:r>
          </w:p>
        </w:tc>
        <w:tc>
          <w:tcPr>
            <w:tcW w:type="dxa" w:w="1511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Software Engineer -&gt; Principal Engineer -&gt; Architect -&gt; Engineering Director -&gt; VP Engineering -&gt; CTO.</w:t>
            </w:r>
          </w:p>
        </w:tc>
        <w:tc>
          <w:tcPr>
            <w:tcW w:type="dxa" w:w="1511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CodeCore Demo - Software/Principal Engineer; ScaleTech Demo - Architect/Engineering Director; IntentLock Demo Company - VP Engineering/CTO.</w:t>
            </w:r>
          </w:p>
        </w:tc>
        <w:tc>
          <w:tcPr>
            <w:tcW w:type="dxa" w:w="1511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Distributed systems; platform architecture; engineering management; cloud modernization; technical hiring; reliability and R&amp;D sponsorship.</w:t>
            </w:r>
          </w:p>
        </w:tc>
        <w:tc>
          <w:tcPr>
            <w:tcW w:type="dxa" w:w="1511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Promoted from VP Engineering after leading platform modernization and building senior engineering leadership.</w:t>
            </w:r>
          </w:p>
        </w:tc>
        <w:tc>
          <w:tcPr>
            <w:tcW w:type="dxa" w:w="1511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Cloud Migration; Platform Rearchitecture; Developer Platform; Data/AI Foundation; Engineering Scale Program; Secure SDLC Modernization.</w:t>
            </w:r>
          </w:p>
        </w:tc>
        <w:tc>
          <w:tcPr>
            <w:tcW w:type="dxa" w:w="1511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Secure AI agents; platform reliability; architecture simplification; developer productivity; R&amp;D acceleration; responsible AI governance.</w:t>
            </w:r>
          </w:p>
        </w:tc>
        <w:tc>
          <w:tcPr>
            <w:tcW w:type="dxa" w:w="1511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Defines multi-year technology direction aligned with enterprise strategy and investment constraints.</w:t>
            </w:r>
          </w:p>
        </w:tc>
        <w:tc>
          <w:tcPr>
            <w:tcW w:type="dxa" w:w="1511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Owns architecture principles and exception governance; individual production changes still follow change/security controls.</w:t>
            </w:r>
          </w:p>
        </w:tc>
        <w:tc>
          <w:tcPr>
            <w:tcW w:type="dxa" w:w="1511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Sets engineering standards, technical review expectations, reliability goals and technology operating cadence.</w:t>
            </w:r>
          </w:p>
        </w:tc>
        <w:tc>
          <w:tcPr>
            <w:tcW w:type="dxa" w:w="1511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Sponsors research portfolio, approves delegated R&amp;D direction and ensures IP/security/ethics review processes.</w:t>
            </w:r>
          </w:p>
        </w:tc>
        <w:tc>
          <w:tcPr>
            <w:tcW w:type="dxa" w:w="1511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Owns technical governance for AI/agent adoption, evaluation, model/tool risk and secure execution architecture.</w:t>
            </w:r>
          </w:p>
        </w:tc>
        <w:tc>
          <w:tcPr>
            <w:tcW w:type="dxa" w:w="1511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Prioritizes enterprise technical-debt programs and balances modernization against product delivery.</w:t>
            </w:r>
          </w:p>
        </w:tc>
      </w:tr>
    </w:tbl>
    <w:p>
      <w:r>
        <w:br w:type="page"/>
      </w:r>
    </w:p>
    <w:p>
      <w:pPr>
        <w:pStyle w:val="Heading1"/>
      </w:pPr>
      <w:r>
        <w:t>Table 3 - Technology Budget, Headcount, R&amp;D, Vendor, Model and Deployment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Executive ID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Full Name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Financial Authority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Technology Budget Authority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Headcount Authority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Senior Technical Hiring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Promotion Authority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Compensation Authority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Project / Portfolio Authority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R&amp;D Investment Authority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Vendor / Cloud Authority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Open Source Release Authority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Model Release Authority</w:t>
            </w:r>
          </w:p>
        </w:tc>
        <w:tc>
          <w:tcPr>
            <w:tcW w:type="dxa" w:w="1619"/>
            <w:shd w:fill="1F4E78"/>
          </w:tcPr>
          <w:p>
            <w:r>
              <w:rPr>
                <w:b/>
                <w:color w:val="FFFFFF"/>
                <w:sz w:val="12"/>
              </w:rPr>
              <w:t>Production Deployment Authority</w:t>
            </w:r>
          </w:p>
        </w:tc>
      </w:tr>
      <w:tr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EMP-4002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Arvind Rao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Can approve delegated technology/R&amp;D spend within budget and signing limits; material commitments require Finance/CEO/Board.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Owns technology investment proposal and delegated reallocations across engineering/R&amp;D/platform.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Approves many technology requisitions within workforce plan; major expansion/restructuring requires CEO/Finance/HR.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Can approve senior technical hires within delegation; C-suite/Board-level roles follow higher governance.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Can approve eligible senior technical promotions after HR/process checks; cannot self-promote.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Delegated technical compensation authority within bands; own/executive exceptions require independent governance.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Can start/stop/reprioritize eligible technology programs and reallocate approved technical capacity.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Can approve delegated research compute/tools/projects; material research spend and external commitments require review.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Can approve technology vendors/cloud commitments within signing limits after Procurement/Security/Legal/Finance review.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Can approve eligible open-source release after IP/security/legal review; cannot publish confidential code solely by voice.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Can approve release only after required model safety, security, IP, privacy and legal reviews; voice alone is insufficient.</w:t>
            </w:r>
          </w:p>
        </w:tc>
        <w:tc>
          <w:tcPr>
            <w:tcW w:type="dxa" w:w="161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Strategic authority does not equal direct production shell/admin authority; deployments follow controlled engineering executor.</w:t>
            </w:r>
          </w:p>
        </w:tc>
      </w:tr>
    </w:tbl>
    <w:p>
      <w:r>
        <w:br w:type="page"/>
      </w:r>
    </w:p>
    <w:p>
      <w:pPr>
        <w:pStyle w:val="Heading1"/>
      </w:pPr>
      <w:r>
        <w:t>Table 4 - Technology Visibility, Approval Dependencies, Incident Authority and Risk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3"/>
        <w:gridCol w:w="1333"/>
        <w:gridCol w:w="1333"/>
        <w:gridCol w:w="1333"/>
        <w:gridCol w:w="1333"/>
        <w:gridCol w:w="1333"/>
        <w:gridCol w:w="1333"/>
        <w:gridCol w:w="1333"/>
        <w:gridCol w:w="1333"/>
        <w:gridCol w:w="1333"/>
        <w:gridCol w:w="1333"/>
        <w:gridCol w:w="1333"/>
        <w:gridCol w:w="1333"/>
        <w:gridCol w:w="1333"/>
        <w:gridCol w:w="1333"/>
        <w:gridCol w:w="1333"/>
        <w:gridCol w:w="1333"/>
      </w:tblGrid>
      <w:tr>
        <w:tc>
          <w:tcPr>
            <w:tcW w:type="dxa" w:w="1333"/>
            <w:shd w:fill="1F4E78"/>
          </w:tcPr>
          <w:p>
            <w:r>
              <w:rPr>
                <w:b/>
                <w:color w:val="FFFFFF"/>
                <w:sz w:val="12"/>
              </w:rPr>
              <w:t>Executive ID</w:t>
            </w:r>
          </w:p>
        </w:tc>
        <w:tc>
          <w:tcPr>
            <w:tcW w:type="dxa" w:w="1333"/>
            <w:shd w:fill="1F4E78"/>
          </w:tcPr>
          <w:p>
            <w:r>
              <w:rPr>
                <w:b/>
                <w:color w:val="FFFFFF"/>
                <w:sz w:val="12"/>
              </w:rPr>
              <w:t>Full Name</w:t>
            </w:r>
          </w:p>
        </w:tc>
        <w:tc>
          <w:tcPr>
            <w:tcW w:type="dxa" w:w="1333"/>
            <w:shd w:fill="1F4E78"/>
          </w:tcPr>
          <w:p>
            <w:r>
              <w:rPr>
                <w:b/>
                <w:color w:val="FFFFFF"/>
                <w:sz w:val="12"/>
              </w:rPr>
              <w:t>Enterprise Technology Visibility</w:t>
            </w:r>
          </w:p>
        </w:tc>
        <w:tc>
          <w:tcPr>
            <w:tcW w:type="dxa" w:w="1333"/>
            <w:shd w:fill="1F4E78"/>
          </w:tcPr>
          <w:p>
            <w:r>
              <w:rPr>
                <w:b/>
                <w:color w:val="FFFFFF"/>
                <w:sz w:val="12"/>
              </w:rPr>
              <w:t>Source Code Visibility</w:t>
            </w:r>
          </w:p>
        </w:tc>
        <w:tc>
          <w:tcPr>
            <w:tcW w:type="dxa" w:w="1333"/>
            <w:shd w:fill="1F4E78"/>
          </w:tcPr>
          <w:p>
            <w:r>
              <w:rPr>
                <w:b/>
                <w:color w:val="FFFFFF"/>
                <w:sz w:val="12"/>
              </w:rPr>
              <w:t>Security Visibility</w:t>
            </w:r>
          </w:p>
        </w:tc>
        <w:tc>
          <w:tcPr>
            <w:tcW w:type="dxa" w:w="1333"/>
            <w:shd w:fill="1F4E78"/>
          </w:tcPr>
          <w:p>
            <w:r>
              <w:rPr>
                <w:b/>
                <w:color w:val="FFFFFF"/>
                <w:sz w:val="12"/>
              </w:rPr>
              <w:t>R&amp;D / IP Visibility</w:t>
            </w:r>
          </w:p>
        </w:tc>
        <w:tc>
          <w:tcPr>
            <w:tcW w:type="dxa" w:w="1333"/>
            <w:shd w:fill="1F4E78"/>
          </w:tcPr>
          <w:p>
            <w:r>
              <w:rPr>
                <w:b/>
                <w:color w:val="FFFFFF"/>
                <w:sz w:val="12"/>
              </w:rPr>
              <w:t>Can Modify by Voice</w:t>
            </w:r>
          </w:p>
        </w:tc>
        <w:tc>
          <w:tcPr>
            <w:tcW w:type="dxa" w:w="1333"/>
            <w:shd w:fill="1F4E78"/>
          </w:tcPr>
          <w:p>
            <w:r>
              <w:rPr>
                <w:b/>
                <w:color w:val="FFFFFF"/>
                <w:sz w:val="12"/>
              </w:rPr>
              <w:t>Can Approve by Voice</w:t>
            </w:r>
          </w:p>
        </w:tc>
        <w:tc>
          <w:tcPr>
            <w:tcW w:type="dxa" w:w="1333"/>
            <w:shd w:fill="1F4E78"/>
          </w:tcPr>
          <w:p>
            <w:r>
              <w:rPr>
                <w:b/>
                <w:color w:val="FFFFFF"/>
                <w:sz w:val="12"/>
              </w:rPr>
              <w:t>Can Recommend by Voice</w:t>
            </w:r>
          </w:p>
        </w:tc>
        <w:tc>
          <w:tcPr>
            <w:tcW w:type="dxa" w:w="1333"/>
            <w:shd w:fill="1F4E78"/>
          </w:tcPr>
          <w:p>
            <w:r>
              <w:rPr>
                <w:b/>
                <w:color w:val="FFFFFF"/>
                <w:sz w:val="12"/>
              </w:rPr>
              <w:t>Requires CEO / Board Approval</w:t>
            </w:r>
          </w:p>
        </w:tc>
        <w:tc>
          <w:tcPr>
            <w:tcW w:type="dxa" w:w="1333"/>
            <w:shd w:fill="1F4E78"/>
          </w:tcPr>
          <w:p>
            <w:r>
              <w:rPr>
                <w:b/>
                <w:color w:val="FFFFFF"/>
                <w:sz w:val="12"/>
              </w:rPr>
              <w:t>Requires Finance / Procurement</w:t>
            </w:r>
          </w:p>
        </w:tc>
        <w:tc>
          <w:tcPr>
            <w:tcW w:type="dxa" w:w="1333"/>
            <w:shd w:fill="1F4E78"/>
          </w:tcPr>
          <w:p>
            <w:r>
              <w:rPr>
                <w:b/>
                <w:color w:val="FFFFFF"/>
                <w:sz w:val="12"/>
              </w:rPr>
              <w:t>Requires Security / Privacy / Legal</w:t>
            </w:r>
          </w:p>
        </w:tc>
        <w:tc>
          <w:tcPr>
            <w:tcW w:type="dxa" w:w="1333"/>
            <w:shd w:fill="1F4E78"/>
          </w:tcPr>
          <w:p>
            <w:r>
              <w:rPr>
                <w:b/>
                <w:color w:val="FFFFFF"/>
                <w:sz w:val="12"/>
              </w:rPr>
              <w:t>Incident / Emergency Authority</w:t>
            </w:r>
          </w:p>
        </w:tc>
        <w:tc>
          <w:tcPr>
            <w:tcW w:type="dxa" w:w="1333"/>
            <w:shd w:fill="1F4E78"/>
          </w:tcPr>
          <w:p>
            <w:r>
              <w:rPr>
                <w:b/>
                <w:color w:val="FFFFFF"/>
                <w:sz w:val="12"/>
              </w:rPr>
              <w:t>Emergency Limitations</w:t>
            </w:r>
          </w:p>
        </w:tc>
        <w:tc>
          <w:tcPr>
            <w:tcW w:type="dxa" w:w="1333"/>
            <w:shd w:fill="1F4E78"/>
          </w:tcPr>
          <w:p>
            <w:r>
              <w:rPr>
                <w:b/>
                <w:color w:val="FFFFFF"/>
                <w:sz w:val="12"/>
              </w:rPr>
              <w:t>Technology Risk Ownership</w:t>
            </w:r>
          </w:p>
        </w:tc>
        <w:tc>
          <w:tcPr>
            <w:tcW w:type="dxa" w:w="1333"/>
            <w:shd w:fill="1F4E78"/>
          </w:tcPr>
          <w:p>
            <w:r>
              <w:rPr>
                <w:b/>
                <w:color w:val="FFFFFF"/>
                <w:sz w:val="12"/>
              </w:rPr>
              <w:t>Technical Audit Responsibility</w:t>
            </w:r>
          </w:p>
        </w:tc>
        <w:tc>
          <w:tcPr>
            <w:tcW w:type="dxa" w:w="1333"/>
            <w:shd w:fill="1F4E78"/>
          </w:tcPr>
          <w:p>
            <w:r>
              <w:rPr>
                <w:b/>
                <w:color w:val="FFFFFF"/>
                <w:sz w:val="12"/>
              </w:rPr>
              <w:t>External Technical Representation</w:t>
            </w:r>
          </w:p>
        </w:tc>
      </w:tr>
      <w:tr>
        <w:tc>
          <w:tcPr>
            <w:tcW w:type="dxa" w:w="1333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EMP-4002</w:t>
            </w:r>
          </w:p>
        </w:tc>
        <w:tc>
          <w:tcPr>
            <w:tcW w:type="dxa" w:w="1333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Arvind Rao</w:t>
            </w:r>
          </w:p>
        </w:tc>
        <w:tc>
          <w:tcPr>
            <w:tcW w:type="dxa" w:w="1333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Broad architecture, engineering, R&amp;D, reliability, technology spend and risk reporting.</w:t>
            </w:r>
          </w:p>
        </w:tc>
        <w:tc>
          <w:tcPr>
            <w:tcW w:type="dxa" w:w="1333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Broad approved source-code visibility for technology governance; highly restricted repositories remain need-to-know.</w:t>
            </w:r>
          </w:p>
        </w:tc>
        <w:tc>
          <w:tcPr>
            <w:tcW w:type="dxa" w:w="1333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Technology/security posture and risk; raw private keys/secrets remain dedicated-control assets.</w:t>
            </w:r>
          </w:p>
        </w:tc>
        <w:tc>
          <w:tcPr>
            <w:tcW w:type="dxa" w:w="1333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Authorized confidential R&amp;D portfolio, invention disclosures and technical IP required for CTO role.</w:t>
            </w:r>
          </w:p>
        </w:tc>
        <w:tc>
          <w:tcPr>
            <w:tcW w:type="dxa" w:w="1333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Approved technology portfolio metadata; eligible resource allocation; architecture-governance records; selected R&amp;D program status; own profile.</w:t>
            </w:r>
          </w:p>
        </w:tc>
        <w:tc>
          <w:tcPr>
            <w:tcW w:type="dxa" w:w="1333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Eligible technology/R&amp;D programs, delegated senior technical changes and scoped architecture decisions after verification.</w:t>
            </w:r>
          </w:p>
        </w:tc>
        <w:tc>
          <w:tcPr>
            <w:tcW w:type="dxa" w:w="1333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Major platform investment; acquisition; company-wide architecture shift; strategic AI vendor; Board-level technology commitment.</w:t>
            </w:r>
          </w:p>
        </w:tc>
        <w:tc>
          <w:tcPr>
            <w:tcW w:type="dxa" w:w="1333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Material strategic investment; acquisition; extraordinary technology commitments; C-suite changes; Board-reserved risk decisions.</w:t>
            </w:r>
          </w:p>
        </w:tc>
        <w:tc>
          <w:tcPr>
            <w:tcW w:type="dxa" w:w="1333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Material spend, cloud/vendor commitments, purchase exceptions and financial threshold approvals.</w:t>
            </w:r>
          </w:p>
        </w:tc>
        <w:tc>
          <w:tcPr>
            <w:tcW w:type="dxa" w:w="1333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Model/data releases, high-risk AI, sensitive integrations, security exceptions, external IP/code/data publication.</w:t>
            </w:r>
          </w:p>
        </w:tc>
        <w:tc>
          <w:tcPr>
            <w:tcW w:type="dxa" w:w="1333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Can direct technical incident response and continuity decisions within incident policy.</w:t>
            </w:r>
          </w:p>
        </w:tc>
        <w:tc>
          <w:tcPr>
            <w:tcW w:type="dxa" w:w="1333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Emergency authority does not permit evidence destruction, uncontrolled credential sharing or bypass of mandatory authentication.</w:t>
            </w:r>
          </w:p>
        </w:tc>
        <w:tc>
          <w:tcPr>
            <w:tcW w:type="dxa" w:w="1333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Architecture, reliability, engineering, AI/model, platform and technology-investment risk with shared security/enterprise governance.</w:t>
            </w:r>
          </w:p>
        </w:tc>
        <w:tc>
          <w:tcPr>
            <w:tcW w:type="dxa" w:w="1333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Ensures remediation of material technology-control findings and traceable architecture/investment decisions.</w:t>
            </w:r>
          </w:p>
        </w:tc>
        <w:tc>
          <w:tcPr>
            <w:tcW w:type="dxa" w:w="1333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Represents technology strategy to partners/customers/investors as authorized; confidential IP and security details remain protected.</w:t>
            </w:r>
          </w:p>
        </w:tc>
      </w:tr>
    </w:tbl>
    <w:p>
      <w:r>
        <w:br w:type="page"/>
      </w:r>
    </w:p>
    <w:p>
      <w:pPr>
        <w:pStyle w:val="Heading1"/>
      </w:pPr>
      <w:r>
        <w:t>Table 5 - CTO Separation of Duties, Security Boundaries and IntentLock Demo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9"/>
        <w:gridCol w:w="1889"/>
        <w:gridCol w:w="1889"/>
        <w:gridCol w:w="1889"/>
        <w:gridCol w:w="1889"/>
        <w:gridCol w:w="1889"/>
        <w:gridCol w:w="1889"/>
        <w:gridCol w:w="1889"/>
        <w:gridCol w:w="1889"/>
        <w:gridCol w:w="1889"/>
        <w:gridCol w:w="1889"/>
        <w:gridCol w:w="1889"/>
      </w:tblGrid>
      <w:tr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Executive ID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Full Name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Separation of Duties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Self-Elevation Restriction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Immutable Controls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Cannot View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Cannot Perform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High-Risk Voice Actions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IntentLock Security Rule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Example Allowed Voice Commands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Example Denied Voice Commands</w:t>
            </w:r>
          </w:p>
        </w:tc>
        <w:tc>
          <w:tcPr>
            <w:tcW w:type="dxa" w:w="1889"/>
            <w:shd w:fill="1F4E78"/>
          </w:tcPr>
          <w:p>
            <w:r>
              <w:rPr>
                <w:b/>
                <w:color w:val="FFFFFF"/>
                <w:sz w:val="12"/>
              </w:rPr>
              <w:t>Recent Executive Activity</w:t>
            </w:r>
          </w:p>
        </w:tc>
      </w:tr>
      <w:tr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EMP-4002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Arvind Rao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CTO cannot approve own privileged access, independently release protected secrets or bypass security/system-owner approvals.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Cannot convert technology leadership into unrestricted production, database, key-management or security-administration privilege.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IntentLock verification, immutable audit, authorization expiry/replay protection and independent security approvals cannot be disabled.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Raw production private keys by default; unrelated protected HR/legal records; credentials outside justified technical scope.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Reveal secrets; self-grant super-admin; arbitrary production DB/system commands; delete audits; bypass speaker verification; forge security approval.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Production privilege; model release; major cloud spend; architecture exception; strategic vendor commitment; incident containment.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Every protected CTO request must pass required voice authenticity, speaker verification, agent authentication, exact resource/action authorization, parameter integrity, expiry/replay controls and any independent security/finance/legal approval.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Approve an eligible R&amp;D program; reprioritize approved engineering investment; review architecture risk; approve an authorized senior technical transfer.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Give me permanent production root; reveal the signing key; deploy an unreviewed model; delete security logs; disable my speaker verification.</w:t>
            </w:r>
          </w:p>
        </w:tc>
        <w:tc>
          <w:tcPr>
            <w:tcW w:type="dxa" w:w="1889"/>
            <w:vAlign w:val="top"/>
          </w:tcPr>
          <w:p>
            <w:pPr>
              <w:spacing w:after="0" w:line="197" w:lineRule="auto"/>
            </w:pPr>
            <w:r>
              <w:rPr>
                <w:sz w:val="12"/>
              </w:rPr>
              <w:t>02 Oct 2026 - reviewed architecture portfolio; 05 Oct - approved R&amp;D milestone; 07 Oct - reviewed AI governance; 10 Oct - escalated cloud commitment; 12 Oct - approved senior technical transfer; 14 Oct - reviewed platform resilience.</w:t>
            </w:r>
          </w:p>
        </w:tc>
      </w:tr>
    </w:tbl>
    <w:p>
      <w:r>
        <w:br w:type="page"/>
      </w:r>
    </w:p>
    <w:p>
      <w:pPr>
        <w:pStyle w:val="Heading1"/>
      </w:pPr>
      <w:r>
        <w:t>Voice-Agent Questions Supported</w:t>
      </w:r>
    </w:p>
    <w:p>
      <w:pPr>
        <w:pStyle w:val="ListBullet"/>
      </w:pPr>
      <w:r>
        <w:t>Give me my complete CTO career and technology leadership profile.</w:t>
      </w:r>
    </w:p>
    <w:p>
      <w:pPr>
        <w:pStyle w:val="ListBullet"/>
      </w:pPr>
      <w:r>
        <w:t>Which technology functions report to me?</w:t>
      </w:r>
    </w:p>
    <w:p>
      <w:pPr>
        <w:pStyle w:val="ListBullet"/>
      </w:pPr>
      <w:r>
        <w:t>What architecture, R&amp;D and AI governance authority do I have?</w:t>
      </w:r>
    </w:p>
    <w:p>
      <w:pPr>
        <w:pStyle w:val="ListBullet"/>
      </w:pPr>
      <w:r>
        <w:t>Can I approve model release or production deployment by voice alone?</w:t>
      </w:r>
    </w:p>
    <w:p>
      <w:pPr>
        <w:pStyle w:val="ListBullet"/>
      </w:pPr>
      <w:r>
        <w:t>What technology budget and vendor authority do I have?</w:t>
      </w:r>
    </w:p>
    <w:p>
      <w:pPr>
        <w:pStyle w:val="ListBullet"/>
      </w:pPr>
      <w:r>
        <w:t>Can I give myself production root or access private keys?</w:t>
      </w:r>
    </w:p>
    <w:p>
      <w:pPr>
        <w:pStyle w:val="ListBullet"/>
      </w:pPr>
      <w:r>
        <w:t>What incident powers and limitations apply?</w:t>
      </w:r>
    </w:p>
    <w:p>
      <w:pPr>
        <w:pStyle w:val="ListBullet"/>
      </w:pPr>
      <w:r>
        <w:t>Show my recent CTO decisions and technology-risk activity.</w:t>
      </w:r>
    </w:p>
    <w:p>
      <w:pPr>
        <w:pStyle w:val="Heading1"/>
      </w:pPr>
      <w:r>
        <w:t>Implementation Note</w:t>
      </w:r>
    </w:p>
    <w:p>
      <w:r>
        <w:t>Normalize CTO data into executive_roles, technology_portfolios, architecture_governance, rnd_programs, ai_governance, budget_authority, headcount_authority, model_release_reviews, deployment_controls, vendor_authority, incident_authority, approval_dependencies, separation_of_duties, resource_scopes, authorization_grants and immutable audit_events. CTO authority must remain separate from direct production/root/key-management privilege.</w:t>
      </w:r>
    </w:p>
    <w:sectPr w:rsidR="00FC693F" w:rsidRPr="0006063C" w:rsidSect="00034616">
      <w:pgSz w:w="23760" w:h="16848" w:orient="landscape"/>
      <w:pgMar w:top="547" w:right="547" w:bottom="547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